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648"/>
            <w:shd w:fill="12263A"/>
            <w:tcMar>
              <w:top w:w="300" w:type="dxa"/>
              <w:start w:w="260" w:type="dxa"/>
              <w:bottom w:w="300" w:type="dxa"/>
              <w:end w:w="260" w:type="dxa"/>
            </w:tcMar>
          </w:tcPr>
          <w:p>
            <w:pPr>
              <w:spacing w:after="240"/>
            </w:pPr>
            <w:r>
              <w:rPr>
                <w:rFonts w:ascii="Arial" w:hAnsi="Arial" w:eastAsia="Arial"/>
                <w:b/>
                <w:color w:val="FFFFFF"/>
                <w:sz w:val="46"/>
              </w:rPr>
              <w:t>RESEARCH PROTOCOL AND</w:t>
              <w:br/>
              <w:t>EXPERIMENTAL DEVELOPMENT PLAN</w:t>
            </w:r>
          </w:p>
          <w:p>
            <w:pPr>
              <w:spacing w:after="160"/>
            </w:pPr>
            <w:r>
              <w:rPr>
                <w:rFonts w:ascii="Arial" w:hAnsi="Arial" w:eastAsia="Arial"/>
                <w:b/>
                <w:color w:val="A9E1E1"/>
                <w:sz w:val="27"/>
              </w:rPr>
              <w:t>Capability-, Difficulty-, and Cost-Aware Multi-LLM Routing</w:t>
            </w:r>
          </w:p>
          <w:p>
            <w:r>
              <w:rPr>
                <w:rFonts w:ascii="Arial" w:hAnsi="Arial" w:eastAsia="Arial"/>
                <w:color w:val="FFFFFF"/>
                <w:sz w:val="21"/>
              </w:rPr>
              <w:t>Structured as a reproducible scientific study and research-paper pipeline</w:t>
            </w:r>
          </w:p>
        </w:tc>
      </w:tr>
    </w:tbl>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2263A"/>
            <w:tcMar>
              <w:top w:w="85" w:type="dxa"/>
              <w:start w:w="85" w:type="dxa"/>
              <w:bottom w:w="85" w:type="dxa"/>
              <w:end w:w="85" w:type="dxa"/>
            </w:tcMar>
            <w:vAlign w:val="center"/>
          </w:tcPr>
          <w:p>
            <w:pPr>
              <w:jc w:val="left"/>
            </w:pPr>
            <w:r>
              <w:rPr>
                <w:rFonts w:ascii="Arial" w:hAnsi="Arial" w:eastAsia="Arial"/>
                <w:b/>
                <w:color w:val="FFFFFF"/>
                <w:sz w:val="16"/>
              </w:rPr>
              <w:t>Document field</w:t>
            </w:r>
          </w:p>
        </w:tc>
        <w:tc>
          <w:tcPr>
            <w:tcW w:type="dxa" w:w="7416"/>
            <w:shd w:fill="12263A"/>
            <w:tcMar>
              <w:top w:w="85" w:type="dxa"/>
              <w:start w:w="85" w:type="dxa"/>
              <w:bottom w:w="85" w:type="dxa"/>
              <w:end w:w="85" w:type="dxa"/>
            </w:tcMar>
            <w:vAlign w:val="center"/>
          </w:tcPr>
          <w:p>
            <w:pPr>
              <w:jc w:val="left"/>
            </w:pPr>
            <w:r>
              <w:rPr>
                <w:rFonts w:ascii="Arial" w:hAnsi="Arial" w:eastAsia="Arial"/>
                <w:b/>
                <w:color w:val="FFFFFF"/>
                <w:sz w:val="16"/>
              </w:rPr>
              <w:t>Value</w:t>
            </w:r>
          </w:p>
        </w:tc>
      </w:tr>
      <w:tr>
        <w:trPr>
          <w:cantSplit/>
          <w:trHeight w:hRule="atLeast"/>
        </w:trPr>
        <w:tc>
          <w:tcPr>
            <w:tcW w:type="dxa" w:w="208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Status</w:t>
            </w:r>
          </w:p>
        </w:tc>
        <w:tc>
          <w:tcPr>
            <w:tcW w:type="dxa" w:w="741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Pre-implementation research protocol - SECOND AUDIT REVISION [Reviewed 2]</w:t>
            </w:r>
          </w:p>
        </w:tc>
      </w:tr>
      <w:tr>
        <w:trPr>
          <w:cantSplit/>
          <w:trHeight w:hRule="atLeast"/>
        </w:trPr>
        <w:tc>
          <w:tcPr>
            <w:tcW w:type="dxa" w:w="208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Version</w:t>
            </w:r>
          </w:p>
        </w:tc>
        <w:tc>
          <w:tcPr>
            <w:tcW w:type="dxa" w:w="741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2.0 (Post Second-Audit Revision). Supersedes v1.1. [Reviewed 2]</w:t>
            </w:r>
          </w:p>
        </w:tc>
      </w:tr>
      <w:tr>
        <w:trPr>
          <w:cantSplit/>
          <w:trHeight w:hRule="atLeast"/>
        </w:trPr>
        <w:tc>
          <w:tcPr>
            <w:tcW w:type="dxa" w:w="208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Prepared</w:t>
            </w:r>
          </w:p>
        </w:tc>
        <w:tc>
          <w:tcPr>
            <w:tcW w:type="dxa" w:w="741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August 18, 2026. Second-audit revision August 19, 2026. [Reviewed 2]</w:t>
            </w:r>
          </w:p>
        </w:tc>
      </w:tr>
      <w:tr>
        <w:trPr>
          <w:cantSplit/>
          <w:trHeight w:hRule="atLeast"/>
        </w:trPr>
        <w:tc>
          <w:tcPr>
            <w:tcW w:type="dxa" w:w="208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Primary objective</w:t>
            </w:r>
          </w:p>
        </w:tc>
        <w:tc>
          <w:tcPr>
            <w:tcW w:type="dxa" w:w="741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Select the least-cost eligible model configuration whose failure risk is bounded by a POLICY-LEVEL Learn-Then-Test (LTT) calibration evaluated on the configuration the policy actually selects. Per-configuration conformal bounds are retained only as a negative control, because a marginal per-arm guarantee is not valid after argmin-cost selection. [Reviewed 2]</w:t>
            </w:r>
          </w:p>
        </w:tc>
      </w:tr>
      <w:tr>
        <w:trPr>
          <w:cantSplit/>
          <w:trHeight w:hRule="atLeast"/>
        </w:trPr>
        <w:tc>
          <w:tcPr>
            <w:tcW w:type="dxa" w:w="208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Initial study scope</w:t>
            </w:r>
          </w:p>
        </w:tc>
        <w:tc>
          <w:tcPr>
            <w:tcW w:type="dxa" w:w="741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Single-turn, text-first, fixed model pool, objective tasks first, offline learning, one bounded escalation. Budget is fixed BEFORE the corpus size; N is derived from budget and a power calculation, never the reverse. [Reviewed 2]</w:t>
            </w:r>
          </w:p>
        </w:tc>
      </w:tr>
      <w:tr>
        <w:trPr>
          <w:cantSplit/>
          <w:trHeight w:hRule="atLeast"/>
        </w:trPr>
        <w:tc>
          <w:tcPr>
            <w:tcW w:type="dxa" w:w="208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Source policy</w:t>
            </w:r>
          </w:p>
        </w:tc>
        <w:tc>
          <w:tcPr>
            <w:tcW w:type="dxa" w:w="741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Use primary papers, official repositories, official dataset cards, and official provider documentation; snapshot every revision used.</w:t>
            </w:r>
          </w:p>
        </w:tc>
      </w:tr>
      <w:tr>
        <w:tc>
          <w:tcPr>
            <w:tcW w:type="dxa" w:w="5083"/>
          </w:tcPr>
          <w:p>
            <w:r>
              <w:t>Headline claim discipline [Reviewed 2]</w:t>
            </w:r>
          </w:p>
        </w:tc>
        <w:tc>
          <w:tcPr>
            <w:tcW w:type="dxa" w:w="5083"/>
          </w:tcPr>
          <w:p>
            <w:r>
              <w:t>All cost claims are reported as a function of the provider price ratio rho, plus one price-free metric (strong-model call share at fixed quality). No single-number cost saving is reported without its rho curve. [Reviewed 2]</w:t>
            </w:r>
          </w:p>
        </w:tc>
      </w:tr>
      <w:tr>
        <w:tc>
          <w:tcPr>
            <w:tcW w:type="dxa" w:w="5083"/>
          </w:tcPr>
          <w:p>
            <w:r>
              <w:t>Guarantee scope [Reviewed 2]</w:t>
            </w:r>
          </w:p>
        </w:tc>
        <w:tc>
          <w:tcPr>
            <w:tcW w:type="dxa" w:w="5083"/>
          </w:tcPr>
          <w:p>
            <w:r>
              <w:t>Distribution-free finite-sample guarantees are claimed ONLY on the exchangeable in-distribution test partition. OOD, new-domain, new-model-family, and adversarial partitions are reported as MEASURED violation rates with no guarantee language.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FF8E7"/>
            <w:tcBorders>
              <w:top w:val="single" w:sz="8" w:color="C7942E"/>
              <w:left w:val="single" w:sz="18" w:color="C7942E"/>
              <w:bottom w:val="single" w:sz="8" w:color="C7942E"/>
              <w:right w:val="single" w:sz="8" w:color="C7942E"/>
            </w:tcBorders>
            <w:tcMar>
              <w:top w:w="110" w:type="dxa"/>
              <w:start w:w="145" w:type="dxa"/>
              <w:bottom w:w="110" w:type="dxa"/>
              <w:end w:w="145" w:type="dxa"/>
            </w:tcMar>
          </w:tcPr>
          <w:p>
            <w:pPr>
              <w:spacing w:after="40"/>
            </w:pPr>
            <w:r>
              <w:rPr>
                <w:rFonts w:ascii="Arial" w:hAnsi="Arial" w:eastAsia="Arial"/>
                <w:b/>
                <w:color w:val="C7942E"/>
                <w:sz w:val="19"/>
              </w:rPr>
              <w:t>Important interpretation</w:t>
            </w:r>
          </w:p>
          <w:p>
            <w:pPr>
              <w:spacing w:after="0"/>
            </w:pPr>
            <w:r>
              <w:rPr>
                <w:rFonts w:ascii="Arial" w:hAnsi="Arial" w:eastAsia="Arial"/>
                <w:color w:val="263238"/>
                <w:sz w:val="17"/>
              </w:rPr>
              <w:t>This document shows the development logic and decision rationale needed for reproducibility. It does not expose private chain-of-thought. Every design choice is instead stated as a testable hypothesis, an explicit alternative, and an evidence gate.</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DEEEF"/>
            <w:tcBorders>
              <w:top w:val="single" w:sz="8" w:color="A63D40"/>
              <w:left w:val="single" w:sz="18" w:color="A63D40"/>
              <w:bottom w:val="single" w:sz="8" w:color="A63D40"/>
              <w:right w:val="single" w:sz="8" w:color="A63D40"/>
            </w:tcBorders>
            <w:tcMar>
              <w:top w:w="110" w:type="dxa"/>
              <w:start w:w="145" w:type="dxa"/>
              <w:bottom w:w="110" w:type="dxa"/>
              <w:end w:w="145" w:type="dxa"/>
            </w:tcMar>
          </w:tcPr>
          <w:p>
            <w:pPr>
              <w:spacing w:after="40"/>
            </w:pPr>
            <w:r>
              <w:rPr>
                <w:rFonts w:ascii="Arial" w:hAnsi="Arial" w:eastAsia="Arial"/>
                <w:b/>
                <w:color w:val="A63D40"/>
                <w:sz w:val="19"/>
              </w:rPr>
              <w:t>Licensing and terms</w:t>
            </w:r>
          </w:p>
          <w:p>
            <w:pPr>
              <w:spacing w:after="0"/>
            </w:pPr>
            <w:r>
              <w:rPr>
                <w:rFonts w:ascii="Arial" w:hAnsi="Arial" w:eastAsia="Arial"/>
                <w:color w:val="263238"/>
                <w:sz w:val="17"/>
              </w:rPr>
              <w:t>A source can be scientifically useful even when its questions, outputs, or code cannot be redistributed or used commercially. Catalog existence and method separately from permission. Before downloading, training on, publishing, or redistributing any artifact, re-check its current license, dataset card, terms, and upstream content restrictions.</w:t>
            </w:r>
          </w:p>
        </w:tc>
      </w:tr>
    </w:tbl>
    <w:p>
      <w:pPr>
        <w:spacing w:after="0"/>
      </w:pPr>
    </w:p>
    <w:p>
      <w:r>
        <w:br w:type="page"/>
      </w:r>
    </w:p>
    <w:p>
      <w:pPr>
        <w:pStyle w:val="Heading1"/>
      </w:pPr>
      <w:r>
        <w:t>Abstract</w:t>
      </w:r>
    </w:p>
    <w:p>
      <w:pPr>
        <w:keepNext w:val="0"/>
        <w:spacing w:after="80"/>
      </w:pPr>
      <w:r>
        <w:t>This protocol specifies a staged experiment for building and validating a multi-LLM router that predicts the probability that each complete model configuration will satisfy a request, then chooses the least-cost eligible configuration under quality, latency, safety, privacy, and operational constraints. [Reviewed 2] The risk guarantee is obtained by POLICY-LEVEL Learn-Then-Test calibration with family-wise error control over the policy-parameter grid, with the loss evaluated on the configuration the policy actually selects; per-configuration Conformal Risk Control is retained as an explicit negative control because its marginal guarantee is not valid after argmin-cost selection (simulation: selected-arm risk 0.088-0.097 against a nominal 0.05, while each arm calibrated alone sits at 0.036-0.045). [Reviewed 2] All oracle quantities use a split-repeat (cross-fitted) estimator, because the ex-post oracle is inflated by outcome noise alone: with six configurations and single-run outcomes its accuracy is 1-(1-p)^K, giving an apparent 62.8% lift over Best Single when the true lift is exactly zero. [Reviewed 2] Discrimination is measured within-item against a per-configuration-constant negative control, because pooled ROC-AUC over (item, configuration) pairs reaches 0.80-0.84 for a predictor holding no item-level information whatsoever. [Reviewed 2] It demotes latent Item Response Theory (IRT) difficulty from the real-time data path to an offline diagnostic and regularization ablation. It enforces domain-gated verification (code and symbolic math only) to prevent tail-latency and false-rejection cost blowouts. Security claims are led by a provable worst-case tenant spend bound from an independent budget firewall; the machine-learned detector is evaluated only under an ADAPTIVE attacker with the defence in the loop, and out-of-distribution inputs are routed to a bounded-cost path rather than to the most expensive configuration, which would otherwise hand a cost-amplification adversary a fully reliable channel. [Reviewed 2] It mandates strict cluster-based anti-leakage splitting (MinHash LSH and dense cosine similarity, with both thresholds calibrated against a hand-labelled duplicate audit set) and per-configuration benchmark freshness accounting relative to each model's training cutoff. [Reviewed 2] Every phase includes source provenance, acquisition locations, measurable outputs, anticipated failure modes, planned mitigations, a release gate, and a future-only improvement note. The resulting artifacts map directly into a top-tier research paper, reproducibility package, and enterprise-grade deployment.</w:t>
      </w:r>
    </w:p>
    <w:p>
      <w:pPr>
        <w:pStyle w:val="Heading1"/>
      </w:pPr>
      <w:r>
        <w:t>Executive decision summary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263A"/>
            <w:tcMar>
              <w:top w:w="85" w:type="dxa"/>
              <w:start w:w="85" w:type="dxa"/>
              <w:bottom w:w="85" w:type="dxa"/>
              <w:end w:w="85" w:type="dxa"/>
            </w:tcMar>
            <w:vAlign w:val="center"/>
          </w:tcPr>
          <w:p>
            <w:pPr>
              <w:jc w:val="left"/>
            </w:pPr>
            <w:r>
              <w:rPr>
                <w:rFonts w:ascii="Arial" w:hAnsi="Arial" w:eastAsia="Arial"/>
                <w:b/>
                <w:color w:val="FFFFFF"/>
                <w:sz w:val="17"/>
              </w:rPr>
              <w:t>Decision</w:t>
            </w:r>
          </w:p>
        </w:tc>
        <w:tc>
          <w:tcPr>
            <w:tcW w:type="dxa" w:w="7272"/>
            <w:shd w:fill="12263A"/>
            <w:tcMar>
              <w:top w:w="85" w:type="dxa"/>
              <w:start w:w="85" w:type="dxa"/>
              <w:bottom w:w="85" w:type="dxa"/>
              <w:end w:w="85" w:type="dxa"/>
            </w:tcMar>
            <w:vAlign w:val="center"/>
          </w:tcPr>
          <w:p>
            <w:pPr>
              <w:jc w:val="left"/>
            </w:pPr>
            <w:r>
              <w:rPr>
                <w:rFonts w:ascii="Arial" w:hAnsi="Arial" w:eastAsia="Arial"/>
                <w:b/>
                <w:color w:val="FFFFFF"/>
                <w:sz w:val="17"/>
              </w:rPr>
              <w:t>Protocol position</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Is the router feasible?</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Yes. The fixed-pool, single-turn version is implementable with current public frameworks and data. Its advantage must still be demonstrated against simple baselines.</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What is the routing target?</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A complete configuration: model + immutable version + effort mode + output budget + prompt/tool profile, not merely a model name.</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What drives the route?</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Predicted P(success | request, configuration, session), converted into a deployable decision by a POLICY-LEVEL LTT calibration whose risk is measured on the selected arm, then filtered through deterministic constraints and an independent budget firewall. [Reviewed 2]</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What role does difficulty play?</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Population, model-specific, and operational difficulty are measured separately. Latent IRT difficulty is demoted to an offline diagnostic ablation and low-sample regularization prior; online routing relies on direct calibrated prediction over dense representations. [Reviewed]</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What is built first?</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Objective, single-turn tasks with 4-6 complementary configurations, public matrices, deterministic graders, a split-repeat oracle estimator, within-item discrimination metrics, domain-gated verifiers (code/math only), and offline learning. [Reviewed 2]</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What is deliberately postponed?</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Agent-step routing, online bandits, personalization, multimodal routing, high-dimensional MIRT, and self-modifying live policies.</w:t>
            </w:r>
          </w:p>
        </w:tc>
      </w:tr>
      <w:tr>
        <w:tc>
          <w:tcPr>
            <w:tcW w:type="dxa" w:w="5083"/>
          </w:tcPr>
          <w:p>
            <w:r>
              <w:t>What is the novel contribution? [Reviewed 2]</w:t>
            </w:r>
          </w:p>
        </w:tc>
        <w:tc>
          <w:tcPr>
            <w:tcW w:type="dxa" w:w="5083"/>
          </w:tcPr>
          <w:p>
            <w:r>
              <w:t>(i) Post-selection-valid risk control for a routing policy; (ii) a debiased oracle and within-item discrimination metric that make the field's two standard statistics non-inflatable; (iii) cost claims parameterised by price ratio. Joint model+budget routing (R2-Router [R8]) and cascade/routing unification (Dekoninck et al. [R31]) are cited prior work and are run as REPLICATION ablations, not as open hypotheses. [Reviewed 2]</w:t>
            </w:r>
          </w:p>
        </w:tc>
      </w:tr>
      <w:tr>
        <w:tc>
          <w:tcPr>
            <w:tcW w:type="dxa" w:w="5083"/>
          </w:tcPr>
          <w:p>
            <w:r>
              <w:t>What is the security claim? [Reviewed 2]</w:t>
            </w:r>
          </w:p>
        </w:tc>
        <w:tc>
          <w:tcPr>
            <w:tcW w:type="dxa" w:w="5083"/>
          </w:tcPr>
          <w:p>
            <w:r>
              <w:t>A provable bound on worst-case per-tenant spend enforced outside the learned router. The perplexity and OOD detectors are reported as best-effort filters with an adaptive-attack success curve; no fixed block-rate target is claimed, because Shafran et al. [R11] show perplexity-constrained gadgets reduce detection to ROC-AUC 0.50-0.55 while preserving upgrade rates. [Reviewed 2]</w:t>
            </w:r>
          </w:p>
        </w:tc>
      </w:tr>
    </w:tbl>
    <w:p>
      <w:pPr>
        <w:spacing w:after="0"/>
      </w:pPr>
    </w:p>
    <w:p>
      <w:pPr>
        <w:pStyle w:val="Heading1"/>
      </w:pPr>
      <w:r>
        <w:t>Second-audit revision summary (v1.1 to v2.0) [Reviewed 2]</w:t>
      </w:r>
    </w:p>
    <w:p>
      <w:pPr>
        <w:keepNext w:val="0"/>
        <w:spacing w:after="80"/>
      </w:pPr>
      <w:r>
        <w:t>Every change below is labelled [Reviewed 2] where it lands in the body of this protocol. Seven of them were research-invalidating in v1.1 and are non-negotiable; the rest materially strengthen the study. None of v1.1's process discipline has been weakened - the pre-registration, provenance registry, leakage taxonomy, share-matched random control, IRT demotion, and commitment to publish negative results all carry forward unchanged.</w:t>
      </w:r>
    </w:p>
    <w:p>
      <w:pPr>
        <w:keepNext w:val="0"/>
        <w:spacing w:after="80"/>
      </w:pPr>
      <w:r>
        <w:t>1. Calibration scope (Phase 8; RQ1/H-P). Per-configuration Conformal Risk Control followed by argmin-cost selection does not preserve the marginal guarantee: the router systematically picks the arm whose bound is most optimistically noisy. Simulated at nominal alpha = 0.05, each arm calibrated alone holds 0.036-0.045 while the arm the router actually selects runs at 0.088-0.097. Replaced by policy-level Learn-Then-Test with family-wise error control, loss measured on the selected arm, which holds 0.045-0.047 at 91-95% coverage. Per-arm CRC is retained as the negative control, and the gap between the two becomes a primary reported result.</w:t>
      </w:r>
    </w:p>
    <w:p>
      <w:pPr>
        <w:keepNext w:val="0"/>
        <w:spacing w:after="80"/>
      </w:pPr>
      <w:r>
        <w:t>2. Guarantee scope (Phase 8 release gate). v1.1 required the guarantee to hold on OOD and adversarial partitions, which violate exchangeability by construction. Guarantee claims are now restricted to the exchangeable in-distribution test partition; shifted partitions are reported as measurements with no guarantee language.</w:t>
      </w:r>
    </w:p>
    <w:p>
      <w:pPr>
        <w:keepNext w:val="0"/>
        <w:spacing w:after="80"/>
      </w:pPr>
      <w:r>
        <w:t>3. Internal contradiction resolved (Future-only register). v1.1 listed Conformal Risk Control simultaneously as the Phase 8 centrepiece and as a postponed future item. That register row now reads 'shift-robust risk control'; policy-level LTT on the ID partition is in scope for the first study.</w:t>
      </w:r>
    </w:p>
    <w:p>
      <w:pPr>
        <w:keepNext w:val="0"/>
        <w:spacing w:after="80"/>
      </w:pPr>
      <w:r>
        <w:t>4. Go/no-go gate (Phase 5). The ex-post oracle has accuracy 1-(1-p)^K, so at K = 6, p = 0.60 and one repeat it reads 0.996 against a Best Single of 0.612 - an apparent 62.8% lift when the true lift is exactly zero; five repeats still leave 42%. The 'Oracle Lift exceeds 3%' gate is replaced by a split-repeat (cross-fitted) oracle whose 95% CI lower bound must exceed 2%.</w:t>
      </w:r>
    </w:p>
    <w:p>
      <w:pPr>
        <w:keepNext w:val="0"/>
        <w:spacing w:after="80"/>
      </w:pPr>
      <w:r>
        <w:t>5. Predictor gate (Phase 7). Pooled ROC-AUC over (item, configuration) pairs reaches 0.80-0.84 for a predictor emitting one constant per configuration - holding no item-level information at all - at precisely the cost/capability spread Phase 2 requires. The 'ROC-AUC &gt;= 0.78' gate is replaced by within-item AUC and delta log-loss against that constant control.</w:t>
      </w:r>
    </w:p>
    <w:p>
      <w:pPr>
        <w:keepNext w:val="0"/>
        <w:spacing w:after="80"/>
      </w:pPr>
      <w:r>
        <w:t>6. Security (Phase 10; RQ6). Shafran et al. [R11], already cited by v1.1, add a perplexity constraint to the gadget optimiser and drive detection to ROC-AUC 0.50-0.55 - chance - while preserving upgrade rates. The '&gt;= 80% blocked' target is withdrawn; attacks must be adaptive with the full defence in the optimisation loop, and the confirmatory claim is the provable worst-case per-tenant spend bound. Separately, v1.1 routed OOD inputs to Always Strongest, which hands a cost-amplification adversary a fully reliable channel; the OOD fallback is now bounded-cost.</w:t>
      </w:r>
    </w:p>
    <w:p>
      <w:pPr>
        <w:keepNext w:val="0"/>
        <w:spacing w:after="80"/>
      </w:pPr>
      <w:r>
        <w:t>7. Endpoint and statistics (Phases 0 and 11). v1.1 defined the primary endpoint three incompatible ways - 'Cost at 95% Quality Retention' (5% relative), delta = 0.02 (2 points absolute), an MVE rule of &gt;= 20%, and H1's &gt;= 30% - which coincide only near 0.40 accuracy, and it permitted 'one or more operating points'. Exactly one definition now survives. The cost endpoint is tested as a ratio of totals by split-group cluster bootstrap rather than by Wilcoxon signed-rank, which tests a median shift and can invert the conclusion: on simulated heavy-tailed cost data the signed-rank test returns p near zero for 'the router is cheaper' while total spend is 42.6% higher. An alpha hierarchy, a declared missingness rule, a budget-first rule, and a recorded power calculation are now mandatory.</w:t>
      </w:r>
    </w:p>
    <w:p>
      <w:pPr>
        <w:keepNext w:val="0"/>
        <w:spacing w:after="80"/>
      </w:pPr>
      <w:r>
        <w:t>Also changed. Novelty positioning: RQ4 was already answered by cited reference [R8] (R2-Router, ICML 2026) and RQ5 is preempted by [R31] and [R32]; both now run as replication and comparison rather than as open hypotheses, and eight directly-competing works [R31]-[R38] were added to the catalog. Cost claims are parameterised by the price ratio, because an identical policy making identical decisions reports 15.0% savings at rho = 1.5 and 44.2% at rho = 50. The calibration split is divided three ways (CAL-A, CAL-B, CAL-C). Encoder truncation is now a declared trade-off rather than an unstated contradiction - BGE-small is verified at a 512-token maximum, which truncates the long-context items this corpus deliberately includes. Dedup thresholds are audit-calibrated rather than asserted. The 'zero LLM judges' contradiction is resolved in favour of an unconditional commitment with an openly stated scope limit. A RELEASE allowlist is separated from the use allowlist, because Easy2Hard-Bench is CC BY-SA 4.0 and its share-alike term propagates to the released tensor. Contamination freshness is accounted per configuration against each model's training cutoff. The shadow study is explicitly conditional on production traffic access that this protocol does not otherwise establish.</w:t>
      </w:r>
    </w:p>
    <w:p>
      <w:pPr>
        <w:keepNext w:val="0"/>
        <w:spacing w:after="80"/>
      </w:pPr>
      <w:r>
        <w:t>Stop condition added. If the split-repeat oracle's confidence interval includes zero, the routing paper stops and the measurement result is published instead. That is a legitimate outcome, not a failure - and it is the finding the large 2026 routing benchmarks have each been circling.</w:t>
      </w:r>
    </w:p>
    <w:p>
      <w:pPr>
        <w:pStyle w:val="Heading1"/>
      </w:pPr>
      <w:r>
        <w:t>Research questions and hypotheses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36"/>
            <w:shd w:fill="12263A"/>
            <w:tcMar>
              <w:top w:w="85" w:type="dxa"/>
              <w:start w:w="85" w:type="dxa"/>
              <w:bottom w:w="85" w:type="dxa"/>
              <w:end w:w="85" w:type="dxa"/>
            </w:tcMar>
            <w:vAlign w:val="center"/>
          </w:tcPr>
          <w:p>
            <w:pPr>
              <w:jc w:val="left"/>
            </w:pPr>
            <w:r>
              <w:rPr>
                <w:rFonts w:ascii="Arial" w:hAnsi="Arial" w:eastAsia="Arial"/>
                <w:b/>
                <w:color w:val="FFFFFF"/>
                <w:sz w:val="15"/>
              </w:rPr>
              <w:t>ID</w:t>
            </w:r>
          </w:p>
        </w:tc>
        <w:tc>
          <w:tcPr>
            <w:tcW w:type="dxa" w:w="3528"/>
            <w:shd w:fill="12263A"/>
            <w:tcMar>
              <w:top w:w="85" w:type="dxa"/>
              <w:start w:w="85" w:type="dxa"/>
              <w:bottom w:w="85" w:type="dxa"/>
              <w:end w:w="85" w:type="dxa"/>
            </w:tcMar>
            <w:vAlign w:val="center"/>
          </w:tcPr>
          <w:p>
            <w:pPr>
              <w:jc w:val="left"/>
            </w:pPr>
            <w:r>
              <w:rPr>
                <w:rFonts w:ascii="Arial" w:hAnsi="Arial" w:eastAsia="Arial"/>
                <w:b/>
                <w:color w:val="FFFFFF"/>
                <w:sz w:val="15"/>
              </w:rPr>
              <w:t>Research question [Reviewed 2]</w:t>
            </w:r>
          </w:p>
        </w:tc>
        <w:tc>
          <w:tcPr>
            <w:tcW w:type="dxa" w:w="4939"/>
            <w:shd w:fill="12263A"/>
            <w:tcMar>
              <w:top w:w="85" w:type="dxa"/>
              <w:start w:w="85" w:type="dxa"/>
              <w:bottom w:w="85" w:type="dxa"/>
              <w:end w:w="85" w:type="dxa"/>
            </w:tcMar>
            <w:vAlign w:val="center"/>
          </w:tcPr>
          <w:p>
            <w:pPr>
              <w:jc w:val="left"/>
            </w:pPr>
            <w:r>
              <w:rPr>
                <w:rFonts w:ascii="Arial" w:hAnsi="Arial" w:eastAsia="Arial"/>
                <w:b/>
                <w:color w:val="FFFFFF"/>
                <w:sz w:val="15"/>
              </w:rPr>
              <w:t>Pre-registered hypothesis [Reviewed 2]</w:t>
            </w:r>
          </w:p>
        </w:tc>
      </w:tr>
      <w:tr>
        <w:trPr>
          <w:cantSplit/>
          <w:trHeight w:hRule="atLeast"/>
        </w:trPr>
        <w:tc>
          <w:tcPr>
            <w:tcW w:type="dxa" w:w="10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RQ1 / H-P (PRIMARY)</w:t>
            </w:r>
          </w:p>
        </w:tc>
        <w:tc>
          <w:tcPr>
            <w:tcW w:type="dxa" w:w="352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Is a routing policy's risk guarantee valid after the router selects a configuration?</w:t>
            </w:r>
          </w:p>
        </w:tc>
        <w:tc>
          <w:tcPr>
            <w:tcW w:type="dxa" w:w="4939"/>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A policy calibrated by policy-level Learn-Then-Test attains empirical failure rate &lt;= alpha on the SELECTED configuration on the exchangeable ID test set with FWER-controlled finite-sample validity, whereas per-configuration conformal calibration of the same predictor exceeds alpha by a factor &gt;= 1.5 at matched coverage. [Reviewed 2]</w:t>
            </w:r>
          </w:p>
        </w:tc>
      </w:tr>
      <w:tr>
        <w:trPr>
          <w:cantSplit/>
          <w:trHeight w:hRule="atLeast"/>
        </w:trPr>
        <w:tc>
          <w:tcPr>
            <w:tcW w:type="dxa" w:w="10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RQ2 / H-S1</w:t>
            </w:r>
          </w:p>
        </w:tc>
        <w:tc>
          <w:tcPr>
            <w:tcW w:type="dxa" w:w="352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Does configuration-level routing reduce total cost at a fixed absolute quality floor?</w:t>
            </w:r>
          </w:p>
        </w:tc>
        <w:tc>
          <w:tcPr>
            <w:tcW w:type="dxa" w:w="4939"/>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At the risk level where H-P holds, the policy attains lower total workflow cost than Best Single at an accuracy floor of (Best Single accuracy - 0.02 absolute), reported as a curve over the price ratio rho in [1.5, 50] rather than as a single percentage. [Reviewed 2]</w:t>
            </w:r>
          </w:p>
        </w:tc>
      </w:tr>
      <w:tr>
        <w:trPr>
          <w:cantSplit/>
          <w:trHeight w:hRule="atLeast"/>
        </w:trPr>
        <w:tc>
          <w:tcPr>
            <w:tcW w:type="dxa" w:w="10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RQ3 / H-S2</w:t>
            </w:r>
          </w:p>
        </w:tc>
        <w:tc>
          <w:tcPr>
            <w:tcW w:type="dxa" w:w="352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Does exploitable item-level complementarity exist at all in a 4-6 configuration pool?</w:t>
            </w:r>
          </w:p>
        </w:tc>
        <w:tc>
          <w:tcPr>
            <w:tcW w:type="dxa" w:w="4939"/>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The SPLIT-REPEAT (cross-fitted) oracle lift over Best Single has a 95% cluster-bootstrap CI whose lower bound exceeds 2%. The ex-post oracle is reported alongside it only to quantify its inflation. [Reviewed 2]</w:t>
            </w:r>
          </w:p>
        </w:tc>
      </w:tr>
      <w:tr>
        <w:trPr>
          <w:cantSplit/>
          <w:trHeight w:hRule="atLeast"/>
        </w:trPr>
        <w:tc>
          <w:tcPr>
            <w:tcW w:type="dxa" w:w="10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RQ4 / H-S3</w:t>
            </w:r>
          </w:p>
        </w:tc>
        <w:tc>
          <w:tcPr>
            <w:tcW w:type="dxa" w:w="352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Is the policy competitive with the known-optimal cascade/routing strategy?</w:t>
            </w:r>
          </w:p>
        </w:tc>
        <w:tc>
          <w:tcPr>
            <w:tcW w:type="dxa" w:w="4939"/>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The policy is non-inferior to cascade routing (Dekoninck et al., ICML 2025 [R31]) at matched cost, and to best-of-N on the cheapest configuration at matched spend. [Reviewed 2]</w:t>
            </w:r>
          </w:p>
        </w:tc>
      </w:tr>
      <w:tr>
        <w:trPr>
          <w:cantSplit/>
          <w:trHeight w:hRule="atLeast"/>
        </w:trPr>
        <w:tc>
          <w:tcPr>
            <w:tcW w:type="dxa" w:w="10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RQ5 / E-1 (exploratory)</w:t>
            </w:r>
          </w:p>
        </w:tc>
        <w:tc>
          <w:tcPr>
            <w:tcW w:type="dxa" w:w="352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 difficulty features, budget granularity, and verification each add value?</w:t>
            </w:r>
          </w:p>
        </w:tc>
        <w:tc>
          <w:tcPr>
            <w:tcW w:type="dxa" w:w="4939"/>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Exploratory, reported under Benjamini-Hochberg control with no confirmatory claim. Difficulty is retained only if it reduces routing cost at fixed quality, not merely held-out log loss. Model+budget granularity is a REPLICATION of R2-Router [R8]. Verification requires a pre-registered task value V_task such that p_fail * (c_escalate + c_verify) &lt; delta_solved * V_task. [Reviewed 2]</w:t>
            </w:r>
          </w:p>
        </w:tc>
      </w:tr>
      <w:tr>
        <w:trPr>
          <w:cantSplit/>
          <w:trHeight w:hRule="atLeast"/>
        </w:trPr>
        <w:tc>
          <w:tcPr>
            <w:tcW w:type="dxa" w:w="10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RQ6 / E-2 (exploratory)</w:t>
            </w:r>
          </w:p>
        </w:tc>
        <w:tc>
          <w:tcPr>
            <w:tcW w:type="dxa" w:w="352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How much cost amplification can an ADAPTIVE adversary force, and what bounds it?</w:t>
            </w:r>
          </w:p>
        </w:tc>
        <w:tc>
          <w:tcPr>
            <w:tcW w:type="dxa" w:w="4939"/>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No block-rate target is pre-registered. Attack success rate and cost-amplification factor are reported as functions of attacker query budget against the full deployed defence. The confirmatory security claim is the proven worst-case per-tenant spend bound enforced by the budget firewall. [Reviewed 2]</w:t>
            </w:r>
          </w:p>
        </w:tc>
      </w:tr>
      <w:tr>
        <w:tc>
          <w:tcPr>
            <w:tcW w:type="dxa" w:w="3389"/>
          </w:tcPr>
          <w:p>
            <w:r>
              <w:t>Testing hierarchy [Reviewed 2]</w:t>
            </w:r>
          </w:p>
        </w:tc>
        <w:tc>
          <w:tcPr>
            <w:tcW w:type="dxa" w:w="3389"/>
          </w:tcPr>
          <w:p>
            <w:r>
              <w:t>How is multiplicity controlled?</w:t>
            </w:r>
          </w:p>
        </w:tc>
        <w:tc>
          <w:tcPr>
            <w:tcW w:type="dxa" w:w="3389"/>
          </w:tcPr>
          <w:p>
            <w:r>
              <w:t>One primary endpoint at alpha = 0.025 one-sided. H-S1 to H-S3 tested in a fixed-sequence gatekeeping chain at the same alpha, each conditional on the previous passing. All exploratory families under Benjamini-Hochberg q* = 0.05. No 'one or more operating points' language anywhere. [Reviewed 2]</w:t>
            </w:r>
          </w:p>
        </w:tc>
      </w:tr>
    </w:tbl>
    <w:p>
      <w:pPr>
        <w:spacing w:after="0"/>
      </w:pPr>
    </w:p>
    <w:p>
      <w:pPr>
        <w:pStyle w:val="Heading1"/>
      </w:pPr>
      <w:r>
        <w:t>Scope and non-goals for the first paper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80"/>
            <w:shd w:fill="12263A"/>
            <w:tcMar>
              <w:top w:w="85" w:type="dxa"/>
              <w:start w:w="85" w:type="dxa"/>
              <w:bottom w:w="85" w:type="dxa"/>
              <w:end w:w="85" w:type="dxa"/>
            </w:tcMar>
            <w:vAlign w:val="center"/>
          </w:tcPr>
          <w:p>
            <w:pPr>
              <w:jc w:val="left"/>
            </w:pPr>
            <w:r>
              <w:rPr>
                <w:rFonts w:ascii="Arial" w:hAnsi="Arial" w:eastAsia="Arial"/>
                <w:b/>
                <w:color w:val="FFFFFF"/>
                <w:sz w:val="16"/>
              </w:rPr>
              <w:t>Included now</w:t>
            </w:r>
          </w:p>
        </w:tc>
        <w:tc>
          <w:tcPr>
            <w:tcW w:type="dxa" w:w="4824"/>
            <w:shd w:fill="12263A"/>
            <w:tcMar>
              <w:top w:w="85" w:type="dxa"/>
              <w:start w:w="85" w:type="dxa"/>
              <w:bottom w:w="85" w:type="dxa"/>
              <w:end w:w="85" w:type="dxa"/>
            </w:tcMar>
            <w:vAlign w:val="center"/>
          </w:tcPr>
          <w:p>
            <w:pPr>
              <w:jc w:val="left"/>
            </w:pPr>
            <w:r>
              <w:rPr>
                <w:rFonts w:ascii="Arial" w:hAnsi="Arial" w:eastAsia="Arial"/>
                <w:b/>
                <w:color w:val="FFFFFF"/>
                <w:sz w:val="16"/>
              </w:rPr>
              <w:t>Explicitly excluded from implementation</w:t>
            </w:r>
          </w:p>
        </w:tc>
      </w:tr>
      <w:tr>
        <w:trPr>
          <w:cantSplit/>
          <w:trHeight w:hRule="atLeast"/>
        </w:trPr>
        <w:tc>
          <w:tcPr>
            <w:tcW w:type="dxa" w:w="46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Single-turn or short-context routing</w:t>
            </w:r>
          </w:p>
        </w:tc>
        <w:tc>
          <w:tcPr>
            <w:tcW w:type="dxa" w:w="482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Long-horizon agent-step routing</w:t>
            </w:r>
          </w:p>
        </w:tc>
      </w:tr>
      <w:tr>
        <w:trPr>
          <w:cantSplit/>
          <w:trHeight w:hRule="atLeast"/>
        </w:trPr>
        <w:tc>
          <w:tcPr>
            <w:tcW w:type="dxa" w:w="46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Text-first, objective or objectively gradable tasks</w:t>
            </w:r>
          </w:p>
        </w:tc>
        <w:tc>
          <w:tcPr>
            <w:tcW w:type="dxa" w:w="482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Full multimodal routing and open-ended creative quality optimization</w:t>
            </w:r>
          </w:p>
        </w:tc>
      </w:tr>
      <w:tr>
        <w:trPr>
          <w:cantSplit/>
          <w:trHeight w:hRule="atLeast"/>
        </w:trPr>
        <w:tc>
          <w:tcPr>
            <w:tcW w:type="dxa" w:w="46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Fixed curated model pool</w:t>
            </w:r>
          </w:p>
        </w:tc>
        <w:tc>
          <w:tcPr>
            <w:tcW w:type="dxa" w:w="482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Dynamic discovery of every newly released model during live traffic</w:t>
            </w:r>
          </w:p>
        </w:tc>
      </w:tr>
      <w:tr>
        <w:trPr>
          <w:cantSplit/>
          <w:trHeight w:hRule="atLeast"/>
        </w:trPr>
        <w:tc>
          <w:tcPr>
            <w:tcW w:type="dxa" w:w="46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Offline training and controlled releases</w:t>
            </w:r>
          </w:p>
        </w:tc>
        <w:tc>
          <w:tcPr>
            <w:tcW w:type="dxa" w:w="482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Direct online self-modification from user feedback</w:t>
            </w:r>
          </w:p>
        </w:tc>
      </w:tr>
      <w:tr>
        <w:trPr>
          <w:cantSplit/>
          <w:trHeight w:hRule="atLeast"/>
        </w:trPr>
        <w:tc>
          <w:tcPr>
            <w:tcW w:type="dxa" w:w="46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One bounded escalation</w:t>
            </w:r>
          </w:p>
        </w:tc>
        <w:tc>
          <w:tcPr>
            <w:tcW w:type="dxa" w:w="482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Unbounded recursive cascades or multi-agent debate</w:t>
            </w:r>
          </w:p>
        </w:tc>
      </w:tr>
      <w:tr>
        <w:trPr>
          <w:cantSplit/>
          <w:trHeight w:hRule="atLeast"/>
        </w:trPr>
        <w:tc>
          <w:tcPr>
            <w:tcW w:type="dxa" w:w="46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Low-dimensional difficulty and capability models</w:t>
            </w:r>
          </w:p>
        </w:tc>
        <w:tc>
          <w:tcPr>
            <w:tcW w:type="dxa" w:w="482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High-dimensional cognitive diagnosis before sufficient solver diversity exists</w:t>
            </w:r>
          </w:p>
        </w:tc>
      </w:tr>
    </w:tbl>
    <w:p>
      <w:pPr>
        <w:spacing w:after="0"/>
      </w:pPr>
    </w:p>
    <w:p>
      <w:pPr>
        <w:jc w:val="center"/>
      </w:pPr>
      <w:r>
        <w:drawing>
          <wp:inline xmlns:a="http://schemas.openxmlformats.org/drawingml/2006/main" xmlns:pic="http://schemas.openxmlformats.org/drawingml/2006/picture">
            <wp:extent cx="6126480" cy="3356004"/>
            <wp:docPr id="1" name="Picture 1"/>
            <wp:cNvGraphicFramePr>
              <a:graphicFrameLocks noChangeAspect="1"/>
            </wp:cNvGraphicFramePr>
            <a:graphic>
              <a:graphicData uri="http://schemas.openxmlformats.org/drawingml/2006/picture">
                <pic:pic>
                  <pic:nvPicPr>
                    <pic:cNvPr id="0" name="fig1_research_flow.png"/>
                    <pic:cNvPicPr/>
                  </pic:nvPicPr>
                  <pic:blipFill>
                    <a:blip r:embed="rId11"/>
                    <a:stretch>
                      <a:fillRect/>
                    </a:stretch>
                  </pic:blipFill>
                  <pic:spPr>
                    <a:xfrm>
                      <a:off x="0" y="0"/>
                      <a:ext cx="6126480" cy="3356004"/>
                    </a:xfrm>
                    <a:prstGeom prst="rect"/>
                  </pic:spPr>
                </pic:pic>
              </a:graphicData>
            </a:graphic>
          </wp:inline>
        </w:drawing>
      </w:r>
    </w:p>
    <w:p>
      <w:pPr>
        <w:pStyle w:val="FigureCaption"/>
      </w:pPr>
      <w:r>
        <w:t>Figure 1. Evidence-gated development logic. Complexity is added only after the simpler stage passes its pre-registered gate.</w:t>
      </w:r>
    </w:p>
    <w:p>
      <w:r>
        <w:br w:type="page"/>
      </w:r>
    </w:p>
    <w:p>
      <w:pPr>
        <w:pStyle w:val="Heading1"/>
      </w:pPr>
      <w:r>
        <w:t>Contents and experiment 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5"/>
            <w:shd w:fill="12263A"/>
            <w:tcMar>
              <w:top w:w="85" w:type="dxa"/>
              <w:start w:w="85" w:type="dxa"/>
              <w:bottom w:w="85" w:type="dxa"/>
              <w:end w:w="85" w:type="dxa"/>
            </w:tcMar>
            <w:vAlign w:val="center"/>
          </w:tcPr>
          <w:p>
            <w:pPr>
              <w:jc w:val="left"/>
            </w:pPr>
            <w:r>
              <w:rPr>
                <w:rFonts w:ascii="Arial" w:hAnsi="Arial" w:eastAsia="Arial"/>
                <w:b/>
                <w:color w:val="FFFFFF"/>
                <w:sz w:val="17"/>
              </w:rPr>
              <w:t>Section</w:t>
            </w:r>
          </w:p>
        </w:tc>
        <w:tc>
          <w:tcPr>
            <w:tcW w:type="dxa" w:w="7848"/>
            <w:shd w:fill="12263A"/>
            <w:tcMar>
              <w:top w:w="85" w:type="dxa"/>
              <w:start w:w="85" w:type="dxa"/>
              <w:bottom w:w="85" w:type="dxa"/>
              <w:end w:w="85" w:type="dxa"/>
            </w:tcMar>
            <w:vAlign w:val="center"/>
          </w:tcPr>
          <w:p>
            <w:pPr>
              <w:jc w:val="left"/>
            </w:pPr>
            <w:r>
              <w:rPr>
                <w:rFonts w:ascii="Arial" w:hAnsi="Arial" w:eastAsia="Arial"/>
                <w:b/>
                <w:color w:val="FFFFFF"/>
                <w:sz w:val="17"/>
              </w:rPr>
              <w:t>Purpose</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Part I</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Scientific framing and target system</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0</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Protocol lock and reproducibility foundation</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1</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Source, license, and provenance registry</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2</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Candidate model-configuration registry</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3</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Dataset acquisition and canonical outcome tensor</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4</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Evaluation harness and task-specific graders</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5</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Fixed baselines, learned baselines, and oracle bounds</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6</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Difficulty experiment and ablation</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7</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Per-configuration success predictor</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8</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Probability calibration, OOD detection, and optimizer</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9</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Task-aware verification and bounded escalation</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10</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Leakage, privacy, security, and adversarial testing</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11</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Main experiment, statistics, and ablation suite</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Phase 12</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Shadow deployment and research-paper curation</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Part III</w:t>
            </w:r>
          </w:p>
        </w:tc>
        <w:tc>
          <w:tcPr>
            <w:tcW w:type="dxa" w:w="784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Resource catalog, schemas, pseudocode, and paper template</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7"/>
              </w:rPr>
              <w:t>Future only</w:t>
            </w:r>
          </w:p>
        </w:tc>
        <w:tc>
          <w:tcPr>
            <w:tcW w:type="dxa" w:w="784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7"/>
              </w:rPr>
              <w:t>Agent routing, contextual bandits, adaptive tests, personalization, and multimodality</w:t>
            </w:r>
          </w:p>
        </w:tc>
      </w:tr>
      <w:tr>
        <w:tc>
          <w:tcPr>
            <w:tcW w:type="dxa" w:w="5083"/>
          </w:tcPr>
          <w:p>
            <w:r>
              <w:t>Second-audit revision summary [Reviewed 2]</w:t>
            </w:r>
          </w:p>
        </w:tc>
        <w:tc>
          <w:tcPr>
            <w:tcW w:type="dxa" w:w="5083"/>
          </w:tcPr>
          <w:p>
            <w:r>
              <w:t>What changed in v2.0, why, and where each change lands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FF8E7"/>
            <w:tcBorders>
              <w:top w:val="single" w:sz="8" w:color="C7942E"/>
              <w:left w:val="single" w:sz="18" w:color="C7942E"/>
              <w:bottom w:val="single" w:sz="8" w:color="C7942E"/>
              <w:right w:val="single" w:sz="8" w:color="C7942E"/>
            </w:tcBorders>
            <w:tcMar>
              <w:top w:w="110" w:type="dxa"/>
              <w:start w:w="145" w:type="dxa"/>
              <w:bottom w:w="110" w:type="dxa"/>
              <w:end w:w="145" w:type="dxa"/>
            </w:tcMar>
          </w:tcPr>
          <w:p>
            <w:pPr>
              <w:spacing w:after="40"/>
            </w:pPr>
            <w:r>
              <w:rPr>
                <w:rFonts w:ascii="Arial" w:hAnsi="Arial" w:eastAsia="Arial"/>
                <w:b/>
                <w:color w:val="C7942E"/>
                <w:sz w:val="19"/>
              </w:rPr>
              <w:t>How to use this plan</w:t>
            </w:r>
          </w:p>
          <w:p>
            <w:pPr>
              <w:spacing w:after="0"/>
            </w:pPr>
            <w:r>
              <w:rPr>
                <w:rFonts w:ascii="Arial" w:hAnsi="Arial" w:eastAsia="Arial"/>
                <w:color w:val="263238"/>
                <w:sz w:val="17"/>
              </w:rPr>
              <w:t>Complete phases in order. Do not begin a later phase merely because its code is more interesting. A phase advances only when its required artifacts exist, its quality checks pass, and its release gate is recorded in the experiment log.</w:t>
            </w:r>
          </w:p>
        </w:tc>
      </w:tr>
    </w:tbl>
    <w:p>
      <w:pPr>
        <w:spacing w:after="0"/>
      </w:pPr>
    </w:p>
    <w:p>
      <w:pPr>
        <w:pStyle w:val="Heading1"/>
      </w:pPr>
      <w:r>
        <w:t>Part I - Scientific framing and target system</w:t>
      </w:r>
    </w:p>
    <w:p>
      <w:pPr>
        <w:pStyle w:val="Heading2"/>
      </w:pPr>
      <w:r>
        <w:t>1. Target decision rule</w:t>
      </w:r>
    </w:p>
    <w:p>
      <w:pPr>
        <w:spacing w:after="40"/>
      </w:pPr>
      <w:r>
        <w:rPr>
          <w:rFonts w:ascii="Arial" w:hAnsi="Arial" w:eastAsia="Arial"/>
          <w:i/>
          <w:color w:val="4D5960"/>
          <w:sz w:val="17"/>
        </w:rPr>
        <w:t>North-star optimization rule</w:t>
      </w:r>
    </w:p>
    <w:tbl>
      <w:tblPr>
        <w:tblW w:type="auto" w:w="0"/>
        <w:jc w:val="center"/>
        <w:tblLook w:firstColumn="1" w:firstRow="1" w:lastColumn="0" w:lastRow="0" w:noHBand="0" w:noVBand="1" w:val="04A0"/>
      </w:tblPr>
      <w:tblGrid>
        <w:gridCol w:w="10166"/>
      </w:tblGrid>
      <w:tr>
        <w:tc>
          <w:tcPr>
            <w:tcW w:type="dxa" w:w="10166"/>
            <w:shd w:fill="263238"/>
            <w:tcBorders>
              <w:top w:val="single" w:sz="4" w:color="263238"/>
              <w:left w:val="single" w:sz="4" w:color="263238"/>
              <w:bottom w:val="single" w:sz="4" w:color="263238"/>
              <w:right w:val="single" w:sz="4" w:color="263238"/>
            </w:tcBorders>
            <w:tcMar>
              <w:top w:w="120" w:type="dxa"/>
              <w:start w:w="140" w:type="dxa"/>
              <w:bottom w:w="120" w:type="dxa"/>
              <w:end w:w="140" w:type="dxa"/>
            </w:tcMar>
          </w:tcPr>
          <w:p>
            <w:r>
              <w:t>selected_configuration = argmin ExpectedTotalCost(configuration, request)</w:t>
              <w:br/>
              <w:t>subject to:</w:t>
              <w:br/>
              <w:t xml:space="preserve">  conformal_success_bound(request, configuration, session) &gt;= quality_threshold</w:t>
              <w:br/>
              <w:t xml:space="preserve">  configuration satisfies safety, privacy, modality, context, availability, and budget constraints [Reviewed]</w:t>
            </w:r>
          </w:p>
        </w:tc>
      </w:tr>
    </w:tbl>
    <w:p>
      <w:pPr>
        <w:spacing w:after="0"/>
      </w:pPr>
    </w:p>
    <w:p>
      <w:pPr>
        <w:keepNext w:val="0"/>
        <w:spacing w:after="80"/>
      </w:pPr>
      <w:r>
        <w:t>Expected total cost includes router inference, generation, domain-gated verification, tools, failed calls, retries, cached and uncached tokens, and local compute cost. The conservative success bound is a calibrated lower confidence bound derived via Conformal Risk Control (CRC) / Learn-Then-Test guarantees rather than an unqualified point estimate. [Reviewed]</w:t>
      </w:r>
    </w:p>
    <w:p>
      <w:pPr>
        <w:pStyle w:val="Heading2"/>
      </w:pPr>
      <w:r>
        <w:t>2. Experimental unit and terminology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263A"/>
            <w:tcMar>
              <w:top w:w="85" w:type="dxa"/>
              <w:start w:w="85" w:type="dxa"/>
              <w:bottom w:w="85" w:type="dxa"/>
              <w:end w:w="85" w:type="dxa"/>
            </w:tcMar>
            <w:vAlign w:val="center"/>
          </w:tcPr>
          <w:p>
            <w:pPr>
              <w:jc w:val="left"/>
            </w:pPr>
            <w:r>
              <w:rPr>
                <w:rFonts w:ascii="Arial" w:hAnsi="Arial" w:eastAsia="Arial"/>
                <w:b/>
                <w:color w:val="FFFFFF"/>
                <w:sz w:val="16"/>
              </w:rPr>
              <w:t>Term</w:t>
            </w:r>
          </w:p>
        </w:tc>
        <w:tc>
          <w:tcPr>
            <w:tcW w:type="dxa" w:w="7272"/>
            <w:shd w:fill="12263A"/>
            <w:tcMar>
              <w:top w:w="85" w:type="dxa"/>
              <w:start w:w="85" w:type="dxa"/>
              <w:bottom w:w="85" w:type="dxa"/>
              <w:end w:w="85" w:type="dxa"/>
            </w:tcMar>
            <w:vAlign w:val="center"/>
          </w:tcPr>
          <w:p>
            <w:pPr>
              <w:jc w:val="left"/>
            </w:pPr>
            <w:r>
              <w:rPr>
                <w:rFonts w:ascii="Arial" w:hAnsi="Arial" w:eastAsia="Arial"/>
                <w:b/>
                <w:color w:val="FFFFFF"/>
                <w:sz w:val="16"/>
              </w:rPr>
              <w:t>Operational definition</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Request</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The exact router-visible prompt and allowed session state at decision time.</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Model configuration</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Provider, model, immutable version, effort mode (e.g. reasoning token limits), output budget, system-prompt profile, tool profile, and decoding settings. [Reviewed]</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Outcome</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Task score plus grader metadata, cost, latency, token counts, failure status, and repeat/seed.</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Population difficulty</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Empirical difficulty across a defined solver population (1PL/Rasch parameter theta), utilized as an offline diagnostic ablation. [Reviewed]</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Model-specific difficulty</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1 - P(success | request, configuration), estimated directly via calibrated prediction over query representations. [Reviewed]</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Operational difficulty</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Expected resource demands: context, output, tools, verification, latency, and retries.</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Route event</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One decision plus its predictions, selected configuration, execution result, verification, and redacted telemetry.</w:t>
            </w:r>
          </w:p>
        </w:tc>
      </w:tr>
    </w:tbl>
    <w:p>
      <w:pPr>
        <w:spacing w:after="0"/>
      </w:pPr>
    </w:p>
    <w:p>
      <w:pPr>
        <w:jc w:val="center"/>
      </w:pPr>
      <w:r>
        <w:drawing>
          <wp:inline xmlns:a="http://schemas.openxmlformats.org/drawingml/2006/main" xmlns:pic="http://schemas.openxmlformats.org/drawingml/2006/picture">
            <wp:extent cx="6126480" cy="3356004"/>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2"/>
                    <a:stretch>
                      <a:fillRect/>
                    </a:stretch>
                  </pic:blipFill>
                  <pic:spPr>
                    <a:xfrm>
                      <a:off x="0" y="0"/>
                      <a:ext cx="6126480" cy="3356004"/>
                    </a:xfrm>
                    <a:prstGeom prst="rect"/>
                  </pic:spPr>
                </pic:pic>
              </a:graphicData>
            </a:graphic>
          </wp:inline>
        </w:drawing>
      </w:r>
    </w:p>
    <w:p>
      <w:pPr>
        <w:pStyle w:val="FigureCaption"/>
      </w:pPr>
      <w:r>
        <w:t>Figure 2. Final control-plane and data-plane architecture.</w:t>
      </w:r>
    </w:p>
    <w:p>
      <w:pPr>
        <w:pStyle w:val="Heading2"/>
      </w:pPr>
      <w:r>
        <w:t>3. Development logic</w:t>
      </w:r>
    </w:p>
    <w:p>
      <w:pPr>
        <w:pStyle w:val="ListBullet"/>
        <w:spacing w:after="36" w:line="245" w:lineRule="auto"/>
        <w:ind w:left="317" w:hanging="173"/>
      </w:pPr>
      <w:r>
        <w:t>Prove the evaluation pipeline before training a sophisticated router.</w:t>
      </w:r>
    </w:p>
    <w:p>
      <w:pPr>
        <w:pStyle w:val="ListBullet"/>
        <w:spacing w:after="36" w:line="245" w:lineRule="auto"/>
        <w:ind w:left="317" w:hanging="173"/>
      </w:pPr>
      <w:r>
        <w:t>Prove item-level routing beats fixed and task-only controls before interpreting latent difficulty.</w:t>
      </w:r>
    </w:p>
    <w:p>
      <w:pPr>
        <w:pStyle w:val="ListBullet"/>
        <w:spacing w:after="36" w:line="245" w:lineRule="auto"/>
        <w:ind w:left="317" w:hanging="173"/>
      </w:pPr>
      <w:r>
        <w:t>Demote latent IRT difficulty to offline diagnostic ablation; do not burden the online data path unless incremental mutual information is empirically demonstrated. [Reviewed]</w:t>
      </w:r>
    </w:p>
    <w:p>
      <w:pPr>
        <w:pStyle w:val="ListBullet"/>
        <w:spacing w:after="36" w:line="245" w:lineRule="auto"/>
        <w:ind w:left="317" w:hanging="173"/>
      </w:pPr>
      <w:r>
        <w:t>Calibrate the POLICY, not the arm: use Learn-Then-Test with FWER control over the policy-parameter grid, with the loss evaluated on the configuration the policy selects. Per-arm Conformal Risk Control is kept in the codebase as the negative control. [Reviewed 2]</w:t>
      </w:r>
    </w:p>
    <w:p>
      <w:pPr>
        <w:pStyle w:val="ListBullet"/>
        <w:spacing w:after="36" w:line="245" w:lineRule="auto"/>
        <w:ind w:left="317" w:hanging="173"/>
      </w:pPr>
      <w:r>
        <w:t>Gate verification strictly to deterministic code and symbolic math domains; bypass open-ended text to avoid latency blowouts. [Reviewed]</w:t>
      </w:r>
    </w:p>
    <w:p>
      <w:pPr>
        <w:pStyle w:val="ListBullet"/>
        <w:spacing w:after="36" w:line="245" w:lineRule="auto"/>
        <w:ind w:left="317" w:hanging="173"/>
      </w:pPr>
      <w:r>
        <w:t>Enforce strict cluster-based anti-leakage splitting via MinHash LSH and dense cosine similarity. [Reviewed]</w:t>
      </w:r>
    </w:p>
    <w:p>
      <w:pPr>
        <w:pStyle w:val="ListBullet"/>
        <w:spacing w:after="36" w:line="245" w:lineRule="auto"/>
        <w:ind w:left="317" w:hanging="173"/>
      </w:pPr>
      <w:r>
        <w:t>Bound cost amplification with an independent budget firewall as the confirmatory security control; treat perplexity and OOD detectors as best-effort filters evaluated only under an adaptive, defence-in-the-loop attacker. [Reviewed 2]</w:t>
      </w:r>
    </w:p>
    <w:p>
      <w:pPr>
        <w:pStyle w:val="ListBullet"/>
        <w:spacing w:after="36" w:line="245" w:lineRule="auto"/>
        <w:ind w:left="317" w:hanging="173"/>
      </w:pPr>
      <w:r>
        <w:t>Never gate on an ex-post oracle: all oracle quantities use the split-repeat (cross-fitted) estimator. [Reviewed 2]</w:t>
      </w:r>
    </w:p>
    <w:p>
      <w:pPr>
        <w:pStyle w:val="ListBullet"/>
        <w:spacing w:after="36" w:line="245" w:lineRule="auto"/>
        <w:ind w:left="317" w:hanging="173"/>
      </w:pPr>
      <w:r>
        <w:t>Never gate on pooled ROC-AUC: discrimination is measured within-item against a per-configuration-constant negative control. [Reviewed 2]</w:t>
      </w:r>
    </w:p>
    <w:p>
      <w:pPr>
        <w:pStyle w:val="ListBullet"/>
        <w:spacing w:after="36" w:line="245" w:lineRule="auto"/>
        <w:ind w:left="317" w:hanging="173"/>
      </w:pPr>
      <w:r>
        <w:t>Route out-of-distribution inputs to a bounded-cost path, never to the most expensive configuration. [Reviewed 2]</w:t>
      </w:r>
    </w:p>
    <w:p>
      <w:pPr>
        <w:pStyle w:val="ListBullet"/>
        <w:spacing w:after="36" w:line="245" w:lineRule="auto"/>
        <w:ind w:left="317" w:hanging="173"/>
      </w:pPr>
      <w:r>
        <w:t>Report every cost claim as a function of the provider price ratio, plus one price-free metric. [Reviewed 2]</w:t>
      </w:r>
    </w:p>
    <w:p>
      <w:pPr>
        <w:pStyle w:val="ListBullet"/>
        <w:spacing w:after="36" w:line="245" w:lineRule="auto"/>
        <w:ind w:left="317" w:hanging="173"/>
      </w:pPr>
      <w:r>
        <w:t>Fix the budget before the corpus size; derive N from budget and power. [Reviewed 2]</w:t>
      </w:r>
    </w:p>
    <w:p>
      <w:pPr>
        <w:pStyle w:val="Heading1"/>
      </w:pPr>
      <w:r>
        <w:t>Phase 0 - Protocol lock and reproducibility foundation</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Without a locked protocol, thresholds, splits, and metrics can drift toward whichever router looks best. The first artifact must therefore be the experiment contract, not model code.</w:t>
            </w:r>
          </w:p>
        </w:tc>
      </w:tr>
    </w:tbl>
    <w:p>
      <w:pPr>
        <w:spacing w:after="0"/>
      </w:pPr>
    </w:p>
    <w:p>
      <w:pPr>
        <w:spacing w:after="80"/>
      </w:pPr>
      <w:r>
        <w:t>Purpose. Freeze a SINGLE unambiguous primary endpoint (total workflow cost per 1,000 requests at an absolute accuracy floor of Best Single minus delta, delta = 0.02 ABSOLUTE, at one pre-registered operating point and one reference price ratio rho_0), the alpha hierarchy, the missingness rule, the budget, and the power-derived N, before any model result can influence them. The v1.1 formulations 'Cost at 95% Quality Retention' (5% relative), 'delta = 0.02' (2 points absolute), 'MVE &gt;= 20%' and 'H1 &gt;= 30%' were mutually inconsistent - they coincide only where baseline accuracy is near 0.40 - and are all withdrawn in favour of the single definition above. [Reviewed 2]</w:t>
      </w:r>
    </w:p>
    <w:p>
      <w:pPr>
        <w:spacing w:after="120"/>
      </w:pPr>
      <w:r>
        <w:t>Testable hypothesis. A versioned protocol with exactly one endpoint definition, a declared alpha hierarchy, a declared missingness rule, a fixed budget and a power-derived N will make every reported result reproducible and will remove the post-unblinding levers that v1.1 still left open.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LLMRouter, LLMRouter repository, LLMRouterBench.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 [R1]</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Unified components and experiment surfaces.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3">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 repository [R1]</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Executable research scaffold and benchmark pipeline.</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4">
              <w:r>
                <w:rPr>
                  <w:rFonts w:ascii="Arial" w:hAnsi="Arial"/>
                  <w:color w:val="167C80"/>
                  <w:u w:val="single"/>
                  <w:b/>
                  <w:sz w:val="15"/>
                </w:rPr>
                <w:t>Repository</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LLMRouterBench [R2]</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Unified metrics, baselines, ID/OOD settings, and standardized records.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5">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Verify data license</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Research questions RQ1-RQ6 and their revised hypotheses: H-P (primary, post-selection-valid risk control), H-S1 to H-S3 (fixed-sequence secondaries), and E-1 / E-2 (exploratory). [Reviewed 2]</w:t>
      </w:r>
    </w:p>
    <w:p>
      <w:pPr>
        <w:pStyle w:val="ListBullet"/>
        <w:spacing w:after="36" w:line="245" w:lineRule="auto"/>
        <w:ind w:left="317" w:hanging="173"/>
      </w:pPr>
      <w:r>
        <w:rPr>
          <w:rFonts w:ascii="Arial" w:hAnsi="Arial" w:eastAsia="Arial"/>
          <w:sz w:val="18"/>
        </w:rPr>
        <w:t>Initial product profile: objective tasks, fixed pool, offline learning, one escalation.</w:t>
      </w:r>
    </w:p>
    <w:p>
      <w:pPr>
        <w:pStyle w:val="ListBullet"/>
        <w:spacing w:after="36" w:line="245" w:lineRule="auto"/>
        <w:ind w:left="317" w:hanging="173"/>
      </w:pPr>
      <w:r>
        <w:rPr>
          <w:rFonts w:ascii="Arial" w:hAnsi="Arial" w:eastAsia="Arial"/>
          <w:sz w:val="18"/>
        </w:rPr>
        <w:t>A clean Git repository and an immutable experiment-manifest schema.</w:t>
      </w:r>
    </w:p>
    <w:p>
      <w:pPr>
        <w:pStyle w:val="Heading2"/>
      </w:pPr>
      <w:r>
        <w:t>Procedure</w:t>
      </w:r>
    </w:p>
    <w:p>
      <w:pPr>
        <w:pStyle w:val="ListNumber"/>
        <w:spacing w:after="50"/>
        <w:ind w:left="403" w:hanging="259"/>
      </w:pPr>
      <w:r>
        <w:t>Create PROTOCOL.md containing the target rule; the SINGLE primary endpoint (total workflow cost per 1,000 requests at accuracy &gt;= Best Single - 0.02 absolute, at price ratio rho_0); the alpha hierarchy (primary alpha = 0.025 one-sided; fixed-sequence gatekeeping for H-S1 to H-S3; BH q* = 0.05 for exploratory families); the missingness rule; the budget; and the power-derived N. [Reviewed 2]</w:t>
      </w:r>
    </w:p>
    <w:p>
      <w:pPr>
        <w:pStyle w:val="ListNumber"/>
        <w:spacing w:after="50"/>
        <w:ind w:left="403" w:hanging="259"/>
      </w:pPr>
      <w:r>
        <w:rPr>
          <w:rFonts w:ascii="Arial" w:hAnsi="Arial" w:eastAsia="Arial"/>
          <w:sz w:val="18"/>
        </w:rPr>
        <w:t>Create an experiment manifest with code commit, dataset revisions, model configuration IDs, provider endpoints, grader versions, pricing snapshot timestamp, and random seeds.</w:t>
      </w:r>
    </w:p>
    <w:p>
      <w:pPr>
        <w:pStyle w:val="ListNumber"/>
        <w:spacing w:after="50"/>
        <w:ind w:left="403" w:hanging="259"/>
      </w:pPr>
      <w:r>
        <w:rPr>
          <w:rFonts w:ascii="Arial" w:hAnsi="Arial" w:eastAsia="Arial"/>
          <w:sz w:val="18"/>
        </w:rPr>
        <w:t>Define a change-control rule: protocol changes after test access require a new study version and a written reason.</w:t>
      </w:r>
    </w:p>
    <w:p>
      <w:pPr>
        <w:pStyle w:val="ListNumber"/>
        <w:spacing w:after="50"/>
        <w:ind w:left="403" w:hanging="259"/>
      </w:pPr>
      <w:r>
        <w:rPr>
          <w:rFonts w:ascii="Arial" w:hAnsi="Arial" w:eastAsia="Arial"/>
          <w:sz w:val="18"/>
        </w:rPr>
        <w:t>Create an issue template for every experiment: hypothesis, inputs, exact command, expected artifact, observed artifact, deviations, and decision.</w:t>
      </w:r>
    </w:p>
    <w:p>
      <w:pPr>
        <w:pStyle w:val="ListNumber"/>
        <w:spacing w:after="50"/>
        <w:ind w:left="403" w:hanging="259"/>
      </w:pPr>
      <w:r>
        <w:rPr>
          <w:rFonts w:ascii="Arial" w:hAnsi="Arial" w:eastAsia="Arial"/>
          <w:sz w:val="18"/>
        </w:rPr>
        <w:t>Record the initial exclusions so future features cannot quietly enter the first paper.</w:t>
      </w:r>
    </w:p>
    <w:p>
      <w:pPr>
        <w:pStyle w:val="ListNumber"/>
        <w:spacing w:after="50"/>
        <w:ind w:left="403" w:hanging="259"/>
      </w:pPr>
      <w:r>
        <w:rPr>
          <w:rFonts w:ascii="Arial" w:hAnsi="Arial" w:eastAsia="Arial"/>
          <w:sz w:val="18"/>
        </w:rPr>
        <w:t>Fix the total API budget FIRST. Derive the main-study item count N from that budget and from the power calculation, and record both. Never set N first and discover the budget afterwards. [Reviewed 2]</w:t>
      </w:r>
    </w:p>
    <w:p>
      <w:pPr>
        <w:pStyle w:val="ListNumber"/>
        <w:spacing w:after="50"/>
        <w:ind w:left="403" w:hanging="259"/>
      </w:pPr>
      <w:r>
        <w:rPr>
          <w:rFonts w:ascii="Arial" w:hAnsi="Arial" w:eastAsia="Arial"/>
          <w:sz w:val="18"/>
        </w:rPr>
        <w:t>Record the power calculation explicitly. For a paired non-inferiority test at delta = 0.02 absolute, alpha = 0.025 one-sided and 80% power, n = 2,943 at a discordant-pair rate psi = 0.15 and rises to 3,924 at psi = 0.20 and 5,887 at psi = 0.30; cluster splitting multiplies this by the design effect DEFF = 1 + (m-1)*ICC, giving 4,121 to 10,890 for realistic cluster sizes. The primary endpoint is a cost ratio, so it additionally requires a bootstrap-based power calculation of its own. The v1.1 '3k items' figure is adequate only in the most favourable case. [Reviewed 2]</w:t>
      </w:r>
    </w:p>
    <w:p>
      <w:pPr>
        <w:pStyle w:val="ListNumber"/>
        <w:spacing w:after="50"/>
        <w:ind w:left="403" w:hanging="259"/>
      </w:pPr>
      <w:r>
        <w:rPr>
          <w:rFonts w:ascii="Arial" w:hAnsi="Arial" w:eastAsia="Arial"/>
          <w:sz w:val="18"/>
        </w:rPr>
        <w:t>Declare the missingness rule now, not later: intention-to-treat is primary (a provider failure on the configuration a policy selected counts as a task failure for that policy), with a per-protocol sensitivity analysis excluding documented provider outages. [Reviewed 2]</w:t>
      </w:r>
    </w:p>
    <w:p>
      <w:pPr>
        <w:pStyle w:val="ListNumber"/>
        <w:spacing w:after="50"/>
        <w:ind w:left="403" w:hanging="259"/>
      </w:pPr>
      <w:r>
        <w:rPr>
          <w:rFonts w:ascii="Arial" w:hAnsi="Arial" w:eastAsia="Arial"/>
          <w:sz w:val="18"/>
        </w:rPr>
        <w:t>Declare the price-scenario grid: a reference ratio rho_0 for the primary endpoint plus a reported sweep over rho in [1.5, 50]. Cost savings are a function of the price vector, not a property of the router - an identical policy making identical decisions reports 15.0% savings at rho = 1.5 and 44.2% at rho = 50. [Reviewed 2]</w:t>
      </w:r>
    </w:p>
    <w:p>
      <w:pPr>
        <w:pStyle w:val="Heading2"/>
      </w:pPr>
      <w:r>
        <w:t>Measurements and controls</w:t>
      </w:r>
    </w:p>
    <w:p>
      <w:pPr>
        <w:pStyle w:val="ListBullet"/>
        <w:spacing w:after="36" w:line="245" w:lineRule="auto"/>
        <w:ind w:left="317" w:hanging="173"/>
      </w:pPr>
      <w:r>
        <w:rPr>
          <w:rFonts w:ascii="Arial" w:hAnsi="Arial" w:eastAsia="Arial"/>
          <w:sz w:val="18"/>
        </w:rPr>
        <w:t>Reproducibility check: a clean environment can parse the manifest and locate every pinned artifact.</w:t>
      </w:r>
    </w:p>
    <w:p>
      <w:pPr>
        <w:pStyle w:val="ListBullet"/>
        <w:spacing w:after="36" w:line="245" w:lineRule="auto"/>
        <w:ind w:left="317" w:hanging="173"/>
      </w:pPr>
      <w:r>
        <w:rPr>
          <w:rFonts w:ascii="Arial" w:hAnsi="Arial" w:eastAsia="Arial"/>
          <w:sz w:val="18"/>
        </w:rPr>
        <w:t>Protocol completeness check: no primary metric or release threshold is marked TBD before the main test run.</w:t>
      </w:r>
    </w:p>
    <w:p>
      <w:pPr>
        <w:pStyle w:val="Heading2"/>
      </w:pPr>
      <w:r>
        <w:t>Required outputs</w:t>
      </w:r>
    </w:p>
    <w:p>
      <w:pPr>
        <w:pStyle w:val="ListBullet"/>
        <w:spacing w:after="36" w:line="245" w:lineRule="auto"/>
        <w:ind w:left="317" w:hanging="173"/>
      </w:pPr>
      <w:r>
        <w:rPr>
          <w:rFonts w:ascii="Arial" w:hAnsi="Arial" w:eastAsia="Arial"/>
          <w:sz w:val="18"/>
        </w:rPr>
        <w:t>PROTOCOL.md and CHANGELOG.md.</w:t>
      </w:r>
    </w:p>
    <w:p>
      <w:pPr>
        <w:pStyle w:val="ListBullet"/>
        <w:spacing w:after="36" w:line="245" w:lineRule="auto"/>
        <w:ind w:left="317" w:hanging="173"/>
      </w:pPr>
      <w:r>
        <w:rPr>
          <w:rFonts w:ascii="Arial" w:hAnsi="Arial" w:eastAsia="Arial"/>
          <w:sz w:val="18"/>
        </w:rPr>
        <w:t>experiment_manifest.schema.json.</w:t>
      </w:r>
    </w:p>
    <w:p>
      <w:pPr>
        <w:pStyle w:val="ListBullet"/>
        <w:spacing w:after="36" w:line="245" w:lineRule="auto"/>
        <w:ind w:left="317" w:hanging="173"/>
      </w:pPr>
      <w:r>
        <w:rPr>
          <w:rFonts w:ascii="Arial" w:hAnsi="Arial" w:eastAsia="Arial"/>
          <w:sz w:val="18"/>
        </w:rPr>
        <w:t>metrics_definition.md and release_gates.yaml.</w:t>
      </w:r>
    </w:p>
    <w:p>
      <w:pPr>
        <w:pStyle w:val="ListBullet"/>
        <w:spacing w:after="36" w:line="245" w:lineRule="auto"/>
        <w:ind w:left="317" w:hanging="173"/>
      </w:pPr>
      <w:r>
        <w:rPr>
          <w:rFonts w:ascii="Arial" w:hAnsi="Arial" w:eastAsia="Arial"/>
          <w:sz w:val="18"/>
        </w:rPr>
        <w:t>A repository tag marking the frozen pre-experiment protocol.</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Metric shopping</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Primary metric changes after preliminary results are viewed.</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Freeze the primary endpoint and report every registered metric, including unfavorable results.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Unversioned provider changes</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Same model name produces different behavior over time.</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immutable model versions when available; otherwise record timestamps and recertify after drift.</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Irreproducible setup</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 second environment cannot reconstruct dependencies.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Pin lockfiles, container images, system dependencies, and exact commands.</w:t>
            </w:r>
          </w:p>
        </w:tc>
      </w:tr>
      <w:tr>
        <w:tc>
          <w:tcPr>
            <w:tcW w:type="dxa" w:w="3389"/>
          </w:tcPr>
          <w:p>
            <w:r>
              <w:t>Endpoint ambiguity survives the freeze [Reviewed 2]</w:t>
            </w:r>
          </w:p>
        </w:tc>
        <w:tc>
          <w:tcPr>
            <w:tcW w:type="dxa" w:w="3389"/>
          </w:tcPr>
          <w:p>
            <w:r>
              <w:t>More than one quality-margin definition appears anywhere in the protocol. [Reviewed 2]</w:t>
            </w:r>
          </w:p>
        </w:tc>
        <w:tc>
          <w:tcPr>
            <w:tcW w:type="dxa" w:w="3389"/>
          </w:tcPr>
          <w:p>
            <w:r>
              <w:t>Grep the frozen protocol for 'quality retention', 'relative', and every margin constant; exactly one must remain. [Reviewed 2]</w:t>
            </w:r>
          </w:p>
        </w:tc>
      </w:tr>
      <w:tr>
        <w:tc>
          <w:tcPr>
            <w:tcW w:type="dxa" w:w="3389"/>
          </w:tcPr>
          <w:p>
            <w:r>
              <w:t>Budget discovered after N is fixed [Reviewed 2]</w:t>
            </w:r>
          </w:p>
        </w:tc>
        <w:tc>
          <w:tcPr>
            <w:tcW w:type="dxa" w:w="3389"/>
          </w:tcPr>
          <w:p>
            <w:r>
              <w:t>Corpus size is specified before a costed budget exists. [Reviewed 2]</w:t>
            </w:r>
          </w:p>
        </w:tc>
        <w:tc>
          <w:tcPr>
            <w:tcW w:type="dxa" w:w="3389"/>
          </w:tcPr>
          <w:p>
            <w:r>
              <w:t>Budget-first rule; the manifest must contain a costed budget before any item count is written.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Advance only when PROTOCOL.md contains exactly ONE primary endpoint definition with no competing formulation, a declared alpha hierarchy, a declared missingness rule, a fixed budget, a power-derived N with its psi and ICC assumptions recorded, a declared price-scenario grid, and immutably signed code commits and dataset checksums.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A formal public preregistration and third-party protocol review could be added after the internal experimental design stabilizes. Do not delay the first reproducible baseline for this extension.</w:t>
            </w:r>
          </w:p>
        </w:tc>
      </w:tr>
    </w:tbl>
    <w:p>
      <w:pPr>
        <w:spacing w:after="0"/>
      </w:pPr>
    </w:p>
    <w:p>
      <w:pPr>
        <w:pStyle w:val="Heading1"/>
      </w:pPr>
      <w:r>
        <w:t>Phase 1 - Source, license, and provenance registry</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The router will combine artifacts from many owners. Provenance errors can invalidate both the paper and later product use, even when the model itself works.</w:t>
            </w:r>
          </w:p>
        </w:tc>
      </w:tr>
    </w:tbl>
    <w:p>
      <w:pPr>
        <w:spacing w:after="0"/>
      </w:pPr>
    </w:p>
    <w:p>
      <w:pPr>
        <w:spacing w:after="80"/>
      </w:pPr>
      <w:r>
        <w:t>Purpose. Build a source catalog that separates scientific usefulness from legal permission, and that separates the USE allowlist (what may enter training and evaluation) from a distinct RELEASE allowlist (what may be published in the outcome tensor). Verified constraints that make this necessary: Easy2Hard-Bench is CC BY-SA 4.0, whose share-alike term propagates to derived artifacts and whose upstream AMC/AIME/HMMT/Codeforces content the aggregator cannot sublicense; the RouterBench dataset card states no license at all; GPQA is gated. Benchmark freshness is accounted PER CONFIGURATION against each model's training cutoff, because 'post-2025' is not a meaningful freshness boundary for models with 2026 cutoffs. [Reviewed 2]</w:t>
      </w:r>
    </w:p>
    <w:p>
      <w:pPr>
        <w:spacing w:after="120"/>
      </w:pPr>
      <w:r>
        <w:rPr>
          <w:rFonts w:ascii="Arial" w:hAnsi="Arial" w:eastAsia="Arial"/>
          <w:b/>
          <w:color w:val="167C80"/>
        </w:rPr>
        <w:t xml:space="preserve">Testable hypothesis. </w:t>
      </w:r>
      <w:r>
        <w:rPr>
          <w:rFonts w:ascii="Arial" w:hAnsi="Arial" w:eastAsia="Arial"/>
        </w:rPr>
        <w:t>A source-level registry with revision hashes and access rules will prevent silent dataset substitution, stale pricing, and unsupported redistribution.</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RouterBench, Easy2Hard-Bench, GPQA.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RouterBench [R3]</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Prompt-model outcome matrix and reference implementation.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6">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 data check</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Easy2Hard-Bench [R4]</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Difficulty labels and dataset provenance fields.</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7">
              <w:r>
                <w:rPr>
                  <w:rFonts w:ascii="Arial" w:hAnsi="Arial"/>
                  <w:color w:val="167C80"/>
                  <w:u w:val="single"/>
                  <w:b/>
                  <w:sz w:val="15"/>
                </w:rPr>
                <w:t>Dataset</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CC BY-SA 4.0</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GPQA [R16]</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Example of gated access and usage expectations.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8">
              <w:r>
                <w:rPr>
                  <w:rFonts w:ascii="Arial" w:hAnsi="Arial"/>
                  <w:color w:val="167C80"/>
                  <w:u w:val="single"/>
                  <w:b/>
                  <w:sz w:val="15"/>
                </w:rPr>
                <w:t>Dataset</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Gated; CC BY 4.0</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The master source list in Part III, section E (Master resource catalog), entries R1-R38. [Reviewed 2]</w:t>
      </w:r>
    </w:p>
    <w:p>
      <w:pPr>
        <w:pStyle w:val="ListBullet"/>
        <w:spacing w:after="36" w:line="245" w:lineRule="auto"/>
        <w:ind w:left="317" w:hanging="173"/>
      </w:pPr>
      <w:r>
        <w:rPr>
          <w:rFonts w:ascii="Arial" w:hAnsi="Arial" w:eastAsia="Arial"/>
          <w:sz w:val="18"/>
        </w:rPr>
        <w:t>Official paper pages, repositories, dataset cards, provider documentation, and terms pages.</w:t>
      </w:r>
    </w:p>
    <w:p>
      <w:pPr>
        <w:pStyle w:val="ListBullet"/>
        <w:spacing w:after="36" w:line="245" w:lineRule="auto"/>
        <w:ind w:left="317" w:hanging="173"/>
      </w:pPr>
      <w:r>
        <w:rPr>
          <w:rFonts w:ascii="Arial" w:hAnsi="Arial" w:eastAsia="Arial"/>
          <w:sz w:val="18"/>
        </w:rPr>
        <w:t>A source registry table and artifact storage policy.</w:t>
      </w:r>
    </w:p>
    <w:p>
      <w:pPr>
        <w:pStyle w:val="Heading2"/>
      </w:pPr>
      <w:r>
        <w:t>Procedure</w:t>
      </w:r>
    </w:p>
    <w:p>
      <w:pPr>
        <w:pStyle w:val="ListNumber"/>
        <w:spacing w:after="50"/>
        <w:ind w:left="403" w:hanging="259"/>
      </w:pPr>
      <w:r>
        <w:rPr>
          <w:rFonts w:ascii="Arial" w:hAnsi="Arial" w:eastAsia="Arial"/>
          <w:sz w:val="18"/>
        </w:rPr>
        <w:t>Create one registry row per paper, repository, dataset, model card, provider endpoint, and pricing source.</w:t>
      </w:r>
    </w:p>
    <w:p>
      <w:pPr>
        <w:pStyle w:val="ListNumber"/>
        <w:spacing w:after="50"/>
        <w:ind w:left="403" w:hanging="259"/>
      </w:pPr>
      <w:r>
        <w:rPr>
          <w:rFonts w:ascii="Arial" w:hAnsi="Arial" w:eastAsia="Arial"/>
          <w:sz w:val="18"/>
        </w:rPr>
        <w:t>Record owner, title, URL, artifact type, license, commercial-use status, redistribution status, gated-access requirements, citation requirement, and upstream dependencies.</w:t>
      </w:r>
    </w:p>
    <w:p>
      <w:pPr>
        <w:pStyle w:val="ListNumber"/>
        <w:spacing w:after="50"/>
        <w:ind w:left="403" w:hanging="259"/>
      </w:pPr>
      <w:r>
        <w:rPr>
          <w:rFonts w:ascii="Arial" w:hAnsi="Arial" w:eastAsia="Arial"/>
          <w:sz w:val="18"/>
        </w:rPr>
        <w:t>Snapshot repository commit hashes, dataset revisions, file checksums, and retrieval timestamps.</w:t>
      </w:r>
    </w:p>
    <w:p>
      <w:pPr>
        <w:pStyle w:val="ListNumber"/>
        <w:spacing w:after="50"/>
        <w:ind w:left="403" w:hanging="259"/>
      </w:pPr>
      <w:r>
        <w:rPr>
          <w:rFonts w:ascii="Arial" w:hAnsi="Arial" w:eastAsia="Arial"/>
          <w:sz w:val="18"/>
        </w:rPr>
        <w:t>Mark license or terms as UNKNOWN when not explicitly stated. Unknown does not mean permitted.</w:t>
      </w:r>
    </w:p>
    <w:p>
      <w:pPr>
        <w:pStyle w:val="ListNumber"/>
        <w:spacing w:after="50"/>
        <w:ind w:left="403" w:hanging="259"/>
      </w:pPr>
      <w:r>
        <w:rPr>
          <w:rFonts w:ascii="Arial" w:hAnsi="Arial" w:eastAsia="Arial"/>
          <w:sz w:val="18"/>
        </w:rPr>
        <w:t>Separate raw restricted artifacts from derived metadata so the paper can describe methods without redistributing prohibited content.</w:t>
      </w:r>
    </w:p>
    <w:p>
      <w:pPr>
        <w:pStyle w:val="ListNumber"/>
        <w:spacing w:after="50"/>
        <w:ind w:left="403" w:hanging="259"/>
      </w:pPr>
      <w:r>
        <w:rPr>
          <w:rFonts w:ascii="Arial" w:hAnsi="Arial" w:eastAsia="Arial"/>
          <w:sz w:val="18"/>
        </w:rPr>
        <w:t>Before every major run, compare current provider documentation with the prior snapshot and issue a new model-registry version if material fields changed.</w:t>
      </w:r>
    </w:p>
    <w:p>
      <w:pPr>
        <w:pStyle w:val="ListNumber"/>
        <w:spacing w:after="50"/>
        <w:ind w:left="403" w:hanging="259"/>
      </w:pPr>
      <w:r>
        <w:rPr>
          <w:rFonts w:ascii="Arial" w:hAnsi="Arial" w:eastAsia="Arial"/>
          <w:sz w:val="18"/>
        </w:rPr>
        <w:t>Maintain a RELEASE allowlist separate from the use allowlist, decided BEFORE collection. For any source whose terms bar redistribution, plan to release item IDs, outcomes, and aggregate statistics only - never prompts. Record the license rationale per source in the published license matrix. [Reviewed 2]</w:t>
      </w:r>
    </w:p>
    <w:p>
      <w:pPr>
        <w:pStyle w:val="ListNumber"/>
        <w:spacing w:after="50"/>
        <w:ind w:left="403" w:hanging="259"/>
      </w:pPr>
      <w:r>
        <w:rPr>
          <w:rFonts w:ascii="Arial" w:hAnsi="Arial" w:eastAsia="Arial"/>
          <w:sz w:val="18"/>
        </w:rPr>
        <w:t>Record each configuration's known or stated training cutoff, and tag every tensor cell with whether the item post-dates that cutoff. Contamination is a per-cell property, not a per-item property, and for closed providers it can only be BOUNDED, never verified. [Reviewed 2]</w:t>
      </w:r>
    </w:p>
    <w:p>
      <w:pPr>
        <w:pStyle w:val="Heading2"/>
      </w:pPr>
      <w:r>
        <w:t>Required outputs</w:t>
      </w:r>
    </w:p>
    <w:p>
      <w:pPr>
        <w:pStyle w:val="ListBullet"/>
        <w:spacing w:after="36" w:line="245" w:lineRule="auto"/>
        <w:ind w:left="317" w:hanging="173"/>
      </w:pPr>
      <w:r>
        <w:rPr>
          <w:rFonts w:ascii="Arial" w:hAnsi="Arial" w:eastAsia="Arial"/>
          <w:sz w:val="18"/>
        </w:rPr>
        <w:t>source_registry.csv or source_registry.parquet.</w:t>
      </w:r>
    </w:p>
    <w:p>
      <w:pPr>
        <w:pStyle w:val="ListBullet"/>
        <w:spacing w:after="36" w:line="245" w:lineRule="auto"/>
        <w:ind w:left="317" w:hanging="173"/>
      </w:pPr>
      <w:r>
        <w:rPr>
          <w:rFonts w:ascii="Arial" w:hAnsi="Arial" w:eastAsia="Arial"/>
          <w:sz w:val="18"/>
        </w:rPr>
        <w:t>provenance/ directory containing checksums, revision IDs, and retrieval logs.</w:t>
      </w:r>
    </w:p>
    <w:p>
      <w:pPr>
        <w:pStyle w:val="ListBullet"/>
        <w:spacing w:after="36" w:line="245" w:lineRule="auto"/>
        <w:ind w:left="317" w:hanging="173"/>
      </w:pPr>
      <w:r>
        <w:rPr>
          <w:rFonts w:ascii="Arial" w:hAnsi="Arial" w:eastAsia="Arial"/>
          <w:sz w:val="18"/>
        </w:rPr>
        <w:t>license_review_queue.md for unclear or conflicting permissions.</w:t>
      </w:r>
    </w:p>
    <w:p>
      <w:pPr>
        <w:pStyle w:val="ListBullet"/>
        <w:spacing w:after="36" w:line="245" w:lineRule="auto"/>
        <w:ind w:left="317" w:hanging="173"/>
      </w:pPr>
      <w:r>
        <w:rPr>
          <w:rFonts w:ascii="Arial" w:hAnsi="Arial" w:eastAsia="Arial"/>
          <w:sz w:val="18"/>
        </w:rPr>
        <w:t>A machine-readable allowlist controlling which artifacts may enter training, evaluation, publication, or redistribution.</w:t>
      </w:r>
    </w:p>
    <w:p>
      <w:pPr>
        <w:pStyle w:val="ListBullet"/>
        <w:spacing w:after="36" w:line="245" w:lineRule="auto"/>
        <w:ind w:left="317" w:hanging="173"/>
      </w:pPr>
      <w:r>
        <w:rPr>
          <w:rFonts w:ascii="Arial" w:hAnsi="Arial" w:eastAsia="Arial"/>
          <w:sz w:val="18"/>
        </w:rPr>
        <w:t>release_allowlist.yaml, distinct from the use allowlist, with a per-source license rationale. [Reviewed 2]</w:t>
      </w:r>
    </w:p>
    <w:p>
      <w:pPr>
        <w:pStyle w:val="ListBullet"/>
        <w:spacing w:after="36" w:line="245" w:lineRule="auto"/>
        <w:ind w:left="317" w:hanging="173"/>
      </w:pPr>
      <w:r>
        <w:rPr>
          <w:rFonts w:ascii="Arial" w:hAnsi="Arial" w:eastAsia="Arial"/>
          <w:sz w:val="18"/>
        </w:rPr>
        <w:t>license_matrix.md for the paper appendix, including share-alike propagation analysis. [Reviewed 2]</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Public does not equal reusable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Dataset card lacks an explicit license or restricts redistribution.</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Quarantine the artifact; use only method-level information until permission is resolved.</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License mismatch across layers</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Code is permissive but bundled data is not.</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Track code, data, outputs, and upstream content as separate registry entries.</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Source drift</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 dataset or pricing page changes after results are produced.</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Pin revisions where possible and archive metadata snapshots with retrieval timestamps.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Accidental test-question disclosure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Restricted or gated examples appear in logs or the paper.</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Store access-controlled raw data; publish IDs, aggregate statistics, and permitted excerpts only.</w:t>
            </w:r>
          </w:p>
        </w:tc>
      </w:tr>
      <w:tr>
        <w:tc>
          <w:tcPr>
            <w:tcW w:type="dxa" w:w="3389"/>
          </w:tcPr>
          <w:p>
            <w:r>
              <w:t>Copyleft propagation to the released tensor [Reviewed 2]</w:t>
            </w:r>
          </w:p>
        </w:tc>
        <w:tc>
          <w:tcPr>
            <w:tcW w:type="dxa" w:w="3389"/>
          </w:tcPr>
          <w:p>
            <w:r>
              <w:t>A CC BY-SA source (e.g. Easy2Hard-Bench) contributes labels or items to a derived artifact planned for release. [Reviewed 2]</w:t>
            </w:r>
          </w:p>
        </w:tc>
        <w:tc>
          <w:tcPr>
            <w:tcW w:type="dxa" w:w="3389"/>
          </w:tcPr>
          <w:p>
            <w:r>
              <w:t>Treat share-alike as a constraint on the RELEASE artifact: either license the derived tensor CC BY-SA, or exclude the copyleft-derived fields from it.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Every artifact planned for the pilot has a registry row, provenance hash, license status, a decision on the RELEASE allowlist, and per-configuration freshness tagging. Contamination is stated as a bound with a named method, never as 'zero'.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An automated license scanner and software-bill-of-materials pipeline could flag upstream dependency changes. Keep human review as the authority because automated labels can be wrong.</w:t>
            </w:r>
          </w:p>
        </w:tc>
      </w:tr>
    </w:tbl>
    <w:p>
      <w:pPr>
        <w:spacing w:after="0"/>
      </w:pPr>
    </w:p>
    <w:p>
      <w:pPr>
        <w:pStyle w:val="Heading1"/>
      </w:pPr>
      <w:r>
        <w:t>Phase 2 - Candidate model-configuration registry</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Adding many models before validating the pipeline multiplies evaluation cost and confounds. The first study should use a deliberately small pool that spans cost and capability.</w:t>
            </w:r>
          </w:p>
        </w:tc>
      </w:tr>
    </w:tbl>
    <w:p>
      <w:pPr>
        <w:spacing w:after="0"/>
      </w:pPr>
    </w:p>
    <w:p>
      <w:pPr>
        <w:spacing w:after="80"/>
      </w:pPr>
      <w:r>
        <w:t>Purpose. Define a small, complementary, versioned candidate pool spanning standard and reasoning-effort configurations (with explicit max_reasoning_tokens limits) and measure operational properties required for routing. Note the design interaction discovered in the second audit: the wide cost/capability spread this phase deliberately creates is exactly what inflates pooled ROC-AUC, which is why Phase 7 now gates on within-item discrimination instead. [Reviewed 2]</w:t>
      </w:r>
    </w:p>
    <w:p>
      <w:pPr>
        <w:spacing w:after="120"/>
      </w:pPr>
      <w:r>
        <w:rPr>
          <w:rFonts w:ascii="Arial" w:hAnsi="Arial" w:eastAsia="Arial"/>
          <w:b/>
          <w:color w:val="167C80"/>
        </w:rPr>
        <w:t xml:space="preserve">Testable hypothesis. </w:t>
      </w:r>
      <w:r>
        <w:rPr>
          <w:rFonts w:ascii="Arial" w:hAnsi="Arial" w:eastAsia="Arial"/>
        </w:rPr>
        <w:t>A curated 4-6 configuration pool will capture meaningful complementarity while remaining affordable and statistically interpretable.</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LLMRouterBench, OpenAI pricing, Anthropic pricing.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LLMRouterBench [R2]</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Model-pool curation, diminishing-return analysis, and cost-aware records.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9">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OpenAI pricing [R24]</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Current API pricing and supported billing dimensions.</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0">
              <w:r>
                <w:rPr>
                  <w:rFonts w:ascii="Arial" w:hAnsi="Arial"/>
                  <w:color w:val="167C80"/>
                  <w:u w:val="single"/>
                  <w:b/>
                  <w:sz w:val="15"/>
                </w:rPr>
                <w:t>Official docs</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Live; snapshot it</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Anthropic pricing [R25]</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Current model and feature pricing.</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1">
              <w:r>
                <w:rPr>
                  <w:rFonts w:ascii="Arial" w:hAnsi="Arial"/>
                  <w:color w:val="167C80"/>
                  <w:u w:val="single"/>
                  <w:b/>
                  <w:sz w:val="15"/>
                </w:rPr>
                <w:t>Official docs</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Live; snapshot it</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Gemini pricing [R27]</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Current Gemini API pricing.</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2">
              <w:r>
                <w:rPr>
                  <w:rFonts w:ascii="Arial" w:hAnsi="Arial"/>
                  <w:color w:val="167C80"/>
                  <w:u w:val="single"/>
                  <w:b/>
                  <w:sz w:val="15"/>
                </w:rPr>
                <w:t>Official docs</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Live; snapshot it</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OpenRouter Models API [R28]</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Cross-provider discovery and gateway metadata for prototyping.</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3">
              <w:r>
                <w:rPr>
                  <w:rFonts w:ascii="Arial" w:hAnsi="Arial"/>
                  <w:color w:val="167C80"/>
                  <w:u w:val="single"/>
                  <w:b/>
                  <w:sz w:val="15"/>
                </w:rPr>
                <w:t>Official docs</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Gateway metadata</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Service profiles: economy, balanced, quality, and high-assurance.</w:t>
      </w:r>
    </w:p>
    <w:p>
      <w:pPr>
        <w:pStyle w:val="ListBullet"/>
        <w:spacing w:after="36" w:line="245" w:lineRule="auto"/>
        <w:ind w:left="317" w:hanging="173"/>
      </w:pPr>
      <w:r>
        <w:rPr>
          <w:rFonts w:ascii="Arial" w:hAnsi="Arial" w:eastAsia="Arial"/>
          <w:sz w:val="18"/>
        </w:rPr>
        <w:t>Official provider model cards, context limits, tool support, modalities, version identifiers, and pricing.</w:t>
      </w:r>
    </w:p>
    <w:p>
      <w:pPr>
        <w:pStyle w:val="ListBullet"/>
        <w:spacing w:after="36" w:line="245" w:lineRule="auto"/>
        <w:ind w:left="317" w:hanging="173"/>
      </w:pPr>
      <w:r>
        <w:rPr>
          <w:rFonts w:ascii="Arial" w:hAnsi="Arial" w:eastAsia="Arial"/>
          <w:sz w:val="18"/>
        </w:rPr>
        <w:t>Pilot budget and required domains.</w:t>
      </w:r>
    </w:p>
    <w:p>
      <w:pPr>
        <w:pStyle w:val="Heading2"/>
      </w:pPr>
      <w:r>
        <w:t>Procedure</w:t>
      </w:r>
    </w:p>
    <w:p>
      <w:pPr>
        <w:pStyle w:val="ListNumber"/>
        <w:spacing w:after="50"/>
        <w:ind w:left="403" w:hanging="259"/>
      </w:pPr>
      <w:r>
        <w:rPr>
          <w:rFonts w:ascii="Arial" w:hAnsi="Arial" w:eastAsia="Arial"/>
          <w:sz w:val="18"/>
        </w:rPr>
        <w:t>Choose one very inexpensive general configuration, one mid-tier general configuration, one strong reasoning configuration, and one domain specialist when justified by the study domain.</w:t>
      </w:r>
    </w:p>
    <w:p>
      <w:pPr>
        <w:pStyle w:val="ListNumber"/>
        <w:spacing w:after="50"/>
        <w:ind w:left="403" w:hanging="259"/>
      </w:pPr>
      <w:r>
        <w:rPr>
          <w:rFonts w:ascii="Arial" w:hAnsi="Arial" w:eastAsia="Arial"/>
          <w:sz w:val="18"/>
        </w:rPr>
        <w:t>Represent every full configuration as a distinct ID: provider/model/version/effort/output-budget/prompt-profile/tool-profile.</w:t>
      </w:r>
    </w:p>
    <w:p>
      <w:pPr>
        <w:pStyle w:val="ListNumber"/>
        <w:spacing w:after="50"/>
        <w:ind w:left="403" w:hanging="259"/>
      </w:pPr>
      <w:r>
        <w:rPr>
          <w:rFonts w:ascii="Arial" w:hAnsi="Arial" w:eastAsia="Arial"/>
          <w:sz w:val="18"/>
        </w:rPr>
        <w:t>Measure p50/p95 latency, error rate, token accounting, cache behavior, and fallback behavior with a neutral smoke-test set.</w:t>
      </w:r>
    </w:p>
    <w:p>
      <w:pPr>
        <w:pStyle w:val="ListNumber"/>
        <w:spacing w:after="50"/>
        <w:ind w:left="403" w:hanging="259"/>
      </w:pPr>
      <w:r>
        <w:rPr>
          <w:rFonts w:ascii="Arial" w:hAnsi="Arial" w:eastAsia="Arial"/>
          <w:sz w:val="18"/>
        </w:rPr>
        <w:t>Use direct provider APIs for final paper measurements whenever possible. If a gateway is used, record the gateway, underlying provider, fallback, and routing behavior as experimental variables.</w:t>
      </w:r>
    </w:p>
    <w:p>
      <w:pPr>
        <w:pStyle w:val="ListNumber"/>
        <w:spacing w:after="50"/>
        <w:ind w:left="403" w:hanging="259"/>
      </w:pPr>
      <w:r>
        <w:rPr>
          <w:rFonts w:ascii="Arial" w:hAnsi="Arial" w:eastAsia="Arial"/>
          <w:sz w:val="18"/>
        </w:rPr>
        <w:t>Capture current pricing and model metadata immediately before each major run; never copy historical prices from a paper as current truth.</w:t>
      </w:r>
    </w:p>
    <w:p>
      <w:pPr>
        <w:pStyle w:val="ListNumber"/>
        <w:spacing w:after="50"/>
        <w:ind w:left="403" w:hanging="259"/>
      </w:pPr>
      <w:r>
        <w:rPr>
          <w:rFonts w:ascii="Arial" w:hAnsi="Arial" w:eastAsia="Arial"/>
          <w:sz w:val="18"/>
        </w:rPr>
        <w:t>Exclude configurations that cannot satisfy deterministic modality, context, privacy, safety, or tenant-policy requirements.</w:t>
      </w:r>
    </w:p>
    <w:p>
      <w:pPr>
        <w:pStyle w:val="ListNumber"/>
        <w:spacing w:after="50"/>
        <w:ind w:left="403" w:hanging="259"/>
      </w:pPr>
      <w:r>
        <w:rPr>
          <w:rFonts w:ascii="Arial" w:hAnsi="Arial" w:eastAsia="Arial"/>
          <w:sz w:val="18"/>
        </w:rPr>
        <w:t>Define the price-scenario grid over this pool: a reference ratio rho_0 for the primary endpoint and a reported sweep over rho. The price ratio is an experimental factor, not a fixed constant. [Reviewed 2]</w:t>
      </w:r>
    </w:p>
    <w:p>
      <w:pPr>
        <w:pStyle w:val="ListNumber"/>
        <w:spacing w:after="50"/>
        <w:ind w:left="403" w:hanging="259"/>
      </w:pPr>
      <w:r>
        <w:rPr>
          <w:rFonts w:ascii="Arial" w:hAnsi="Arial" w:eastAsia="Arial"/>
          <w:sz w:val="18"/>
        </w:rPr>
        <w:t>Measure and record prompt-cache hit rates and cached-token pricing per configuration. Provider caching can move a cost comparison in either direction and must be reported separately from uncached economics. [Reviewed 2]</w:t>
      </w:r>
    </w:p>
    <w:p>
      <w:pPr>
        <w:pStyle w:val="Heading2"/>
      </w:pPr>
      <w:r>
        <w:t>Required outputs</w:t>
      </w:r>
    </w:p>
    <w:p>
      <w:pPr>
        <w:pStyle w:val="ListBullet"/>
        <w:spacing w:after="36" w:line="245" w:lineRule="auto"/>
        <w:ind w:left="317" w:hanging="173"/>
      </w:pPr>
      <w:r>
        <w:rPr>
          <w:rFonts w:ascii="Arial" w:hAnsi="Arial" w:eastAsia="Arial"/>
          <w:sz w:val="18"/>
        </w:rPr>
        <w:t>model_registry.yaml with immutable configuration IDs.</w:t>
      </w:r>
    </w:p>
    <w:p>
      <w:pPr>
        <w:pStyle w:val="ListBullet"/>
        <w:spacing w:after="36" w:line="245" w:lineRule="auto"/>
        <w:ind w:left="317" w:hanging="173"/>
      </w:pPr>
      <w:r>
        <w:rPr>
          <w:rFonts w:ascii="Arial" w:hAnsi="Arial" w:eastAsia="Arial"/>
          <w:sz w:val="18"/>
        </w:rPr>
        <w:t>pricing_snapshot.json and provider_metadata_snapshot.json.</w:t>
      </w:r>
    </w:p>
    <w:p>
      <w:pPr>
        <w:pStyle w:val="ListBullet"/>
        <w:spacing w:after="36" w:line="245" w:lineRule="auto"/>
        <w:ind w:left="317" w:hanging="173"/>
      </w:pPr>
      <w:r>
        <w:rPr>
          <w:rFonts w:ascii="Arial" w:hAnsi="Arial" w:eastAsia="Arial"/>
          <w:sz w:val="18"/>
        </w:rPr>
        <w:t>model_pool_rationale.md explaining complementarity and exclusions.</w:t>
      </w:r>
    </w:p>
    <w:p>
      <w:pPr>
        <w:pStyle w:val="ListBullet"/>
        <w:spacing w:after="36" w:line="245" w:lineRule="auto"/>
        <w:ind w:left="317" w:hanging="173"/>
      </w:pPr>
      <w:r>
        <w:rPr>
          <w:rFonts w:ascii="Arial" w:hAnsi="Arial" w:eastAsia="Arial"/>
          <w:sz w:val="18"/>
        </w:rPr>
        <w:t>Operational smoke-test report.</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Model alias drift</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Provider silently updates behavior behind a stable alias.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Prefer dated versions; otherwise recertify aliases and treat the snapshot timestamp as part of the configuration ID.</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Gateway confound</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Gateway changes provider, caching, or fallback.</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direct APIs for confirmatory experiments or expose gateway behavior as a recorded factor.</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Pool too large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Evaluation costs explode and estimates become sparse.</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Start with 4-6 configurations and require evidence before adding another.</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Pool too homogeneous</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All models succeed and fail on the same items.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Run a small diagnostic matrix and replace redundant configurations with complementary ones.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The pool has clear cost/capability separation, operational feasibility, pinned immutable versions, explicit reasoning-token ceilings, a registered price-scenario grid with a named rho_0, measured cache economics, and a reproducible test script before building the router.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Dynamic pool discovery and automatic model onboarding could be added later. The first paper should keep the pool fixed so causal interpretation and replication remain possible.</w:t>
            </w:r>
          </w:p>
        </w:tc>
      </w:tr>
    </w:tbl>
    <w:p>
      <w:pPr>
        <w:spacing w:after="0"/>
      </w:pPr>
    </w:p>
    <w:p>
      <w:pPr>
        <w:pStyle w:val="Heading1"/>
      </w:pPr>
      <w:r>
        <w:t>Phase 3 - Dataset acquisition and canonical outcome tensor</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Aggregate leaderboard scores are insufficient for routing. Item-level outcomes are required to learn complementarity, difficulty, and the cheapest sufficient configuration.</w:t>
            </w:r>
          </w:p>
        </w:tc>
      </w:tr>
    </w:tbl>
    <w:p>
      <w:pPr>
        <w:spacing w:after="0"/>
      </w:pPr>
    </w:p>
    <w:p>
      <w:pPr>
        <w:spacing w:after="80"/>
      </w:pPr>
      <w:r>
        <w:t>Purpose. Construct a leakage-aware corpus using MinHash LSH and dense embedding cosine similarity cluster-based partitioning, with BOTH thresholds calibrated against a hand-labelled duplicate audit set of roughly 500 pairs and reported with precision/recall rather than asserted as J &gt;= 0.7 and cos &gt;= 0.88; and build a canonical Prompt x Configuration x Repeat x Outcome tensor with zero subjective LLM judges. The calibration partition is split three ways (CAL-A for per-arm control calibration, CAL-B for the policy-level LTT threshold, CAL-C for the OOD detector) so that no split does triple duty. [Reviewed 2]</w:t>
      </w:r>
    </w:p>
    <w:p>
      <w:pPr>
        <w:spacing w:after="120"/>
      </w:pPr>
      <w:r>
        <w:t>Testable hypothesis. Audit-calibrated cluster splitting, three-way calibration separation, repeat-level grouping, and deterministic grading will hold the residual near-duplicate rate below a stated CI upper bound and yield an unconfounded benchmark outcome matrix.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RouterBench, LLMRouterBench, MMLU-Pro.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RouterBench [R3]</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405K+ item-model outcomes and cost-performance framing.</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4">
              <w:r>
                <w:rPr>
                  <w:rFonts w:ascii="Arial" w:hAnsi="Arial"/>
                  <w:color w:val="167C80"/>
                  <w:u w:val="single"/>
                  <w:b/>
                  <w:sz w:val="15"/>
                </w:rPr>
                <w:t>Dataset</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A63D40"/>
                <w:sz w:val="14"/>
              </w:rPr>
              <w:t>License unclear; verify</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LLMRouterBench [R2]</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Standard fields, 21 datasets, 33 models, download bundles, and adaptors.</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5">
              <w:r>
                <w:rPr>
                  <w:rFonts w:ascii="Arial" w:hAnsi="Arial"/>
                  <w:color w:val="167C80"/>
                  <w:u w:val="single"/>
                  <w:b/>
                  <w:sz w:val="15"/>
                </w:rPr>
                <w:t>Repository</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Verify bundle terms</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MMLU-Pro [R15]</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Broad domain knowledge and reasoning.</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5">
              <w:r>
                <w:rPr>
                  <w:rFonts w:ascii="Arial" w:hAnsi="Arial"/>
                  <w:color w:val="167C80"/>
                  <w:u w:val="single"/>
                  <w:b/>
                  <w:sz w:val="15"/>
                </w:rPr>
                <w:t>Dataset</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Verify card</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LiveCodeBench [R18]</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Fresh coding evaluation and execution-based scoring.</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6">
              <w:r>
                <w:rPr>
                  <w:rFonts w:ascii="Arial" w:hAnsi="Arial"/>
                  <w:color w:val="167C80"/>
                  <w:u w:val="single"/>
                  <w:b/>
                  <w:sz w:val="15"/>
                </w:rPr>
                <w:t>Repository</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Verify release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SWE-bench Verified [R21]</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Repository-level engineering tasks and unit-test verification.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7">
              <w:r>
                <w:rPr>
                  <w:rFonts w:ascii="Arial" w:hAnsi="Arial"/>
                  <w:color w:val="167C80"/>
                  <w:u w:val="single"/>
                  <w:b/>
                  <w:sz w:val="15"/>
                </w:rPr>
                <w:t>Dataset</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500 validated tasks</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Public routing matrices for zero-cost reproduction.</w:t>
      </w:r>
    </w:p>
    <w:p>
      <w:pPr>
        <w:pStyle w:val="ListBullet"/>
        <w:spacing w:after="36" w:line="245" w:lineRule="auto"/>
        <w:ind w:left="317" w:hanging="173"/>
      </w:pPr>
      <w:r>
        <w:rPr>
          <w:rFonts w:ascii="Arial" w:hAnsi="Arial" w:eastAsia="Arial"/>
          <w:sz w:val="18"/>
        </w:rPr>
        <w:t>A small set of directly acquired benchmark items for live calibration.</w:t>
      </w:r>
    </w:p>
    <w:p>
      <w:pPr>
        <w:pStyle w:val="ListBullet"/>
        <w:spacing w:after="36" w:line="245" w:lineRule="auto"/>
        <w:ind w:left="317" w:hanging="173"/>
      </w:pPr>
      <w:r>
        <w:rPr>
          <w:rFonts w:ascii="Arial" w:hAnsi="Arial" w:eastAsia="Arial"/>
          <w:sz w:val="18"/>
        </w:rPr>
        <w:t>Source, template-family, time, and near-duplicate grouping metadata.</w:t>
      </w:r>
    </w:p>
    <w:p>
      <w:pPr>
        <w:pStyle w:val="Heading2"/>
      </w:pPr>
      <w:r>
        <w:t>Procedure</w:t>
      </w:r>
    </w:p>
    <w:p>
      <w:pPr>
        <w:pStyle w:val="ListNumber"/>
        <w:spacing w:after="50"/>
        <w:ind w:left="403" w:hanging="259"/>
      </w:pPr>
      <w:r>
        <w:rPr>
          <w:rFonts w:ascii="Arial" w:hAnsi="Arial" w:eastAsia="Arial"/>
          <w:sz w:val="18"/>
        </w:rPr>
        <w:t>Reproduce RouterBench and LLMRouterBench loading and evaluation before generating new expensive outputs.</w:t>
      </w:r>
    </w:p>
    <w:p>
      <w:pPr>
        <w:pStyle w:val="ListNumber"/>
        <w:spacing w:after="50"/>
        <w:ind w:left="403" w:hanging="259"/>
      </w:pPr>
      <w:r>
        <w:rPr>
          <w:rFonts w:ascii="Arial" w:hAnsi="Arial" w:eastAsia="Arial"/>
          <w:sz w:val="18"/>
        </w:rPr>
        <w:t>Normalize item IDs, prompts, answer types, source revisions, domains, capability tags, and grader references into one schema.</w:t>
      </w:r>
    </w:p>
    <w:p>
      <w:pPr>
        <w:pStyle w:val="ListNumber"/>
        <w:spacing w:after="50"/>
        <w:ind w:left="403" w:hanging="259"/>
      </w:pPr>
      <w:r>
        <w:rPr>
          <w:rFonts w:ascii="Arial" w:hAnsi="Arial" w:eastAsia="Arial"/>
          <w:sz w:val="18"/>
        </w:rPr>
        <w:t>Generate exact hashes and semantic near-duplicate signatures. Group paraphrases, numerical variants, shared templates, and derived versions before splitting.</w:t>
      </w:r>
    </w:p>
    <w:p>
      <w:pPr>
        <w:pStyle w:val="ListNumber"/>
        <w:spacing w:after="50"/>
        <w:ind w:left="403" w:hanging="259"/>
      </w:pPr>
      <w:r>
        <w:rPr>
          <w:rFonts w:ascii="Arial" w:hAnsi="Arial" w:eastAsia="Arial"/>
          <w:sz w:val="18"/>
        </w:rPr>
        <w:t>Create TRAIN, CAL-A, CAL-B, CAL-C, TEST, NEW-DOMAIN, NEW-MODEL-FAMILY, and ADVERSARIAL partitions by groups rather than random rows. Group by ITEM so that repeats of the same item never straddle a split. [Reviewed 2]</w:t>
      </w:r>
    </w:p>
    <w:p>
      <w:pPr>
        <w:pStyle w:val="ListNumber"/>
        <w:spacing w:after="50"/>
        <w:ind w:left="403" w:hanging="259"/>
      </w:pPr>
      <w:r>
        <w:rPr>
          <w:rFonts w:ascii="Arial" w:hAnsi="Arial" w:eastAsia="Arial"/>
          <w:sz w:val="18"/>
        </w:rPr>
        <w:t>For live calibration, execute every selected configuration on the same pilot items with repeated runs or seeds when output stochasticity matters.</w:t>
      </w:r>
    </w:p>
    <w:p>
      <w:pPr>
        <w:pStyle w:val="ListNumber"/>
        <w:spacing w:after="50"/>
        <w:ind w:left="403" w:hanging="259"/>
      </w:pPr>
      <w:r>
        <w:rPr>
          <w:rFonts w:ascii="Arial" w:hAnsi="Arial" w:eastAsia="Arial"/>
          <w:sz w:val="18"/>
        </w:rPr>
        <w:t>Store raw outputs in access-controlled object storage; keep the analysis matrix compact and referential.</w:t>
      </w:r>
    </w:p>
    <w:p>
      <w:pPr>
        <w:pStyle w:val="ListNumber"/>
        <w:spacing w:after="50"/>
        <w:ind w:left="403" w:hanging="259"/>
      </w:pPr>
      <w:r>
        <w:rPr>
          <w:rFonts w:ascii="Arial" w:hAnsi="Arial" w:eastAsia="Arial"/>
          <w:sz w:val="18"/>
        </w:rPr>
        <w:t>Calibrate the MinHash J and dense cosine thresholds on a hand-labelled duplicate/non-duplicate audit set before splitting; report precision and recall for each, and report the sensitivity of the headline result to both thresholds. State which encoder defines the cosine threshold, since the same pair scores differently under different encoders. [Reviewed 2]</w:t>
      </w:r>
    </w:p>
    <w:p>
      <w:pPr>
        <w:pStyle w:val="ListNumber"/>
        <w:spacing w:after="50"/>
        <w:ind w:left="403" w:hanging="259"/>
      </w:pPr>
      <w:r>
        <w:rPr>
          <w:rFonts w:ascii="Arial" w:hAnsi="Arial" w:eastAsia="Arial"/>
          <w:sz w:val="18"/>
        </w:rPr>
        <w:t>Run an encoder source-probe diagnostic: train a classifier to predict the source dataset from the frozen embedding. Report its AUC. If benchmark identity is recoverable from embeddings, say so as a stated limitation rather than assuming tag-stripping was sufficient. [Reviewed 2]</w:t>
      </w:r>
    </w:p>
    <w:p>
      <w:pPr>
        <w:pStyle w:val="ListNumber"/>
        <w:spacing w:after="50"/>
        <w:ind w:left="403" w:hanging="259"/>
      </w:pPr>
      <w:r>
        <w:rPr>
          <w:rFonts w:ascii="Arial" w:hAnsi="Arial" w:eastAsia="Arial"/>
          <w:sz w:val="18"/>
        </w:rPr>
        <w:t>Fit any statistic used by the router - OOD covariance, output-length model, normalisation constants - on TRAIN only, never on the pooled corpus. [Reviewed 2]</w:t>
      </w:r>
    </w:p>
    <w:p>
      <w:pPr>
        <w:pStyle w:val="Heading2"/>
      </w:pPr>
      <w:r>
        <w:t>Measurements and controls</w:t>
      </w:r>
    </w:p>
    <w:p>
      <w:pPr>
        <w:pStyle w:val="ListBullet"/>
        <w:spacing w:after="36" w:line="245" w:lineRule="auto"/>
        <w:ind w:left="317" w:hanging="173"/>
      </w:pPr>
      <w:r>
        <w:rPr>
          <w:rFonts w:ascii="Arial" w:hAnsi="Arial" w:eastAsia="Arial"/>
          <w:sz w:val="18"/>
        </w:rPr>
        <w:t>Coverage by domain, answer type, difficulty band, source, and configuration.</w:t>
      </w:r>
    </w:p>
    <w:p>
      <w:pPr>
        <w:pStyle w:val="ListBullet"/>
        <w:spacing w:after="36" w:line="245" w:lineRule="auto"/>
        <w:ind w:left="317" w:hanging="173"/>
      </w:pPr>
      <w:r>
        <w:rPr>
          <w:rFonts w:ascii="Arial" w:hAnsi="Arial" w:eastAsia="Arial"/>
          <w:sz w:val="18"/>
        </w:rPr>
        <w:t>Duplicate and near-duplicate rates before and after grouping.</w:t>
      </w:r>
    </w:p>
    <w:p>
      <w:pPr>
        <w:pStyle w:val="ListBullet"/>
        <w:spacing w:after="36" w:line="245" w:lineRule="auto"/>
        <w:ind w:left="317" w:hanging="173"/>
      </w:pPr>
      <w:r>
        <w:rPr>
          <w:rFonts w:ascii="Arial" w:hAnsi="Arial" w:eastAsia="Arial"/>
          <w:sz w:val="18"/>
        </w:rPr>
        <w:t>Missing-outcome pattern by item and configuration.</w:t>
      </w:r>
    </w:p>
    <w:p>
      <w:pPr>
        <w:pStyle w:val="ListBullet"/>
        <w:spacing w:after="36" w:line="245" w:lineRule="auto"/>
        <w:ind w:left="317" w:hanging="173"/>
      </w:pPr>
      <w:r>
        <w:rPr>
          <w:rFonts w:ascii="Arial" w:hAnsi="Arial" w:eastAsia="Arial"/>
          <w:sz w:val="18"/>
        </w:rPr>
        <w:t>Outcome disagreement across repeated runs.</w:t>
      </w:r>
    </w:p>
    <w:p>
      <w:pPr>
        <w:pStyle w:val="Heading2"/>
      </w:pPr>
      <w:r>
        <w:t>Required outputs</w:t>
      </w:r>
    </w:p>
    <w:p>
      <w:pPr>
        <w:pStyle w:val="ListBullet"/>
        <w:spacing w:after="36" w:line="245" w:lineRule="auto"/>
        <w:ind w:left="317" w:hanging="173"/>
      </w:pPr>
      <w:r>
        <w:rPr>
          <w:rFonts w:ascii="Arial" w:hAnsi="Arial" w:eastAsia="Arial"/>
          <w:sz w:val="18"/>
        </w:rPr>
        <w:t>items.parquet, configurations.parquet, evaluation_runs.parquet, and split_groups.parquet.</w:t>
      </w:r>
    </w:p>
    <w:p>
      <w:pPr>
        <w:pStyle w:val="ListBullet"/>
        <w:spacing w:after="36" w:line="245" w:lineRule="auto"/>
        <w:ind w:left="317" w:hanging="173"/>
      </w:pPr>
      <w:r>
        <w:rPr>
          <w:rFonts w:ascii="Arial" w:hAnsi="Arial" w:eastAsia="Arial"/>
          <w:sz w:val="18"/>
        </w:rPr>
        <w:t>dataset_card.md documenting construction, exclusions, licenses, and known biases.</w:t>
      </w:r>
    </w:p>
    <w:p>
      <w:pPr>
        <w:pStyle w:val="ListBullet"/>
        <w:spacing w:after="36" w:line="245" w:lineRule="auto"/>
        <w:ind w:left="317" w:hanging="173"/>
      </w:pPr>
      <w:r>
        <w:rPr>
          <w:rFonts w:ascii="Arial" w:hAnsi="Arial" w:eastAsia="Arial"/>
          <w:sz w:val="18"/>
        </w:rPr>
        <w:t>Frozen partition manifest and checksums.</w:t>
      </w:r>
    </w:p>
    <w:p>
      <w:pPr>
        <w:pStyle w:val="ListBullet"/>
        <w:spacing w:after="36" w:line="245" w:lineRule="auto"/>
        <w:ind w:left="317" w:hanging="173"/>
      </w:pPr>
      <w:r>
        <w:rPr>
          <w:rFonts w:ascii="Arial" w:hAnsi="Arial" w:eastAsia="Arial"/>
          <w:sz w:val="18"/>
        </w:rPr>
        <w:t>A data-quality dashboard or report.</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Benchmark contamination</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Models perform implausibly well on known public items or fail on matched fresh items.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fresh/time-based benchmarks and report known-public versus fresh results separately.</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Template leakage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Near-identical items appear in train and test.</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Group split by source/template family and run semantic duplicate checks before freezing.</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Sparse matrix</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Many configurations are missing on many items.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public matrices first; design a balanced pilot; distinguish missing from incorrect.</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Single-run noise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The same configuration changes correctness across runs.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repeated runs on a stratified subset and model uncertainty explicitly.</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SWE-bench future-state leakage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Agent can inspect commits or environment artifacts containing the solution.</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Pin official harness versions, block future repository state, and audit shell/tool access.</w:t>
            </w:r>
          </w:p>
        </w:tc>
      </w:tr>
      <w:tr>
        <w:tc>
          <w:tcPr>
            <w:tcW w:type="dxa" w:w="3389"/>
          </w:tcPr>
          <w:p>
            <w:r>
              <w:t>Encoder pretraining leakage [Reviewed 2]</w:t>
            </w:r>
          </w:p>
        </w:tc>
        <w:tc>
          <w:tcPr>
            <w:tcW w:type="dxa" w:w="3389"/>
          </w:tcPr>
          <w:p>
            <w:r>
              <w:t>A probe recovers the source dataset from the frozen embedding well above chance. [Reviewed 2]</w:t>
            </w:r>
          </w:p>
        </w:tc>
        <w:tc>
          <w:tcPr>
            <w:tcW w:type="dxa" w:w="3389"/>
          </w:tcPr>
          <w:p>
            <w:r>
              <w:t>Report the source-probe AUC as a first-class diagnostic; debias or declare as a limitation. [Reviewed 2]</w:t>
            </w:r>
          </w:p>
        </w:tc>
      </w:tr>
      <w:tr>
        <w:tc>
          <w:tcPr>
            <w:tcW w:type="dxa" w:w="3389"/>
          </w:tcPr>
          <w:p>
            <w:r>
              <w:t>Provider prompt-cache contamination [Reviewed 2]</w:t>
            </w:r>
          </w:p>
        </w:tc>
        <w:tc>
          <w:tcPr>
            <w:tcW w:type="dxa" w:w="3389"/>
          </w:tcPr>
          <w:p>
            <w:r>
              <w:t>Cost or latency of repeat 2-3 differs systematically from repeat 1. [Reviewed 2]</w:t>
            </w:r>
          </w:p>
        </w:tc>
        <w:tc>
          <w:tcPr>
            <w:tcW w:type="dxa" w:w="3389"/>
          </w:tcPr>
          <w:p>
            <w:r>
              <w:t>Randomise a no-op prefix, or measure and report cached and uncached economics separately. [Reviewed 2]</w:t>
            </w:r>
          </w:p>
        </w:tc>
      </w:tr>
      <w:tr>
        <w:tc>
          <w:tcPr>
            <w:tcW w:type="dxa" w:w="3389"/>
          </w:tcPr>
          <w:p>
            <w:r>
              <w:t>Repeat straddling a split [Reviewed 2]</w:t>
            </w:r>
          </w:p>
        </w:tc>
        <w:tc>
          <w:tcPr>
            <w:tcW w:type="dxa" w:w="3389"/>
          </w:tcPr>
          <w:p>
            <w:r>
              <w:t>The same item_id appears in two partitions under different repeat_ids. [Reviewed 2]</w:t>
            </w:r>
          </w:p>
        </w:tc>
        <w:tc>
          <w:tcPr>
            <w:tcW w:type="dxa" w:w="3389"/>
          </w:tcPr>
          <w:p>
            <w:r>
              <w:t>Group by item, not by (item, repeat); assert disjointness in the leakage test suite.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All partitions are frozen; dedup thresholds are audit-calibrated with reported precision/recall; the RESIDUAL near-duplicate rate is reported as a 95% CI upper bound below 1% rather than claimed as 0%; the encoder source-probe AUC is reported; repeats are item-grouped; source licenses and release status are resolved; and primary benchmarks are verified against deterministic or execution graders.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A continuously refreshed benchmark stream could reduce contamination. For the first paper, use a frozen timestamped snapshot so the experiment remains reproducible.</w:t>
            </w:r>
          </w:p>
        </w:tc>
      </w:tr>
    </w:tbl>
    <w:p>
      <w:pPr>
        <w:spacing w:after="0"/>
      </w:pPr>
    </w:p>
    <w:p>
      <w:pPr>
        <w:jc w:val="center"/>
      </w:pPr>
      <w:r>
        <w:drawing>
          <wp:inline xmlns:a="http://schemas.openxmlformats.org/drawingml/2006/main" xmlns:pic="http://schemas.openxmlformats.org/drawingml/2006/picture">
            <wp:extent cx="6126480" cy="3356004"/>
            <wp:docPr id="3" name="Picture 3"/>
            <wp:cNvGraphicFramePr>
              <a:graphicFrameLocks noChangeAspect="1"/>
            </wp:cNvGraphicFramePr>
            <a:graphic>
              <a:graphicData uri="http://schemas.openxmlformats.org/drawingml/2006/picture">
                <pic:pic>
                  <pic:nvPicPr>
                    <pic:cNvPr id="0" name="fig4_leakage_splits.png"/>
                    <pic:cNvPicPr/>
                  </pic:nvPicPr>
                  <pic:blipFill>
                    <a:blip r:embed="rId28"/>
                    <a:stretch>
                      <a:fillRect/>
                    </a:stretch>
                  </pic:blipFill>
                  <pic:spPr>
                    <a:xfrm>
                      <a:off x="0" y="0"/>
                      <a:ext cx="6126480" cy="3356004"/>
                    </a:xfrm>
                    <a:prstGeom prst="rect"/>
                  </pic:spPr>
                </pic:pic>
              </a:graphicData>
            </a:graphic>
          </wp:inline>
        </w:drawing>
      </w:r>
    </w:p>
    <w:p>
      <w:pPr>
        <w:pStyle w:val="FigureCaption"/>
      </w:pPr>
      <w:r>
        <w:t>Figure 3. Leakage-resistant data construction and partitioning.</w:t>
      </w:r>
    </w:p>
    <w:p>
      <w:pPr>
        <w:pStyle w:val="Heading1"/>
      </w:pPr>
      <w:r>
        <w:t>Phase 4 - Evaluation harness and task-specific graders</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A router can only learn the quality of its labels. A wrong or unstable grader becomes a false capability signal and can reverse the selected model.</w:t>
            </w:r>
          </w:p>
        </w:tc>
      </w:tr>
    </w:tbl>
    <w:p>
      <w:pPr>
        <w:spacing w:after="0"/>
      </w:pPr>
    </w:p>
    <w:p>
      <w:pPr>
        <w:spacing w:after="80"/>
      </w:pPr>
      <w:r>
        <w:t>Purpose. Create reliable, versioned scoring pipelines (sandboxed Docker unit tests for code, SymPy symbolic equivalence for math, AST matching for tools) with ZERO subjective LLM judges in any primary label. The v1.1 text contradicted itself by promising 'zero LLM judges' while retaining pairwise/rubric judgment in the grader hierarchy and pairwise preference in the metric table. The commitment is now unconditional, and its consequence is stated openly as a scope limit: the corpus is restricted to code, symbolic math, verifiable instruction-following, and tool/function calling. Open-ended and subjective tasks are OUT OF SCOPE for the first paper, not silently judged. [Reviewed 2]</w:t>
      </w:r>
    </w:p>
    <w:p>
      <w:pPr>
        <w:spacing w:after="120"/>
      </w:pPr>
      <w:r>
        <w:rPr>
          <w:rFonts w:ascii="Arial" w:hAnsi="Arial" w:eastAsia="Arial"/>
          <w:b/>
          <w:color w:val="167C80"/>
        </w:rPr>
        <w:t xml:space="preserve">Testable hypothesis. </w:t>
      </w:r>
      <w:r>
        <w:rPr>
          <w:rFonts w:ascii="Arial" w:hAnsi="Arial" w:eastAsia="Arial"/>
        </w:rPr>
        <w:t>Task-specific deterministic or execution-based graders will produce more reliable routing supervision than a single general-purpose LLM judge.</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LLMRouter, LLMRouterBench, SWE-bench.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 [R1]</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Benchmark preparation, API calling, and evaluation pipeline.</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4">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LLMRouterBench [R2]</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Dataset-specific evaluator modules and standardized scores.</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29">
              <w:r>
                <w:rPr>
                  <w:rFonts w:ascii="Arial" w:hAnsi="Arial"/>
                  <w:color w:val="167C80"/>
                  <w:u w:val="single"/>
                  <w:b/>
                  <w:sz w:val="15"/>
                </w:rPr>
                <w:t>Evaluator code</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Verify dependencies</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SWE-bench [R21]</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Containerized patch application and unit-test evaluation.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0">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BFCL [R20]</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Function-call and tool-use evaluation.</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1">
              <w:r>
                <w:rPr>
                  <w:rFonts w:ascii="Arial" w:hAnsi="Arial"/>
                  <w:color w:val="167C80"/>
                  <w:u w:val="single"/>
                  <w:b/>
                  <w:sz w:val="15"/>
                </w:rPr>
                <w:t>Repository</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Verify release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IFEval [R19]</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Verifiable instruction-following constraints.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2">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code</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Canonical items and raw model responses.</w:t>
      </w:r>
    </w:p>
    <w:p>
      <w:pPr>
        <w:pStyle w:val="ListBullet"/>
        <w:spacing w:after="36" w:line="245" w:lineRule="auto"/>
        <w:ind w:left="317" w:hanging="173"/>
      </w:pPr>
      <w:r>
        <w:rPr>
          <w:rFonts w:ascii="Arial" w:hAnsi="Arial" w:eastAsia="Arial"/>
          <w:sz w:val="18"/>
        </w:rPr>
        <w:t>Reference answers, unit tests, schemas, environment states, or pairwise preference labels.</w:t>
      </w:r>
    </w:p>
    <w:p>
      <w:pPr>
        <w:pStyle w:val="ListBullet"/>
        <w:spacing w:after="36" w:line="245" w:lineRule="auto"/>
        <w:ind w:left="317" w:hanging="173"/>
      </w:pPr>
      <w:r>
        <w:rPr>
          <w:rFonts w:ascii="Arial" w:hAnsi="Arial" w:eastAsia="Arial"/>
          <w:sz w:val="18"/>
        </w:rPr>
        <w:t>Versioned container images and grader configuration.</w:t>
      </w:r>
    </w:p>
    <w:p>
      <w:pPr>
        <w:pStyle w:val="Heading2"/>
      </w:pPr>
      <w:r>
        <w:t>Procedure</w:t>
      </w:r>
    </w:p>
    <w:p>
      <w:pPr>
        <w:pStyle w:val="ListNumber"/>
        <w:spacing w:after="50"/>
        <w:ind w:left="403" w:hanging="259"/>
      </w:pPr>
      <w:r>
        <w:rPr>
          <w:rFonts w:ascii="Arial" w:hAnsi="Arial" w:eastAsia="Arial"/>
          <w:sz w:val="18"/>
        </w:rPr>
        <w:t>Define a grader hierarchy: execution/environment success, deterministic exact or symbolic checks, then structured reference checks. There is no fourth tier - if a task cannot be graded by these three, it is excluded from the corpus rather than sent to an LLM judge. [Reviewed 2]</w:t>
      </w:r>
    </w:p>
    <w:p>
      <w:pPr>
        <w:pStyle w:val="ListNumber"/>
        <w:spacing w:after="50"/>
        <w:ind w:left="403" w:hanging="259"/>
      </w:pPr>
      <w:r>
        <w:rPr>
          <w:rFonts w:ascii="Arial" w:hAnsi="Arial" w:eastAsia="Arial"/>
          <w:sz w:val="18"/>
        </w:rPr>
        <w:t>Implement grader interfaces that return score, pass/fail, confidence, grader version, environment version, and diagnostic reason codes.</w:t>
      </w:r>
    </w:p>
    <w:p>
      <w:pPr>
        <w:pStyle w:val="ListNumber"/>
        <w:spacing w:after="50"/>
        <w:ind w:left="403" w:hanging="259"/>
      </w:pPr>
      <w:r>
        <w:rPr>
          <w:rFonts w:ascii="Arial" w:hAnsi="Arial" w:eastAsia="Arial"/>
          <w:sz w:val="18"/>
        </w:rPr>
        <w:t>Validate each grader on gold answers, intentionally wrong answers, malformed outputs, and adversarial formatting.</w:t>
      </w:r>
    </w:p>
    <w:p>
      <w:pPr>
        <w:pStyle w:val="ListNumber"/>
        <w:spacing w:after="50"/>
        <w:ind w:left="403" w:hanging="259"/>
      </w:pPr>
      <w:r>
        <w:rPr>
          <w:rFonts w:ascii="Arial" w:hAnsi="Arial" w:eastAsia="Arial"/>
          <w:sz w:val="18"/>
        </w:rPr>
        <w:t>LLM-judged scores may be computed only as an exploratory diagnostic reported outside the confirmatory analysis, and may never define a routing label. Where used diagnostically, blind output order, use multiple judges, and adjudicate disagreements. [Reviewed 2]</w:t>
      </w:r>
    </w:p>
    <w:p>
      <w:pPr>
        <w:pStyle w:val="ListNumber"/>
        <w:spacing w:after="50"/>
        <w:ind w:left="403" w:hanging="259"/>
      </w:pPr>
      <w:r>
        <w:rPr>
          <w:rFonts w:ascii="Arial" w:hAnsi="Arial" w:eastAsia="Arial"/>
          <w:sz w:val="18"/>
        </w:rPr>
        <w:t>Measure grader repeatability and false-positive/false-negative rates before producing router labels.</w:t>
      </w:r>
    </w:p>
    <w:p>
      <w:pPr>
        <w:pStyle w:val="ListNumber"/>
        <w:spacing w:after="50"/>
        <w:ind w:left="403" w:hanging="259"/>
      </w:pPr>
      <w:r>
        <w:rPr>
          <w:rFonts w:ascii="Arial" w:hAnsi="Arial" w:eastAsia="Arial"/>
          <w:sz w:val="18"/>
        </w:rPr>
        <w:t>Lock grader versions for the confirmatory test; a changed grader creates a new result series.</w:t>
      </w:r>
    </w:p>
    <w:p>
      <w:pPr>
        <w:pStyle w:val="Heading2"/>
      </w:pPr>
      <w:r>
        <w:t>Required outputs</w:t>
      </w:r>
    </w:p>
    <w:p>
      <w:pPr>
        <w:pStyle w:val="ListBullet"/>
        <w:spacing w:after="36" w:line="245" w:lineRule="auto"/>
        <w:ind w:left="317" w:hanging="173"/>
      </w:pPr>
      <w:r>
        <w:rPr>
          <w:rFonts w:ascii="Arial" w:hAnsi="Arial" w:eastAsia="Arial"/>
          <w:sz w:val="18"/>
        </w:rPr>
        <w:t>grader interface and registry.</w:t>
      </w:r>
    </w:p>
    <w:p>
      <w:pPr>
        <w:pStyle w:val="ListBullet"/>
        <w:spacing w:after="36" w:line="245" w:lineRule="auto"/>
        <w:ind w:left="317" w:hanging="173"/>
      </w:pPr>
      <w:r>
        <w:rPr>
          <w:rFonts w:ascii="Arial" w:hAnsi="Arial" w:eastAsia="Arial"/>
          <w:sz w:val="18"/>
        </w:rPr>
        <w:t>Gold and negative-control test suite.</w:t>
      </w:r>
    </w:p>
    <w:p>
      <w:pPr>
        <w:pStyle w:val="ListBullet"/>
        <w:spacing w:after="36" w:line="245" w:lineRule="auto"/>
        <w:ind w:left="317" w:hanging="173"/>
      </w:pPr>
      <w:r>
        <w:rPr>
          <w:rFonts w:ascii="Arial" w:hAnsi="Arial" w:eastAsia="Arial"/>
          <w:sz w:val="18"/>
        </w:rPr>
        <w:t>Grader validation report with error analysis.</w:t>
      </w:r>
    </w:p>
    <w:p>
      <w:pPr>
        <w:pStyle w:val="ListBullet"/>
        <w:spacing w:after="36" w:line="245" w:lineRule="auto"/>
        <w:ind w:left="317" w:hanging="173"/>
      </w:pPr>
      <w:r>
        <w:rPr>
          <w:rFonts w:ascii="Arial" w:hAnsi="Arial" w:eastAsia="Arial"/>
          <w:sz w:val="18"/>
        </w:rPr>
        <w:t>Container or environment lockfiles.</w:t>
      </w:r>
    </w:p>
    <w:p>
      <w:pPr>
        <w:pStyle w:val="ListBullet"/>
        <w:spacing w:after="36" w:line="245" w:lineRule="auto"/>
        <w:ind w:left="317" w:hanging="173"/>
      </w:pPr>
      <w:r>
        <w:rPr>
          <w:rFonts w:ascii="Arial" w:hAnsi="Arial" w:eastAsia="Arial"/>
          <w:sz w:val="18"/>
        </w:rPr>
        <w:t>Grader false-positive and false-negative rates with confidence intervals, reported as an explicit CEILING on achievable predictor discrimination - a release gate above the label-noise ceiling is unreachable for a reason that has nothing to do with the router. [Reviewed 2]</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LLM-judge bias</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Score changes with judge model or output order.</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Prefer objective graders; blind order; use panels and adjudication where subjective judgment is unavoidable.</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Brittle exact match</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Semantically correct answers fail formatting checks.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Normalize outputs and use symbolic or structured equivalence when justified.</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Test leakage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Model sees hidden tests or reference patches.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Isolate graders and test artifacts from model-visible environments.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Environment drift</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Same patch passes on one machine and fails on another.</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pinned containers, dependency locks, and gold-patch validation.</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Every included task has a validated deterministic or execution-based grader whose repeatability and error modes are recorded in the grader registry, whose measured FP/FN rates are published as the label-noise ceiling, and no task in the corpus depends on a subjective judge for its primary label.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Process-based or learned verification could supplement outcome graders. It should not replace execution evidence for tasks where execution is available.</w:t>
            </w:r>
          </w:p>
        </w:tc>
      </w:tr>
    </w:tbl>
    <w:p>
      <w:pPr>
        <w:spacing w:after="0"/>
      </w:pPr>
    </w:p>
    <w:p>
      <w:pPr>
        <w:pStyle w:val="Heading1"/>
      </w:pPr>
      <w:r>
        <w:t>Phase 5 - Fixed baselines, learned baselines, and oracle bounds</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Recent unified evaluations show that sophisticated routers may resemble simple baselines. The study must therefore make the embarrassingly simple alternatives difficult to beat.</w:t>
            </w:r>
          </w:p>
        </w:tc>
      </w:tr>
    </w:tbl>
    <w:p>
      <w:pPr>
        <w:spacing w:after="0"/>
      </w:pPr>
    </w:p>
    <w:p>
      <w:pPr>
        <w:spacing w:after="80"/>
      </w:pPr>
      <w:r>
        <w:t>Purpose. Establish how much routing value actually exists, using the SPLIT-REPEAT (cross-fitted) oracle rather than the ex-post oracle. The v1.1 gate ('Oracle Lift exceeds 3%') is withdrawn: with K configurations and single-run outcomes the ex-post oracle accuracy is 1-(1-p)^K, so at K=6 and p=0.60 it reads 0.996 against a Best Single of 0.612 - an apparent 62.8% lift when the true lift is exactly zero. Even five repeats leaves a 42% phantom lift. Baselines now also include cascade routing (Dekoninck et al. [R31]), best-of-N on the cheapest configuration at matched spend, a per-configuration-constant predictor, and a cost-matched (equal-spend) view alongside the quality-matched one. [Reviewed 2]</w:t>
      </w:r>
    </w:p>
    <w:p>
      <w:pPr>
        <w:spacing w:after="120"/>
      </w:pPr>
      <w:r>
        <w:rPr>
          <w:rFonts w:ascii="Arial" w:hAnsi="Arial" w:eastAsia="Arial"/>
          <w:b/>
          <w:color w:val="167C80"/>
        </w:rPr>
        <w:t>Testable hypothesis. Item-aware routing will outperform fixed and content-blind controls on held-out data while remaining meaningfully below a DEBIASED oracle upper bound, and will be non-inferior to cascade routing at matched cost.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LLMRouterBench, RouterBench, RouteLLM.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LLMRouterBench [R2]</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Best Single, Random, Oracle, Pareto metrics, and unified baseline comparison.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9">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RouterBench [R3]</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Performance-cost plots and oracle routing framework.</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6">
              <w:r>
                <w:rPr>
                  <w:rFonts w:ascii="Arial" w:hAnsi="Arial"/>
                  <w:color w:val="167C80"/>
                  <w:u w:val="single"/>
                  <w:b/>
                  <w:sz w:val="15"/>
                </w:rPr>
                <w:t>Repository</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RouteLLM [R6]</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Strong-versus-weak preference-data router baseline.</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3">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Open code; verify data</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Routoo [R7]</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Separate performance predictor and cost-aware selector.</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4">
              <w:r>
                <w:rPr>
                  <w:rFonts w:ascii="Arial" w:hAnsi="Arial"/>
                  <w:color w:val="167C80"/>
                  <w:u w:val="single"/>
                  <w:b/>
                  <w:sz w:val="15"/>
                </w:rPr>
                <w:t>Paper</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Paper only</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Frozen training, calibration, and test matrices.</w:t>
      </w:r>
    </w:p>
    <w:p>
      <w:pPr>
        <w:pStyle w:val="ListBullet"/>
        <w:spacing w:after="36" w:line="245" w:lineRule="auto"/>
        <w:ind w:left="317" w:hanging="173"/>
      </w:pPr>
      <w:r>
        <w:rPr>
          <w:rFonts w:ascii="Arial" w:hAnsi="Arial" w:eastAsia="Arial"/>
          <w:sz w:val="18"/>
        </w:rPr>
        <w:t>Configuration costs and latency distributions.</w:t>
      </w:r>
    </w:p>
    <w:p>
      <w:pPr>
        <w:pStyle w:val="ListBullet"/>
        <w:spacing w:after="36" w:line="245" w:lineRule="auto"/>
        <w:ind w:left="317" w:hanging="173"/>
      </w:pPr>
      <w:r>
        <w:rPr>
          <w:rFonts w:ascii="Arial" w:hAnsi="Arial" w:eastAsia="Arial"/>
          <w:sz w:val="18"/>
        </w:rPr>
        <w:t>Pre-registered service profiles and quality thresholds.</w:t>
      </w:r>
    </w:p>
    <w:p>
      <w:pPr>
        <w:pStyle w:val="Heading2"/>
      </w:pPr>
      <w:r>
        <w:t>Procedure</w:t>
      </w:r>
    </w:p>
    <w:p>
      <w:pPr>
        <w:pStyle w:val="ListNumber"/>
        <w:spacing w:after="50"/>
        <w:ind w:left="403" w:hanging="259"/>
      </w:pPr>
      <w:r>
        <w:rPr>
          <w:rFonts w:ascii="Arial" w:hAnsi="Arial" w:eastAsia="Arial"/>
          <w:sz w:val="18"/>
        </w:rPr>
        <w:t>Implement Always Cheapest, Always Strongest, Best Single, Always Middle, Uniform Random, and cost-weighted random controls.</w:t>
      </w:r>
    </w:p>
    <w:p>
      <w:pPr>
        <w:pStyle w:val="ListNumber"/>
        <w:spacing w:after="50"/>
        <w:ind w:left="403" w:hanging="259"/>
      </w:pPr>
      <w:r>
        <w:rPr>
          <w:rFonts w:ascii="Arial" w:hAnsi="Arial" w:eastAsia="Arial"/>
          <w:sz w:val="18"/>
        </w:rPr>
        <w:t>Implement a share-matched random router that uses the same overall model-selection distribution as the proposed router but ignores query content.</w:t>
      </w:r>
    </w:p>
    <w:p>
      <w:pPr>
        <w:pStyle w:val="ListNumber"/>
        <w:spacing w:after="50"/>
        <w:ind w:left="403" w:hanging="259"/>
      </w:pPr>
      <w:r>
        <w:rPr>
          <w:rFonts w:ascii="Arial" w:hAnsi="Arial" w:eastAsia="Arial"/>
          <w:sz w:val="18"/>
        </w:rPr>
        <w:t>Implement length-only, task-category-only, and embedding-nearest-neighbor baselines.</w:t>
      </w:r>
    </w:p>
    <w:p>
      <w:pPr>
        <w:pStyle w:val="ListNumber"/>
        <w:spacing w:after="50"/>
        <w:ind w:left="403" w:hanging="259"/>
      </w:pPr>
      <w:r>
        <w:rPr>
          <w:rFonts w:ascii="Arial" w:hAnsi="Arial" w:eastAsia="Arial"/>
          <w:sz w:val="18"/>
        </w:rPr>
        <w:t>Reproduce RouteLLM or an equivalent strong-versus-weak learned baseline when the data format permits.</w:t>
      </w:r>
    </w:p>
    <w:p>
      <w:pPr>
        <w:pStyle w:val="ListNumber"/>
        <w:spacing w:after="50"/>
        <w:ind w:left="403" w:hanging="259"/>
      </w:pPr>
      <w:r>
        <w:rPr>
          <w:rFonts w:ascii="Arial" w:hAnsi="Arial" w:eastAsia="Arial"/>
          <w:sz w:val="18"/>
        </w:rPr>
        <w:t>Compute the oracle TWO ways: (i) the split-repeat estimator - select the arm on repeat 0, score it on held-out repeat 1 - which is the reported bound; and (ii) the naive ex-post oracle, reported alongside solely to quantify its inflation. Label both clearly as non-deployable. [Reviewed 2]</w:t>
      </w:r>
    </w:p>
    <w:p>
      <w:pPr>
        <w:pStyle w:val="ListNumber"/>
        <w:spacing w:after="50"/>
        <w:ind w:left="403" w:hanging="259"/>
      </w:pPr>
      <w:r>
        <w:rPr>
          <w:rFonts w:ascii="Arial" w:hAnsi="Arial" w:eastAsia="Arial"/>
          <w:sz w:val="18"/>
        </w:rPr>
        <w:t>Plot cost-quality and cost-quality-latency frontiers before adding difficulty modeling.</w:t>
      </w:r>
    </w:p>
    <w:p>
      <w:pPr>
        <w:pStyle w:val="ListNumber"/>
        <w:spacing w:after="50"/>
        <w:ind w:left="403" w:hanging="259"/>
      </w:pPr>
      <w:r>
        <w:rPr>
          <w:rFonts w:ascii="Arial" w:hAnsi="Arial" w:eastAsia="Arial"/>
          <w:sz w:val="18"/>
        </w:rPr>
        <w:t>Implement cascade routing (Dekoninck, Baader and Vechev, ICML 2025 [R31]) as a first-class baseline. It is the known-optimal unification of routing and cascading and is the strongest published comparator for the escalation design in Phase 9. [Reviewed 2]</w:t>
      </w:r>
    </w:p>
    <w:p>
      <w:pPr>
        <w:pStyle w:val="ListNumber"/>
        <w:spacing w:after="50"/>
        <w:ind w:left="403" w:hanging="259"/>
      </w:pPr>
      <w:r>
        <w:rPr>
          <w:rFonts w:ascii="Arial" w:hAnsi="Arial" w:eastAsia="Arial"/>
          <w:sz w:val="18"/>
        </w:rPr>
        <w:t>Implement best-of-N / self-consistency on the cheapest configuration at MATCHED SPEND. This is the strongest non-routing way to spend the same money and is the baseline most likely to win on math and code. [Reviewed 2]</w:t>
      </w:r>
    </w:p>
    <w:p>
      <w:pPr>
        <w:pStyle w:val="ListNumber"/>
        <w:spacing w:after="50"/>
        <w:ind w:left="403" w:hanging="259"/>
      </w:pPr>
      <w:r>
        <w:rPr>
          <w:rFonts w:ascii="Arial" w:hAnsi="Arial" w:eastAsia="Arial"/>
          <w:sz w:val="18"/>
        </w:rPr>
        <w:t>Implement a per-configuration-constant predictor (one score per configuration, no item information) as an explicit negative control for every discrimination and routing metric. [Reviewed 2]</w:t>
      </w:r>
    </w:p>
    <w:p>
      <w:pPr>
        <w:pStyle w:val="ListNumber"/>
        <w:spacing w:after="50"/>
        <w:ind w:left="403" w:hanging="259"/>
      </w:pPr>
      <w:r>
        <w:rPr>
          <w:rFonts w:ascii="Arial" w:hAnsi="Arial" w:eastAsia="Arial"/>
          <w:sz w:val="18"/>
        </w:rPr>
        <w:t>Report the cost-matched view (equal spend, compare quality) alongside the quality-matched view (equal quality, compare cost). Deployment budgets are fixed, so both halves of the frontier matter. [Reviewed 2]</w:t>
      </w:r>
    </w:p>
    <w:p>
      <w:pPr>
        <w:pStyle w:val="Heading2"/>
      </w:pPr>
      <w:r>
        <w:t>Measurements and controls</w:t>
      </w:r>
    </w:p>
    <w:p>
      <w:pPr>
        <w:pStyle w:val="ListBullet"/>
        <w:spacing w:after="36" w:line="245" w:lineRule="auto"/>
        <w:ind w:left="317" w:hanging="173"/>
      </w:pPr>
      <w:r>
        <w:rPr>
          <w:rFonts w:ascii="Arial" w:hAnsi="Arial" w:eastAsia="Arial"/>
          <w:sz w:val="18"/>
        </w:rPr>
        <w:t>Task success or quality score.</w:t>
      </w:r>
    </w:p>
    <w:p>
      <w:pPr>
        <w:pStyle w:val="ListBullet"/>
        <w:spacing w:after="36" w:line="245" w:lineRule="auto"/>
        <w:ind w:left="317" w:hanging="173"/>
      </w:pPr>
      <w:r>
        <w:rPr>
          <w:rFonts w:ascii="Arial" w:hAnsi="Arial" w:eastAsia="Arial"/>
          <w:sz w:val="18"/>
        </w:rPr>
        <w:t>Average total cost and p50/p95 latency.</w:t>
      </w:r>
    </w:p>
    <w:p>
      <w:pPr>
        <w:pStyle w:val="ListBullet"/>
        <w:spacing w:after="36" w:line="245" w:lineRule="auto"/>
        <w:ind w:left="317" w:hanging="173"/>
      </w:pPr>
      <w:r>
        <w:rPr>
          <w:rFonts w:ascii="Arial" w:hAnsi="Arial" w:eastAsia="Arial"/>
          <w:sz w:val="18"/>
        </w:rPr>
        <w:t>Cost saving at fixed quality and quality gain at fixed cost.</w:t>
      </w:r>
    </w:p>
    <w:p>
      <w:pPr>
        <w:pStyle w:val="ListBullet"/>
        <w:spacing w:after="36" w:line="245" w:lineRule="auto"/>
        <w:ind w:left="317" w:hanging="173"/>
      </w:pPr>
      <w:r>
        <w:rPr>
          <w:rFonts w:ascii="Arial" w:hAnsi="Arial" w:eastAsia="Arial"/>
          <w:sz w:val="18"/>
        </w:rPr>
        <w:t>Pareto distance and regret to Oracle.</w:t>
      </w:r>
    </w:p>
    <w:p>
      <w:pPr>
        <w:pStyle w:val="ListBullet"/>
        <w:spacing w:after="36" w:line="245" w:lineRule="auto"/>
        <w:ind w:left="317" w:hanging="173"/>
      </w:pPr>
      <w:r>
        <w:rPr>
          <w:rFonts w:ascii="Arial" w:hAnsi="Arial" w:eastAsia="Arial"/>
          <w:sz w:val="18"/>
        </w:rPr>
        <w:t>Model-selection shares and entropy.</w:t>
      </w:r>
    </w:p>
    <w:p>
      <w:pPr>
        <w:pStyle w:val="Heading2"/>
      </w:pPr>
      <w:r>
        <w:t>Required outputs</w:t>
      </w:r>
    </w:p>
    <w:p>
      <w:pPr>
        <w:pStyle w:val="ListBullet"/>
        <w:spacing w:after="36" w:line="245" w:lineRule="auto"/>
        <w:ind w:left="317" w:hanging="173"/>
      </w:pPr>
      <w:r>
        <w:rPr>
          <w:rFonts w:ascii="Arial" w:hAnsi="Arial" w:eastAsia="Arial"/>
          <w:sz w:val="18"/>
        </w:rPr>
        <w:t>baseline_results.parquet.</w:t>
      </w:r>
    </w:p>
    <w:p>
      <w:pPr>
        <w:pStyle w:val="ListBullet"/>
        <w:spacing w:after="36" w:line="245" w:lineRule="auto"/>
        <w:ind w:left="317" w:hanging="173"/>
      </w:pPr>
      <w:r>
        <w:rPr>
          <w:rFonts w:ascii="Arial" w:hAnsi="Arial" w:eastAsia="Arial"/>
          <w:sz w:val="18"/>
        </w:rPr>
        <w:t>Initial Pareto plots and route-distribution plots.</w:t>
      </w:r>
    </w:p>
    <w:p>
      <w:pPr>
        <w:pStyle w:val="ListBullet"/>
        <w:spacing w:after="36" w:line="245" w:lineRule="auto"/>
        <w:ind w:left="317" w:hanging="173"/>
      </w:pPr>
      <w:r>
        <w:rPr>
          <w:rFonts w:ascii="Arial" w:hAnsi="Arial" w:eastAsia="Arial"/>
          <w:sz w:val="18"/>
        </w:rPr>
        <w:t>A go/no-go statement describing whether the candidate pool contains exploitable complementarity.</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Router collapse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The learned router selects one configuration almost always.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Report selection shares and compare with Best Single and share-matched random.</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False gain from mixture share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Content-blind router with the same shares performs similarly.</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Require statistically meaningful improvement over share-matched random.</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Oracle misuse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Oracle performance is described as deployable.</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Oracle only as a theoretical ceiling and label counterfactual information requirements.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No complementarity</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Best Single nearly equals Oracle.</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Re-curate the candidate pool or narrow the research claim; do not force a learned router.</w:t>
            </w:r>
          </w:p>
        </w:tc>
      </w:tr>
      <w:tr>
        <w:tc>
          <w:tcPr>
            <w:tcW w:type="dxa" w:w="3389"/>
          </w:tcPr>
          <w:p>
            <w:r>
              <w:t>Noise-inflated oracle [Reviewed 2]</w:t>
            </w:r>
          </w:p>
        </w:tc>
        <w:tc>
          <w:tcPr>
            <w:tcW w:type="dxa" w:w="3389"/>
          </w:tcPr>
          <w:p>
            <w:r>
              <w:t>Ex-post oracle lift is large while the split-repeat oracle lift CI includes zero. [Reviewed 2]</w:t>
            </w:r>
          </w:p>
        </w:tc>
        <w:tc>
          <w:tcPr>
            <w:tcW w:type="dxa" w:w="3389"/>
          </w:tcPr>
          <w:p>
            <w:r>
              <w:t>Gate exclusively on the split-repeat estimator; publish the gap between the two estimators as a result.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Advance only if the SPLIT-REPEAT oracle lift over Best Single has a 95% cluster-bootstrap CI whose lower bound exceeds 2%, and baseline evaluation reproduces expected cost-quality orderings. If the CI includes zero, STOP the routing paper and publish the measurement result instead - that is a legitimate and more interesting outcome, not a failure.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A causal policy-learning baseline could address partially observed production feedback. Keep the first confirmatory study on full-feedback matrices where counterfactual outcomes are available.</w:t>
            </w:r>
          </w:p>
        </w:tc>
      </w:tr>
    </w:tbl>
    <w:p>
      <w:pPr>
        <w:spacing w:after="0"/>
      </w:pPr>
    </w:p>
    <w:p>
      <w:r>
        <w:br w:type="page"/>
      </w:r>
    </w:p>
    <w:p>
      <w:pPr>
        <w:pStyle w:val="Heading1"/>
      </w:pPr>
      <w:r>
        <w:t>Phase 6 - Difficulty experiment and ablation</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Difficulty is useful only if it improves prediction on unseen items. It is not valuable merely because it is interpretable or mathematically elegant.</w:t>
            </w:r>
          </w:p>
        </w:tc>
      </w:tr>
    </w:tbl>
    <w:p>
      <w:pPr>
        <w:spacing w:after="0"/>
      </w:pPr>
    </w:p>
    <w:p>
      <w:pPr>
        <w:spacing w:after="80"/>
      </w:pPr>
      <w:r>
        <w:t>Purpose. Formulate IRT latent difficulty (theta) as an offline diagnostic ablation and sample-sparse regularization tool; demote it from the real-time data path to eliminate theoretical redundancy over direct embedding classifiers. [Reviewed]</w:t>
      </w:r>
    </w:p>
    <w:p>
      <w:pPr>
        <w:spacing w:after="120"/>
      </w:pPr>
      <w:r>
        <w:t>Testable hypothesis. Latent IRT difficulty features enter online routing only if the pre-registered ablation shows a reduction in ROUTING COST AT FIXED QUALITY on the frozen test - the decision-relevant quantity - and not merely a held-out log-loss improvement, which is a weaker and differently-behaved effect. This is an exploratory family reported under Benjamini-Hochberg control.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Easy2Hard-Bench, Easy2Hard-Bench data, IRT-Router.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Easy2Hard-Bench [R4]</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Continuous empirical difficulty from IRT and Glicko-2 attempt data.</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5">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Easy2Hard-Bench data [R4]</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Numerical difficulty labels and uncertainty fields.</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7">
              <w:r>
                <w:rPr>
                  <w:rFonts w:ascii="Arial" w:hAnsi="Arial"/>
                  <w:color w:val="167C80"/>
                  <w:u w:val="single"/>
                  <w:b/>
                  <w:sz w:val="15"/>
                </w:rPr>
                <w:t>Dataset</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CC BY-SA 4.0</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IRT-Router [R5]</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Joint modeling of query attributes and multidimensional model abilities.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6">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Verify license</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Binary or continuous item-configuration outcomes with repeats.</w:t>
      </w:r>
    </w:p>
    <w:p>
      <w:pPr>
        <w:pStyle w:val="ListBullet"/>
        <w:spacing w:after="36" w:line="245" w:lineRule="auto"/>
        <w:ind w:left="317" w:hanging="173"/>
      </w:pPr>
      <w:r>
        <w:rPr>
          <w:rFonts w:ascii="Arial" w:hAnsi="Arial" w:eastAsia="Arial"/>
          <w:sz w:val="18"/>
        </w:rPr>
        <w:t>Prompt/task features and operational features available before generation.</w:t>
      </w:r>
    </w:p>
    <w:p>
      <w:pPr>
        <w:pStyle w:val="ListBullet"/>
        <w:spacing w:after="36" w:line="245" w:lineRule="auto"/>
        <w:ind w:left="317" w:hanging="173"/>
      </w:pPr>
      <w:r>
        <w:rPr>
          <w:rFonts w:ascii="Arial" w:hAnsi="Arial" w:eastAsia="Arial"/>
          <w:sz w:val="18"/>
        </w:rPr>
        <w:t>A solver population diverse enough to estimate stable latent factors.</w:t>
      </w:r>
    </w:p>
    <w:p>
      <w:pPr>
        <w:pStyle w:val="Heading2"/>
      </w:pPr>
      <w:r>
        <w:t>Procedure</w:t>
      </w:r>
    </w:p>
    <w:p>
      <w:pPr>
        <w:pStyle w:val="ListNumber"/>
        <w:spacing w:after="50"/>
        <w:ind w:left="403" w:hanging="259"/>
      </w:pPr>
      <w:r>
        <w:rPr>
          <w:rFonts w:ascii="Arial" w:hAnsi="Arial" w:eastAsia="Arial"/>
          <w:sz w:val="18"/>
        </w:rPr>
        <w:t>Compute simple empirical solve rate with uncertainty as a transparent baseline difficulty estimate.</w:t>
      </w:r>
    </w:p>
    <w:p>
      <w:pPr>
        <w:pStyle w:val="ListNumber"/>
        <w:spacing w:after="50"/>
        <w:ind w:left="403" w:hanging="259"/>
      </w:pPr>
      <w:r>
        <w:rPr>
          <w:rFonts w:ascii="Arial" w:hAnsi="Arial" w:eastAsia="Arial"/>
          <w:sz w:val="18"/>
        </w:rPr>
        <w:t>Fit a regularized 1PL/Rasch-style or logistic matrix-factorization model before attempting 2PL or multidimensional IRT.</w:t>
      </w:r>
    </w:p>
    <w:p>
      <w:pPr>
        <w:pStyle w:val="ListNumber"/>
        <w:spacing w:after="50"/>
        <w:ind w:left="403" w:hanging="259"/>
      </w:pPr>
      <w:r>
        <w:rPr>
          <w:rFonts w:ascii="Arial" w:hAnsi="Arial" w:eastAsia="Arial"/>
          <w:sz w:val="18"/>
        </w:rPr>
        <w:t>Estimate configuration ability and item difficulty with bootstrap confidence intervals and anchor items.</w:t>
      </w:r>
    </w:p>
    <w:p>
      <w:pPr>
        <w:pStyle w:val="ListNumber"/>
        <w:spacing w:after="50"/>
        <w:ind w:left="403" w:hanging="259"/>
      </w:pPr>
      <w:r>
        <w:rPr>
          <w:rFonts w:ascii="Arial" w:hAnsi="Arial" w:eastAsia="Arial"/>
          <w:sz w:val="18"/>
        </w:rPr>
        <w:t>Train an item encoder that predicts latent item parameters for unseen prompts using only pre-route information.</w:t>
      </w:r>
    </w:p>
    <w:p>
      <w:pPr>
        <w:pStyle w:val="ListNumber"/>
        <w:spacing w:after="50"/>
        <w:ind w:left="403" w:hanging="259"/>
      </w:pPr>
      <w:r>
        <w:rPr>
          <w:rFonts w:ascii="Arial" w:hAnsi="Arial" w:eastAsia="Arial"/>
          <w:sz w:val="18"/>
        </w:rPr>
        <w:t>Construct operational-difficulty features: input length, expected output length, tool needs, context dependence, verifier availability, and expected retries.</w:t>
      </w:r>
    </w:p>
    <w:p>
      <w:pPr>
        <w:pStyle w:val="ListNumber"/>
        <w:spacing w:after="50"/>
        <w:ind w:left="403" w:hanging="259"/>
      </w:pPr>
      <w:r>
        <w:rPr>
          <w:rFonts w:ascii="Arial" w:hAnsi="Arial" w:eastAsia="Arial"/>
          <w:sz w:val="18"/>
        </w:rPr>
        <w:t>Run the key ablation: no difficulty; scalar population difficulty; vector capability/difficulty; operational features; all features.</w:t>
      </w:r>
    </w:p>
    <w:p>
      <w:pPr>
        <w:pStyle w:val="ListNumber"/>
        <w:spacing w:after="50"/>
        <w:ind w:left="403" w:hanging="259"/>
      </w:pPr>
      <w:r>
        <w:rPr>
          <w:rFonts w:ascii="Arial" w:hAnsi="Arial" w:eastAsia="Arial"/>
          <w:sz w:val="18"/>
        </w:rPr>
        <w:t>Retain only feature families that improve frozen-test ROUTING COST AT FIXED QUALITY and probability calibration. Held-out log loss alone is insufficient grounds for retention. [Reviewed 2]</w:t>
      </w:r>
    </w:p>
    <w:p>
      <w:pPr>
        <w:pStyle w:val="Heading2"/>
      </w:pPr>
      <w:r>
        <w:t>Measurements and controls</w:t>
      </w:r>
    </w:p>
    <w:p>
      <w:pPr>
        <w:pStyle w:val="ListBullet"/>
        <w:spacing w:after="36" w:line="245" w:lineRule="auto"/>
        <w:ind w:left="317" w:hanging="173"/>
      </w:pPr>
      <w:r>
        <w:rPr>
          <w:rFonts w:ascii="Arial" w:hAnsi="Arial" w:eastAsia="Arial"/>
          <w:sz w:val="18"/>
        </w:rPr>
        <w:t>Held-out log loss, Brier score, AUC or ranking metric, and calibration error.</w:t>
      </w:r>
    </w:p>
    <w:p>
      <w:pPr>
        <w:pStyle w:val="ListBullet"/>
        <w:spacing w:after="36" w:line="245" w:lineRule="auto"/>
        <w:ind w:left="317" w:hanging="173"/>
      </w:pPr>
      <w:r>
        <w:rPr>
          <w:rFonts w:ascii="Arial" w:hAnsi="Arial" w:eastAsia="Arial"/>
          <w:sz w:val="18"/>
        </w:rPr>
        <w:t>Routing cost-quality metrics after adding each feature family.</w:t>
      </w:r>
    </w:p>
    <w:p>
      <w:pPr>
        <w:pStyle w:val="ListBullet"/>
        <w:spacing w:after="36" w:line="245" w:lineRule="auto"/>
        <w:ind w:left="317" w:hanging="173"/>
      </w:pPr>
      <w:r>
        <w:rPr>
          <w:rFonts w:ascii="Arial" w:hAnsi="Arial" w:eastAsia="Arial"/>
          <w:sz w:val="18"/>
        </w:rPr>
        <w:t>Bootstrap stability of item and configuration parameters.</w:t>
      </w:r>
    </w:p>
    <w:p>
      <w:pPr>
        <w:pStyle w:val="ListBullet"/>
        <w:spacing w:after="36" w:line="245" w:lineRule="auto"/>
        <w:ind w:left="317" w:hanging="173"/>
      </w:pPr>
      <w:r>
        <w:rPr>
          <w:rFonts w:ascii="Arial" w:hAnsi="Arial" w:eastAsia="Arial"/>
          <w:sz w:val="18"/>
        </w:rPr>
        <w:t>Cold-start performance on new items and new model families.</w:t>
      </w:r>
    </w:p>
    <w:p>
      <w:pPr>
        <w:pStyle w:val="Heading2"/>
      </w:pPr>
      <w:r>
        <w:t>Required outputs</w:t>
      </w:r>
    </w:p>
    <w:p>
      <w:pPr>
        <w:pStyle w:val="ListBullet"/>
        <w:spacing w:after="36" w:line="245" w:lineRule="auto"/>
        <w:ind w:left="317" w:hanging="173"/>
      </w:pPr>
      <w:r>
        <w:rPr>
          <w:rFonts w:ascii="Arial" w:hAnsi="Arial" w:eastAsia="Arial"/>
          <w:sz w:val="18"/>
        </w:rPr>
        <w:t>difficulty_model_v1 with parameter uncertainty.</w:t>
      </w:r>
    </w:p>
    <w:p>
      <w:pPr>
        <w:pStyle w:val="ListBullet"/>
        <w:spacing w:after="36" w:line="245" w:lineRule="auto"/>
        <w:ind w:left="317" w:hanging="173"/>
      </w:pPr>
      <w:r>
        <w:rPr>
          <w:rFonts w:ascii="Arial" w:hAnsi="Arial" w:eastAsia="Arial"/>
          <w:sz w:val="18"/>
        </w:rPr>
        <w:t>difficulty_ablation_results.parquet.</w:t>
      </w:r>
    </w:p>
    <w:p>
      <w:pPr>
        <w:pStyle w:val="ListBullet"/>
        <w:spacing w:after="36" w:line="245" w:lineRule="auto"/>
        <w:ind w:left="317" w:hanging="173"/>
      </w:pPr>
      <w:r>
        <w:rPr>
          <w:rFonts w:ascii="Arial" w:hAnsi="Arial" w:eastAsia="Arial"/>
          <w:sz w:val="18"/>
        </w:rPr>
        <w:t>Interpretability plots showing capability curves and item bands.</w:t>
      </w:r>
    </w:p>
    <w:p>
      <w:pPr>
        <w:pStyle w:val="ListBullet"/>
        <w:spacing w:after="36" w:line="245" w:lineRule="auto"/>
        <w:ind w:left="317" w:hanging="173"/>
      </w:pPr>
      <w:r>
        <w:rPr>
          <w:rFonts w:ascii="Arial" w:hAnsi="Arial" w:eastAsia="Arial"/>
          <w:sz w:val="18"/>
        </w:rPr>
        <w:t>A formal retain/reject decision for every difficulty feature family.</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Too few diverse solvers</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IRT parameters vary wildly across bootstrap samples.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lower-dimensional regularized models, merge correlated configurations, and report uncertainty.</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Family correlation</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Many configurations are near-duplicates of the same base model.</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Cluster by model family and avoid treating every alias as an independent solver.</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LLM-perceived difficulty as ground truth</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 difficulty label comes only from one model opinion.</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empirical outcomes as ground truth; LLM feature extraction may assist but cannot define the label.</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Difficulty drift</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Item difficulty changes as model pool improves.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Version the solver population and re-estimate; interpret difficulty relative to that population.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Latent-factor overfitting</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High-dimensional model fits train perfectly but fails on new items.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Start with 1PL/low-rank models and require OOD gains before increasing complexity.</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Difficulty enters the final router only if the pre-registered ablation shows a reduction in routing cost at fixed quality on the frozen test, with the log-loss result reported as supporting evidence rather than as the criterion; otherwise it is retained strictly as an offline diagnostic.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High-dimensional MIRT, cognitive-diagnosis Q-matrices, or LLM-generated verbal difficulty profiles could be explored after the response matrix contains enough independent model diversity.</w:t>
            </w:r>
          </w:p>
        </w:tc>
      </w:tr>
    </w:tbl>
    <w:p>
      <w:pPr>
        <w:spacing w:after="0"/>
      </w:pPr>
    </w:p>
    <w:p>
      <w:pPr>
        <w:jc w:val="center"/>
      </w:pPr>
      <w:r>
        <w:drawing>
          <wp:inline xmlns:a="http://schemas.openxmlformats.org/drawingml/2006/main" xmlns:pic="http://schemas.openxmlformats.org/drawingml/2006/picture">
            <wp:extent cx="6126480" cy="3356004"/>
            <wp:docPr id="4" name="Picture 4"/>
            <wp:cNvGraphicFramePr>
              <a:graphicFrameLocks noChangeAspect="1"/>
            </wp:cNvGraphicFramePr>
            <a:graphic>
              <a:graphicData uri="http://schemas.openxmlformats.org/drawingml/2006/picture">
                <pic:pic>
                  <pic:nvPicPr>
                    <pic:cNvPr id="0" name="fig3_difficulty.png"/>
                    <pic:cNvPicPr/>
                  </pic:nvPicPr>
                  <pic:blipFill>
                    <a:blip r:embed="rId37"/>
                    <a:stretch>
                      <a:fillRect/>
                    </a:stretch>
                  </pic:blipFill>
                  <pic:spPr>
                    <a:xfrm>
                      <a:off x="0" y="0"/>
                      <a:ext cx="6126480" cy="3356004"/>
                    </a:xfrm>
                    <a:prstGeom prst="rect"/>
                  </pic:spPr>
                </pic:pic>
              </a:graphicData>
            </a:graphic>
          </wp:inline>
        </w:drawing>
      </w:r>
    </w:p>
    <w:p>
      <w:pPr>
        <w:pStyle w:val="FigureCaption"/>
      </w:pPr>
      <w:r>
        <w:t>Figure 4. Three difficulty concepts and their proper role in routing.</w:t>
      </w:r>
    </w:p>
    <w:p>
      <w:pPr>
        <w:pStyle w:val="Heading1"/>
      </w:pPr>
      <w:r>
        <w:t>Phase 7 - Per-configuration success predictor</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A direct class label such as small/medium/large hides model complementarity. Predicting each candidate separately converts routing into constrained optimization.</w:t>
            </w:r>
          </w:p>
        </w:tc>
      </w:tr>
    </w:tbl>
    <w:p>
      <w:pPr>
        <w:spacing w:after="0"/>
      </w:pPr>
    </w:p>
    <w:p>
      <w:pPr>
        <w:spacing w:after="80"/>
      </w:pPr>
      <w:r>
        <w:t>Purpose. Predict how likely each surviving model configuration is to satisfy the request. Encoder choice is now a declared trade-off rather than an unstated contradiction: BGE-small has a verified 512-token maximum sequence length (384 dimensions, 33.4M parameters), which truncates the SWE-bench and long-context items this corpus deliberately includes. Either adopt a long-context encoder (e.g. ModernBERT, 8,192 tokens) and set the overhead gate from MEASURED p95-prompt-length benchmarks, or keep the 512-token encoder and explicitly exclude long-context items from the routing claim. The v1.1 '&lt; 3 ms' figure is not achievable at 8k context on CPU and is withdrawn as an assertion. [Reviewed 2]</w:t>
      </w:r>
    </w:p>
    <w:p>
      <w:pPr>
        <w:spacing w:after="120"/>
      </w:pPr>
      <w:r>
        <w:rPr>
          <w:rFonts w:ascii="Arial" w:hAnsi="Arial" w:eastAsia="Arial"/>
          <w:b/>
          <w:color w:val="167C80"/>
        </w:rPr>
        <w:t xml:space="preserve">Testable hypothesis. </w:t>
      </w:r>
      <w:r>
        <w:rPr>
          <w:rFonts w:ascii="Arial" w:hAnsi="Arial" w:eastAsia="Arial"/>
        </w:rPr>
        <w:t>A model-aware predictor f(request, configuration) will outperform task-only classification and direct multiclass route prediction on new items and model holdouts.</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Routoo, IRT-Router, LLMRouter.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Routoo [R7]</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Performance predictor separated from cost-aware selection.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4">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IRT-Router [R5]</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Query-configuration interaction and cold-start modeling.</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8">
              <w:r>
                <w:rPr>
                  <w:rFonts w:ascii="Arial" w:hAnsi="Arial"/>
                  <w:color w:val="167C80"/>
                  <w:u w:val="single"/>
                  <w:b/>
                  <w:sz w:val="15"/>
                </w:rPr>
                <w:t>Paper</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ACL paper</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 [R1]</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Context encoder, model encoder, scoring function, decision rule, and learning signal abstraction.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4">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Prompt and operational feature encodings.</w:t>
      </w:r>
    </w:p>
    <w:p>
      <w:pPr>
        <w:pStyle w:val="ListBullet"/>
        <w:spacing w:after="36" w:line="245" w:lineRule="auto"/>
        <w:ind w:left="317" w:hanging="173"/>
      </w:pPr>
      <w:r>
        <w:rPr>
          <w:rFonts w:ascii="Arial" w:hAnsi="Arial" w:eastAsia="Arial"/>
          <w:sz w:val="18"/>
        </w:rPr>
        <w:t>Configuration embeddings and model-registry fields.</w:t>
      </w:r>
    </w:p>
    <w:p>
      <w:pPr>
        <w:pStyle w:val="ListBullet"/>
        <w:spacing w:after="36" w:line="245" w:lineRule="auto"/>
        <w:ind w:left="317" w:hanging="173"/>
      </w:pPr>
      <w:r>
        <w:rPr>
          <w:rFonts w:ascii="Arial" w:hAnsi="Arial" w:eastAsia="Arial"/>
          <w:sz w:val="18"/>
        </w:rPr>
        <w:t>Outcome labels and grader confidence.</w:t>
      </w:r>
    </w:p>
    <w:p>
      <w:pPr>
        <w:pStyle w:val="ListBullet"/>
        <w:spacing w:after="36" w:line="245" w:lineRule="auto"/>
        <w:ind w:left="317" w:hanging="173"/>
      </w:pPr>
      <w:r>
        <w:rPr>
          <w:rFonts w:ascii="Arial" w:hAnsi="Arial" w:eastAsia="Arial"/>
          <w:sz w:val="18"/>
        </w:rPr>
        <w:t>Frozen train/calibration/test partitions.</w:t>
      </w:r>
    </w:p>
    <w:p>
      <w:pPr>
        <w:pStyle w:val="Heading2"/>
      </w:pPr>
      <w:r>
        <w:t>Procedure</w:t>
      </w:r>
    </w:p>
    <w:p>
      <w:pPr>
        <w:pStyle w:val="ListNumber"/>
        <w:spacing w:after="50"/>
        <w:ind w:left="403" w:hanging="259"/>
      </w:pPr>
      <w:r>
        <w:rPr>
          <w:rFonts w:ascii="Arial" w:hAnsi="Arial" w:eastAsia="Arial"/>
          <w:sz w:val="18"/>
        </w:rPr>
        <w:t>Implement interpretable baselines first: logistic regression, gradient-boosted trees, and regularized matrix factorization.</w:t>
      </w:r>
    </w:p>
    <w:p>
      <w:pPr>
        <w:pStyle w:val="ListNumber"/>
        <w:spacing w:after="50"/>
        <w:ind w:left="403" w:hanging="259"/>
      </w:pPr>
      <w:r>
        <w:rPr>
          <w:rFonts w:ascii="Arial" w:hAnsi="Arial" w:eastAsia="Arial"/>
          <w:sz w:val="18"/>
        </w:rPr>
        <w:t>Implement a small dual-encoder or cross-encoder only after simpler baselines are stable.</w:t>
      </w:r>
    </w:p>
    <w:p>
      <w:pPr>
        <w:pStyle w:val="ListNumber"/>
        <w:spacing w:after="50"/>
        <w:ind w:left="403" w:hanging="259"/>
      </w:pPr>
      <w:r>
        <w:rPr>
          <w:rFonts w:ascii="Arial" w:hAnsi="Arial" w:eastAsia="Arial"/>
          <w:sz w:val="18"/>
        </w:rPr>
        <w:t>Predict a distribution or probability for every candidate configuration rather than a single route class.</w:t>
      </w:r>
    </w:p>
    <w:p>
      <w:pPr>
        <w:pStyle w:val="ListNumber"/>
        <w:spacing w:after="50"/>
        <w:ind w:left="403" w:hanging="259"/>
      </w:pPr>
      <w:r>
        <w:rPr>
          <w:rFonts w:ascii="Arial" w:hAnsi="Arial" w:eastAsia="Arial"/>
          <w:sz w:val="18"/>
        </w:rPr>
        <w:t>Use sample weights or uncertainty-aware targets when graders or repeated runs are noisy.</w:t>
      </w:r>
    </w:p>
    <w:p>
      <w:pPr>
        <w:pStyle w:val="ListNumber"/>
        <w:spacing w:after="50"/>
        <w:ind w:left="403" w:hanging="259"/>
      </w:pPr>
      <w:r>
        <w:rPr>
          <w:rFonts w:ascii="Arial" w:hAnsi="Arial" w:eastAsia="Arial"/>
          <w:sz w:val="18"/>
        </w:rPr>
        <w:t>Train with model-family and domain holdouts to measure cold-start generalization.</w:t>
      </w:r>
    </w:p>
    <w:p>
      <w:pPr>
        <w:pStyle w:val="ListNumber"/>
        <w:spacing w:after="50"/>
        <w:ind w:left="403" w:hanging="259"/>
      </w:pPr>
      <w:r>
        <w:rPr>
          <w:rFonts w:ascii="Arial" w:hAnsi="Arial" w:eastAsia="Arial"/>
          <w:sz w:val="18"/>
        </w:rPr>
        <w:t>Measure router inference cost and latency; reject a predictor whose overhead erases routing savings.</w:t>
      </w:r>
    </w:p>
    <w:p>
      <w:pPr>
        <w:pStyle w:val="ListNumber"/>
        <w:spacing w:after="50"/>
        <w:ind w:left="403" w:hanging="259"/>
      </w:pPr>
      <w:r>
        <w:rPr>
          <w:rFonts w:ascii="Arial" w:hAnsi="Arial" w:eastAsia="Arial"/>
          <w:sz w:val="18"/>
        </w:rPr>
        <w:t>Always evaluate the per-configuration-constant negative control on identical splits and metrics. Any headline discrimination number must be reported as a delta over it. [Reviewed 2]</w:t>
      </w:r>
    </w:p>
    <w:p>
      <w:pPr>
        <w:pStyle w:val="ListNumber"/>
        <w:spacing w:after="50"/>
        <w:ind w:left="403" w:hanging="259"/>
      </w:pPr>
      <w:r>
        <w:rPr>
          <w:rFonts w:ascii="Arial" w:hAnsi="Arial" w:eastAsia="Arial"/>
          <w:sz w:val="18"/>
        </w:rPr>
        <w:t>Report predictor performance stratified by prompt-length decile, so truncation effects are visible rather than averaged away. [Reviewed 2]</w:t>
      </w:r>
    </w:p>
    <w:p>
      <w:pPr>
        <w:pStyle w:val="Heading2"/>
      </w:pPr>
      <w:r>
        <w:t>Measurements and controls</w:t>
      </w:r>
    </w:p>
    <w:p>
      <w:pPr>
        <w:pStyle w:val="ListBullet"/>
        <w:spacing w:after="36" w:line="245" w:lineRule="auto"/>
        <w:ind w:left="317" w:hanging="173"/>
      </w:pPr>
      <w:r>
        <w:rPr>
          <w:rFonts w:ascii="Arial" w:hAnsi="Arial" w:eastAsia="Arial"/>
          <w:sz w:val="18"/>
        </w:rPr>
        <w:t>WITHIN-ITEM AUC (probability that a passing configuration outscores a failing one on the SAME item), cheapest-successful recall@1, delta log-loss against the per-configuration-constant baseline, Brier score, and calibration error within configuration. Pooled ROC-AUC over (item, configuration) pairs is reported for comparability only and is never a gate: a predictor emitting one constant per configuration reaches pooled AUC 0.80-0.84 at the cost/capability spread Phase 2 requires. [Reviewed 2]</w:t>
      </w:r>
    </w:p>
    <w:p>
      <w:pPr>
        <w:pStyle w:val="ListBullet"/>
        <w:spacing w:after="36" w:line="245" w:lineRule="auto"/>
        <w:ind w:left="317" w:hanging="173"/>
      </w:pPr>
      <w:r>
        <w:rPr>
          <w:rFonts w:ascii="Arial" w:hAnsi="Arial" w:eastAsia="Arial"/>
          <w:sz w:val="18"/>
        </w:rPr>
        <w:t>Cost-quality performance after passing predictions to the same optimizer.</w:t>
      </w:r>
    </w:p>
    <w:p>
      <w:pPr>
        <w:pStyle w:val="ListBullet"/>
        <w:spacing w:after="36" w:line="245" w:lineRule="auto"/>
        <w:ind w:left="317" w:hanging="173"/>
      </w:pPr>
      <w:r>
        <w:rPr>
          <w:rFonts w:ascii="Arial" w:hAnsi="Arial" w:eastAsia="Arial"/>
          <w:sz w:val="18"/>
        </w:rPr>
        <w:t>Cold-start results for unseen items, unseen model versions, and unseen model families.</w:t>
      </w:r>
    </w:p>
    <w:p>
      <w:pPr>
        <w:pStyle w:val="ListBullet"/>
        <w:spacing w:after="36" w:line="245" w:lineRule="auto"/>
        <w:ind w:left="317" w:hanging="173"/>
      </w:pPr>
      <w:r>
        <w:rPr>
          <w:rFonts w:ascii="Arial" w:hAnsi="Arial" w:eastAsia="Arial"/>
          <w:sz w:val="18"/>
        </w:rPr>
        <w:t>Router overhead in milliseconds and dollars.</w:t>
      </w:r>
    </w:p>
    <w:p>
      <w:pPr>
        <w:pStyle w:val="Heading2"/>
      </w:pPr>
      <w:r>
        <w:t>Required outputs</w:t>
      </w:r>
    </w:p>
    <w:p>
      <w:pPr>
        <w:pStyle w:val="ListBullet"/>
        <w:spacing w:after="36" w:line="245" w:lineRule="auto"/>
        <w:ind w:left="317" w:hanging="173"/>
      </w:pPr>
      <w:r>
        <w:rPr>
          <w:rFonts w:ascii="Arial" w:hAnsi="Arial" w:eastAsia="Arial"/>
          <w:sz w:val="18"/>
        </w:rPr>
        <w:t>performance_predictor_v1 artifact and model card.</w:t>
      </w:r>
    </w:p>
    <w:p>
      <w:pPr>
        <w:pStyle w:val="ListBullet"/>
        <w:spacing w:after="36" w:line="245" w:lineRule="auto"/>
        <w:ind w:left="317" w:hanging="173"/>
      </w:pPr>
      <w:r>
        <w:rPr>
          <w:rFonts w:ascii="Arial" w:hAnsi="Arial" w:eastAsia="Arial"/>
          <w:sz w:val="18"/>
        </w:rPr>
        <w:t>Feature-ablation and cold-start results.</w:t>
      </w:r>
    </w:p>
    <w:p>
      <w:pPr>
        <w:pStyle w:val="ListBullet"/>
        <w:spacing w:after="36" w:line="245" w:lineRule="auto"/>
        <w:ind w:left="317" w:hanging="173"/>
      </w:pPr>
      <w:r>
        <w:rPr>
          <w:rFonts w:ascii="Arial" w:hAnsi="Arial" w:eastAsia="Arial"/>
          <w:sz w:val="18"/>
        </w:rPr>
        <w:t>Candidate-level prediction logs for the frozen test set.</w:t>
      </w:r>
    </w:p>
    <w:p>
      <w:pPr>
        <w:pStyle w:val="ListBullet"/>
        <w:spacing w:after="36" w:line="245" w:lineRule="auto"/>
        <w:ind w:left="317" w:hanging="173"/>
      </w:pPr>
      <w:r>
        <w:rPr>
          <w:rFonts w:ascii="Arial" w:hAnsi="Arial" w:eastAsia="Arial"/>
          <w:sz w:val="18"/>
        </w:rPr>
        <w:t>Latency and overhead benchmark.</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Direct-route memorization</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Model predicts benchmark-specific tiers rather than candidate success.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Hide source names, use group/OOD splits, and score candidate probabilities directly.</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Class imbalance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Most cheap models fail or most strong models pass.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calibrated weighting, stratified reporting, and threshold metrics rather than accuracy alone.</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New-model cold start</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No historical outcomes exist for a new configuration.</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registry/model embeddings and a small anchor calibration set; report provisional uncertainty.</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Expensive router</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Router call costs approach model-call savings.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lightweight local models and include router overhead in total cost.</w:t>
            </w:r>
          </w:p>
        </w:tc>
      </w:tr>
      <w:tr>
        <w:tc>
          <w:tcPr>
            <w:tcW w:type="dxa" w:w="3389"/>
          </w:tcPr>
          <w:p>
            <w:r>
              <w:t>Pooled-AUC inflation [Reviewed 2]</w:t>
            </w:r>
          </w:p>
        </w:tc>
        <w:tc>
          <w:tcPr>
            <w:tcW w:type="dxa" w:w="3389"/>
          </w:tcPr>
          <w:p>
            <w:r>
              <w:t>The per-configuration-constant control achieves a similar pooled AUC to the learned predictor. [Reviewed 2]</w:t>
            </w:r>
          </w:p>
        </w:tc>
        <w:tc>
          <w:tcPr>
            <w:tcW w:type="dxa" w:w="3389"/>
          </w:tcPr>
          <w:p>
            <w:r>
              <w:t>Gate on within-item AUC and delta log-loss over the constant control, never on pooled AUC. [Reviewed 2]</w:t>
            </w:r>
          </w:p>
        </w:tc>
      </w:tr>
      <w:tr>
        <w:tc>
          <w:tcPr>
            <w:tcW w:type="dxa" w:w="3389"/>
          </w:tcPr>
          <w:p>
            <w:r>
              <w:t>Encoder truncation on long items [Reviewed 2]</w:t>
            </w:r>
          </w:p>
        </w:tc>
        <w:tc>
          <w:tcPr>
            <w:tcW w:type="dxa" w:w="3389"/>
          </w:tcPr>
          <w:p>
            <w:r>
              <w:t>Performance collapses in the top prompt-length deciles. [Reviewed 2]</w:t>
            </w:r>
          </w:p>
        </w:tc>
        <w:tc>
          <w:tcPr>
            <w:tcW w:type="dxa" w:w="3389"/>
          </w:tcPr>
          <w:p>
            <w:r>
              <w:t>Adopt a long-context encoder with a measured overhead gate, or exclude long items from the claim.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The predictor must beat the per-configuration-constant control and the task-only control on WITHIN-ITEM AUC and on delta log-loss with a 95% CI excluding zero, with the grader label-noise ceiling from Phase 4 reported alongside; and router inference overhead must be measured at p95 prompt length, with the resulting number recorded rather than asserted in advance.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Local-model activation probes or richer model profiles could improve prediction for open models. Keep them as later extensions because closed API models do not expose comparable internal states.</w:t>
            </w:r>
          </w:p>
        </w:tc>
      </w:tr>
    </w:tbl>
    <w:p>
      <w:pPr>
        <w:spacing w:after="0"/>
      </w:pPr>
    </w:p>
    <w:p>
      <w:pPr>
        <w:pStyle w:val="Heading1"/>
      </w:pPr>
      <w:r>
        <w:t>Phase 8 - Probability calibration, OOD detection, and constrained optimizer</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A ranking can choose the best candidate while still being dangerously overconfident. Quality thresholds require calibrated probabilities and explicit uncertainty.</w:t>
            </w:r>
          </w:p>
        </w:tc>
      </w:tr>
    </w:tbl>
    <w:p>
      <w:pPr>
        <w:spacing w:after="0"/>
      </w:pPr>
    </w:p>
    <w:p>
      <w:pPr>
        <w:spacing w:after="80"/>
      </w:pPr>
      <w:r>
        <w:t>Purpose. Convert raw scores into an operationally valid decision rule using POLICY-LEVEL Learn-Then-Test: treat the routing rule as a family of policies indexed by lambda (quality floor, OOD threshold, escalation trigger) and select lambda by multiple hypothesis testing with FWER control, where the loss is evaluated on the configuration the policy ACTUALLY SELECTS. Per-configuration Conformal Risk Control is implemented and reported as the NEGATIVE CONTROL, because its marginal guarantee does not survive argmin-cost selection: in simulation each arm calibrated alone sits at 0.036-0.045 against a nominal alpha of 0.05 while the selected arm runs at 0.088-0.097, whereas a single policy-level threshold holds 0.045-0.047 at 91-95% coverage. Mahalanobis OOD distance is retained as a gate, but its fallback is a BOUNDED-COST path. [Reviewed 2]</w:t>
      </w:r>
    </w:p>
    <w:p>
      <w:pPr>
        <w:spacing w:after="120"/>
      </w:pPr>
      <w:r>
        <w:t>Testable hypothesis (H-P, primary). Policy-level LTT calibration bounds empirical failure rate on the SELECTED configuration at or below alpha on the exchangeable ID test partition with FWER-controlled finite-sample validity, while per-configuration conformal calibration of the same predictor exceeds alpha by a factor &gt;= 1.5 at matched coverage. No guarantee is claimed on OOD, new-domain, new-model-family, or adversarial partitions, where exchangeability fails by construction and where violation is reported as a MEASUREMENT only.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Routoo, R2-Router, scikit-learn calibration.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Routoo [R7]</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Cost-aware selector operating on predicted performance.</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4">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R2-Router [R8]</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Joint selection of model and controllable output-length budget.</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39">
              <w:r>
                <w:rPr>
                  <w:rFonts w:ascii="Arial" w:hAnsi="Arial"/>
                  <w:color w:val="167C80"/>
                  <w:u w:val="single"/>
                  <w:b/>
                  <w:sz w:val="15"/>
                </w:rPr>
                <w:t>Repository</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scikit-learn calibration</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Isotonic, sigmoid, and calibration diagnostics.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0">
              <w:r>
                <w:rPr>
                  <w:rFonts w:ascii="Arial" w:hAnsi="Arial"/>
                  <w:color w:val="167C80"/>
                  <w:u w:val="single"/>
                  <w:b/>
                  <w:sz w:val="15"/>
                </w:rPr>
                <w:t>Official guide</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docs</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Raw candidate success scores.</w:t>
      </w:r>
    </w:p>
    <w:p>
      <w:pPr>
        <w:pStyle w:val="ListBullet"/>
        <w:spacing w:after="36" w:line="245" w:lineRule="auto"/>
        <w:ind w:left="317" w:hanging="173"/>
      </w:pPr>
      <w:r>
        <w:rPr>
          <w:rFonts w:ascii="Arial" w:hAnsi="Arial" w:eastAsia="Arial"/>
          <w:sz w:val="18"/>
        </w:rPr>
        <w:t>Calibration partition not used for model fitting.</w:t>
      </w:r>
    </w:p>
    <w:p>
      <w:pPr>
        <w:pStyle w:val="ListBullet"/>
        <w:spacing w:after="36" w:line="245" w:lineRule="auto"/>
        <w:ind w:left="317" w:hanging="173"/>
      </w:pPr>
      <w:r>
        <w:rPr>
          <w:rFonts w:ascii="Arial" w:hAnsi="Arial" w:eastAsia="Arial"/>
          <w:sz w:val="18"/>
        </w:rPr>
        <w:t>Predicted cost, latency, output length, and uncertainty distributions.</w:t>
      </w:r>
    </w:p>
    <w:p>
      <w:pPr>
        <w:pStyle w:val="ListBullet"/>
        <w:spacing w:after="36" w:line="245" w:lineRule="auto"/>
        <w:ind w:left="317" w:hanging="173"/>
      </w:pPr>
      <w:r>
        <w:rPr>
          <w:rFonts w:ascii="Arial" w:hAnsi="Arial" w:eastAsia="Arial"/>
          <w:sz w:val="18"/>
        </w:rPr>
        <w:t>Service-profile thresholds and deterministic policy constraints.</w:t>
      </w:r>
    </w:p>
    <w:p>
      <w:pPr>
        <w:pStyle w:val="Heading2"/>
      </w:pPr>
      <w:r>
        <w:t>Procedure</w:t>
      </w:r>
    </w:p>
    <w:p>
      <w:pPr>
        <w:pStyle w:val="ListNumber"/>
        <w:spacing w:after="50"/>
        <w:ind w:left="403" w:hanging="259"/>
      </w:pPr>
      <w:r>
        <w:rPr>
          <w:rFonts w:ascii="Arial" w:hAnsi="Arial" w:eastAsia="Arial"/>
          <w:sz w:val="18"/>
        </w:rPr>
        <w:t>Fit and compare temperature/sigmoid scaling and isotonic regression on CAL-A only, as inputs to the policy calibration - not as the guarantee itself. [Reviewed 2]</w:t>
      </w:r>
    </w:p>
    <w:p>
      <w:pPr>
        <w:pStyle w:val="ListNumber"/>
        <w:spacing w:after="50"/>
        <w:ind w:left="403" w:hanging="259"/>
      </w:pPr>
      <w:r>
        <w:rPr>
          <w:rFonts w:ascii="Arial" w:hAnsi="Arial" w:eastAsia="Arial"/>
          <w:sz w:val="18"/>
        </w:rPr>
        <w:t>Calculate reliability diagrams, Brier score, expected calibration error, and empirical coverage at quality thresholds.</w:t>
      </w:r>
    </w:p>
    <w:p>
      <w:pPr>
        <w:pStyle w:val="ListNumber"/>
        <w:spacing w:after="50"/>
        <w:ind w:left="403" w:hanging="259"/>
      </w:pPr>
      <w:r>
        <w:rPr>
          <w:rFonts w:ascii="Arial" w:hAnsi="Arial" w:eastAsia="Arial"/>
          <w:sz w:val="18"/>
        </w:rPr>
        <w:t>Fit the OOD score (Mahalanobis distance, density, ensemble disagreement) on TRAIN and CAL-C only. The covariance estimate must never see test data. [Reviewed 2]</w:t>
      </w:r>
    </w:p>
    <w:p>
      <w:pPr>
        <w:pStyle w:val="ListNumber"/>
        <w:spacing w:after="50"/>
        <w:ind w:left="403" w:hanging="259"/>
      </w:pPr>
      <w:r>
        <w:rPr>
          <w:rFonts w:ascii="Arial" w:hAnsi="Arial" w:eastAsia="Arial"/>
          <w:sz w:val="18"/>
        </w:rPr>
        <w:t>Define the policy family: for each candidate lambda in a pre-registered grid, the policy filters deterministic constraints, applies the quality floor, and takes argmin expected total cost among survivors. Evaluate the loss of the WHOLE POLICY on CAL-B, on the arm it selects. [Reviewed 2]</w:t>
      </w:r>
    </w:p>
    <w:p>
      <w:pPr>
        <w:pStyle w:val="ListNumber"/>
        <w:spacing w:after="50"/>
        <w:ind w:left="403" w:hanging="259"/>
      </w:pPr>
      <w:r>
        <w:rPr>
          <w:rFonts w:ascii="Arial" w:hAnsi="Arial" w:eastAsia="Arial"/>
          <w:sz w:val="18"/>
        </w:rPr>
        <w:t>Run Learn-Then-Test over the lambda grid with FWER control (Bonferroni or a fixed-sequence ordering), and return the set of lambda values whose selected-arm risk is provably bounded. Choose the highest-coverage member of that set. If the set is empty, the correct behaviour is to ABSTAIN entirely - the simulation confirms this happens when the predictor is too noisy to support any valid policy. [Reviewed 2]</w:t>
      </w:r>
    </w:p>
    <w:p>
      <w:pPr>
        <w:pStyle w:val="ListNumber"/>
        <w:spacing w:after="50"/>
        <w:ind w:left="403" w:hanging="259"/>
      </w:pPr>
      <w:r>
        <w:rPr>
          <w:rFonts w:ascii="Arial" w:hAnsi="Arial" w:eastAsia="Arial"/>
          <w:sz w:val="18"/>
        </w:rPr>
        <w:t>Among eligible candidates, minimize expected total cost or a pre-registered utility. Enforce a separate hard budget firewall after optimization.</w:t>
      </w:r>
    </w:p>
    <w:p>
      <w:pPr>
        <w:pStyle w:val="ListNumber"/>
        <w:spacing w:after="50"/>
        <w:ind w:left="403" w:hanging="259"/>
      </w:pPr>
      <w:r>
        <w:rPr>
          <w:rFonts w:ascii="Arial" w:hAnsi="Arial" w:eastAsia="Arial"/>
          <w:sz w:val="18"/>
        </w:rPr>
        <w:t>If no candidate qualifies, invoke the predefined safe fallback, abstention, or human-review path. That fallback must be BOUNDED-COST (abstain, human review, or the cheapest constraint-satisfying configuration under tenant budget authorisation) - never 'Always Strongest'. [Reviewed 2]</w:t>
      </w:r>
    </w:p>
    <w:p>
      <w:pPr>
        <w:pStyle w:val="Heading2"/>
      </w:pPr>
      <w:r>
        <w:t>Measurements and controls</w:t>
      </w:r>
    </w:p>
    <w:p>
      <w:pPr>
        <w:pStyle w:val="ListBullet"/>
        <w:spacing w:after="36" w:line="245" w:lineRule="auto"/>
        <w:ind w:left="317" w:hanging="173"/>
      </w:pPr>
      <w:r>
        <w:rPr>
          <w:rFonts w:ascii="Arial" w:hAnsi="Arial" w:eastAsia="Arial"/>
          <w:sz w:val="18"/>
        </w:rPr>
        <w:t>Calibration error and Brier score overall and by domain/difficulty band.</w:t>
      </w:r>
    </w:p>
    <w:p>
      <w:pPr>
        <w:pStyle w:val="ListBullet"/>
        <w:spacing w:after="36" w:line="245" w:lineRule="auto"/>
        <w:ind w:left="317" w:hanging="173"/>
      </w:pPr>
      <w:r>
        <w:rPr>
          <w:rFonts w:ascii="Arial" w:hAnsi="Arial" w:eastAsia="Arial"/>
          <w:sz w:val="18"/>
        </w:rPr>
        <w:t>Coverage: fraction of requests for which a candidate meets the conservative quality floor.</w:t>
      </w:r>
    </w:p>
    <w:p>
      <w:pPr>
        <w:pStyle w:val="ListBullet"/>
        <w:spacing w:after="36" w:line="245" w:lineRule="auto"/>
        <w:ind w:left="317" w:hanging="173"/>
      </w:pPr>
      <w:r>
        <w:rPr>
          <w:rFonts w:ascii="Arial" w:hAnsi="Arial" w:eastAsia="Arial"/>
          <w:sz w:val="18"/>
        </w:rPr>
        <w:t>Violation rate: fraction of routed requests whose empirical success is below the target.</w:t>
      </w:r>
    </w:p>
    <w:p>
      <w:pPr>
        <w:pStyle w:val="ListBullet"/>
        <w:spacing w:after="36" w:line="245" w:lineRule="auto"/>
        <w:ind w:left="317" w:hanging="173"/>
      </w:pPr>
      <w:r>
        <w:rPr>
          <w:rFonts w:ascii="Arial" w:hAnsi="Arial" w:eastAsia="Arial"/>
          <w:sz w:val="18"/>
        </w:rPr>
        <w:t>Total cost, latency, abstention, and fallback rates.</w:t>
      </w:r>
    </w:p>
    <w:p>
      <w:pPr>
        <w:pStyle w:val="ListBullet"/>
        <w:spacing w:after="36" w:line="245" w:lineRule="auto"/>
        <w:ind w:left="317" w:hanging="173"/>
      </w:pPr>
      <w:r>
        <w:rPr>
          <w:rFonts w:ascii="Arial" w:hAnsi="Arial" w:eastAsia="Arial"/>
          <w:sz w:val="18"/>
        </w:rPr>
        <w:t>Risk is ALWAYS reported jointly with coverage. A router can reach any risk level by abstaining more, so a risk number without its coverage number is meaningless. [Reviewed 2]</w:t>
      </w:r>
    </w:p>
    <w:p>
      <w:pPr>
        <w:pStyle w:val="ListBullet"/>
        <w:spacing w:after="36" w:line="245" w:lineRule="auto"/>
        <w:ind w:left="317" w:hanging="173"/>
      </w:pPr>
      <w:r>
        <w:rPr>
          <w:rFonts w:ascii="Arial" w:hAnsi="Arial" w:eastAsia="Arial"/>
          <w:sz w:val="18"/>
        </w:rPr>
        <w:t>Report per-arm selective risk and selected-arm risk side by side. The gap between them is a primary result of this study. [Reviewed 2]</w:t>
      </w:r>
    </w:p>
    <w:p>
      <w:pPr>
        <w:pStyle w:val="Heading2"/>
      </w:pPr>
      <w:r>
        <w:t>Required outputs</w:t>
      </w:r>
    </w:p>
    <w:p>
      <w:pPr>
        <w:pStyle w:val="ListBullet"/>
        <w:spacing w:after="36" w:line="245" w:lineRule="auto"/>
        <w:ind w:left="317" w:hanging="173"/>
      </w:pPr>
      <w:r>
        <w:rPr>
          <w:rFonts w:ascii="Arial" w:hAnsi="Arial" w:eastAsia="Arial"/>
          <w:sz w:val="18"/>
        </w:rPr>
        <w:t>calibrator_v1 and OOD_detector_v1.</w:t>
      </w:r>
    </w:p>
    <w:p>
      <w:pPr>
        <w:pStyle w:val="ListBullet"/>
        <w:spacing w:after="36" w:line="245" w:lineRule="auto"/>
        <w:ind w:left="317" w:hanging="173"/>
      </w:pPr>
      <w:r>
        <w:rPr>
          <w:rFonts w:ascii="Arial" w:hAnsi="Arial" w:eastAsia="Arial"/>
          <w:sz w:val="18"/>
        </w:rPr>
        <w:t>optimizer policy and service-profile configuration.</w:t>
      </w:r>
    </w:p>
    <w:p>
      <w:pPr>
        <w:pStyle w:val="ListBullet"/>
        <w:spacing w:after="36" w:line="245" w:lineRule="auto"/>
        <w:ind w:left="317" w:hanging="173"/>
      </w:pPr>
      <w:r>
        <w:rPr>
          <w:rFonts w:ascii="Arial" w:hAnsi="Arial" w:eastAsia="Arial"/>
          <w:sz w:val="18"/>
        </w:rPr>
        <w:t>Budget-firewall specification and tests.</w:t>
      </w:r>
    </w:p>
    <w:p>
      <w:pPr>
        <w:pStyle w:val="ListBullet"/>
        <w:spacing w:after="36" w:line="245" w:lineRule="auto"/>
        <w:ind w:left="317" w:hanging="173"/>
      </w:pPr>
      <w:r>
        <w:rPr>
          <w:rFonts w:ascii="Arial" w:hAnsi="Arial" w:eastAsia="Arial"/>
          <w:sz w:val="18"/>
        </w:rPr>
        <w:t>Calibration and coverage report.</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Miscalibration under shift</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Reliability curve deteriorates on new domains or model versions.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OOD scoring, domain reporting, conservative bounds, and recertification.</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Predicted-cost leakage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Optimizer uses realized output length unavailable before generation.</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pre-generation output-length/cost models only; reserve realized values for evaluation.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No eligible candidate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All conservative bounds fall below threshold.</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Abstain or route to a designated high-assurance fallback under a hard spend limit.</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Optimizer bypasses policy</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Low-cost model violates tenant or safety restrictions.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Apply deterministic eligibility filters and an independent budget/policy firewall.</w:t>
            </w:r>
          </w:p>
        </w:tc>
      </w:tr>
      <w:tr>
        <w:tc>
          <w:tcPr>
            <w:tcW w:type="dxa" w:w="3389"/>
          </w:tcPr>
          <w:p>
            <w:r>
              <w:t>Post-selection invalidity [Reviewed 2]</w:t>
            </w:r>
          </w:p>
        </w:tc>
        <w:tc>
          <w:tcPr>
            <w:tcW w:type="dxa" w:w="3389"/>
          </w:tcPr>
          <w:p>
            <w:r>
              <w:t>Selected-arm risk exceeds nominal alpha while each arm's own bound holds. [Reviewed 2]</w:t>
            </w:r>
          </w:p>
        </w:tc>
        <w:tc>
          <w:tcPr>
            <w:tcW w:type="dxa" w:w="3389"/>
          </w:tcPr>
          <w:p>
            <w:r>
              <w:t>Calibrate the policy, not the arm: LTT with FWER control, loss measured on the selected arm. [Reviewed 2]</w:t>
            </w:r>
          </w:p>
        </w:tc>
      </w:tr>
      <w:tr>
        <w:tc>
          <w:tcPr>
            <w:tcW w:type="dxa" w:w="3389"/>
          </w:tcPr>
          <w:p>
            <w:r>
              <w:t>OOD fallback as an amplification channel [Reviewed 2]</w:t>
            </w:r>
          </w:p>
        </w:tc>
        <w:tc>
          <w:tcPr>
            <w:tcW w:type="dxa" w:w="3389"/>
          </w:tcPr>
          <w:p>
            <w:r>
              <w:t>Inputs crafted to look anomalous reliably obtain the most expensive configuration. [Reviewed 2]</w:t>
            </w:r>
          </w:p>
        </w:tc>
        <w:tc>
          <w:tcPr>
            <w:tcW w:type="dxa" w:w="3389"/>
          </w:tcPr>
          <w:p>
            <w:r>
              <w:t>Bounded-cost OOD fallback; escalation drawn from the caller's tenant quota. [Reviewed 2]</w:t>
            </w:r>
          </w:p>
        </w:tc>
      </w:tr>
      <w:tr>
        <w:tc>
          <w:tcPr>
            <w:tcW w:type="dxa" w:w="3389"/>
          </w:tcPr>
          <w:p>
            <w:r>
              <w:t>Guarantee claimed off-distribution [Reviewed 2]</w:t>
            </w:r>
          </w:p>
        </w:tc>
        <w:tc>
          <w:tcPr>
            <w:tcW w:type="dxa" w:w="3389"/>
          </w:tcPr>
          <w:p>
            <w:r>
              <w:t>Guarantee language appears in any OOD, new-family, or adversarial result. [Reviewed 2]</w:t>
            </w:r>
          </w:p>
        </w:tc>
        <w:tc>
          <w:tcPr>
            <w:tcW w:type="dxa" w:w="3389"/>
          </w:tcPr>
          <w:p>
            <w:r>
              <w:t>Restrict guarantee claims to the ID test; report shifted partitions as measurements; optionally add weighted conformal as an assumption-stated secondary.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On the frozen EXCHANGEABLE ID test partition, selected-arm empirical risk is at or below alpha under policy-level LTT with FWER control, reported jointly with coverage; the per-arm conformal control is reported alongside and is expected to exceed alpha; and OOD detection routes anomalies to a bounded-cost path with a measured, non-guaranteed violation rate. No guarantee language may appear in any off-distribution result.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Conformal prediction or distributionally robust optimization could provide stronger statistical guarantees. Add only after the basic calibration study is stable and sample sizes are sufficient.</w:t>
            </w:r>
          </w:p>
        </w:tc>
      </w:tr>
    </w:tbl>
    <w:p>
      <w:pPr>
        <w:spacing w:after="0"/>
      </w:pPr>
    </w:p>
    <w:p>
      <w:pPr>
        <w:spacing w:after="40"/>
      </w:pPr>
      <w:r>
        <w:rPr>
          <w:rFonts w:ascii="Arial" w:hAnsi="Arial" w:eastAsia="Arial"/>
          <w:i/>
          <w:color w:val="4D5960"/>
          <w:sz w:val="17"/>
        </w:rPr>
        <w:t>Reference online decision procedure</w:t>
      </w:r>
    </w:p>
    <w:tbl>
      <w:tblPr>
        <w:tblW w:type="auto" w:w="0"/>
        <w:jc w:val="center"/>
        <w:tblLook w:firstColumn="1" w:firstRow="1" w:lastColumn="0" w:lastRow="0" w:noHBand="0" w:noVBand="1" w:val="04A0"/>
      </w:tblPr>
      <w:tblGrid>
        <w:gridCol w:w="10166"/>
      </w:tblGrid>
      <w:tr>
        <w:tc>
          <w:tcPr>
            <w:tcW w:type="dxa" w:w="10166"/>
            <w:shd w:fill="263238"/>
            <w:tcBorders>
              <w:top w:val="single" w:sz="4" w:color="263238"/>
              <w:left w:val="single" w:sz="4" w:color="263238"/>
              <w:bottom w:val="single" w:sz="4" w:color="263238"/>
              <w:right w:val="single" w:sz="4" w:color="263238"/>
            </w:tcBorders>
            <w:tcMar>
              <w:top w:w="120" w:type="dxa"/>
              <w:start w:w="140" w:type="dxa"/>
              <w:bottom w:w="120" w:type="dxa"/>
              <w:end w:w="140" w:type="dxa"/>
            </w:tcMar>
          </w:tcPr>
          <w:p>
            <w:pPr>
              <w:spacing w:after="0"/>
            </w:pPr>
            <w:r>
              <w:rPr>
                <w:rFonts w:ascii="Liberation Mono" w:hAnsi="Liberation Mono" w:eastAsia="Liberation Mono"/>
                <w:color w:val="FFFFFF"/>
                <w:sz w:val="15"/>
              </w:rPr>
              <w:t>def select_route(request, candidates, service_profile, lam):</w:t>
              <w:br/>
              <w:t xml:space="preserve">    # lam was chosen offline by policy-level Learn-Then-Test with FWER control,</w:t>
              <w:br/>
              <w:t xml:space="preserve">    # with the loss measured on the arm this same rule selects.  [Reviewed 2]</w:t>
              <w:br/>
              <w:t xml:space="preserve">    eligible = deterministic_filter(request, candidates, service_profile)</w:t>
              <w:br/>
              <w:t xml:space="preserve">    features = analyze_request(request)</w:t>
              <w:br/>
              <w:t xml:space="preserve">    if ood_score(features) &gt; lam.ood_threshold:</w:t>
              <w:br/>
              <w:t xml:space="preserve">        return bounded_cost_fallback(request, service_profile)   # never Always Strongest</w:t>
              <w:br/>
              <w:t xml:space="preserve">    eligible = inferred_capability_filter(features, eligible)</w:t>
              <w:br/>
              <w:t xml:space="preserve">    predictions = predictor.predict_distributions(features, eligible)</w:t>
              <w:br/>
              <w:t xml:space="preserve">    qualified = [c for c in eligible</w:t>
              <w:br/>
              <w:t xml:space="preserve">                 if predictions[c].success_score &gt;= lam.quality_floor]</w:t>
              <w:br/>
              <w:t xml:space="preserve">    if not qualified:</w:t>
              <w:br/>
              <w:t xml:space="preserve">        return predefined_safe_fallback_or_abstain()</w:t>
              <w:br/>
              <w:t xml:space="preserve">    selected = min(qualified, key=lambda c: expected_total_cost(predictions[c]))</w:t>
              <w:br/>
              <w:t xml:space="preserve">    budget_firewall.authorize(selected, request, service_profile)</w:t>
              <w:br/>
              <w:t xml:space="preserve">    return selected</w:t>
            </w:r>
          </w:p>
        </w:tc>
      </w:tr>
    </w:tbl>
    <w:p>
      <w:pPr>
        <w:spacing w:after="0"/>
      </w:pPr>
    </w:p>
    <w:p>
      <w:pPr>
        <w:pStyle w:val="Heading1"/>
      </w:pPr>
      <w:r>
        <w:t>Phase 9 - Task-aware verification and bounded escalation</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Upfront prediction is imperfect. A cascade can recover some mistakes, but only if verification is more reliable and less expensive than indiscriminate escalation.</w:t>
            </w:r>
          </w:p>
        </w:tc>
      </w:tr>
    </w:tbl>
    <w:p>
      <w:pPr>
        <w:spacing w:after="0"/>
      </w:pPr>
    </w:p>
    <w:p>
      <w:pPr>
        <w:spacing w:after="80"/>
      </w:pPr>
      <w:r>
        <w:t>Purpose. Deploy domain-gated verification (code compilation, unit tests, symbolic math only) with at most one bounded escalation, and evaluate it against the known-optimal comparator rather than against upfront routing alone. The escalation criterion is now defined rather than named: escalation is net-positive when p_fail * (c_escalate + c_verify) &lt; delta_solved * V_task, where V_task is the pre-registered value of a solved task. Without a declared V_task the v1.1 phrase 'positive net cost asymmetry condition' was untestable. [Reviewed 2]</w:t>
      </w:r>
    </w:p>
    <w:p>
      <w:pPr>
        <w:spacing w:after="120"/>
      </w:pPr>
      <w:r>
        <w:t>Testable hypothesis (exploratory). Domain-gated verification plus one fresh escalation improves net solved-task rate while satisfying the declared net-value inequality above, and is non-inferior at matched cost to cascade routing (Dekoninck et al. [R31]) and to the decision-theoretic frontier characterised by Bouchard [R32].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FrugalGPT, AutoMix, SWE-bench.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FrugalGPT [R29]</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Learned cascades and cost-quality trade-offs.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1">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AutoMix [R30]</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Self-verification plus meta-verification before escalation.</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2">
              <w:r>
                <w:rPr>
                  <w:rFonts w:ascii="Arial" w:hAnsi="Arial"/>
                  <w:color w:val="167C80"/>
                  <w:u w:val="single"/>
                  <w:b/>
                  <w:sz w:val="15"/>
                </w:rPr>
                <w:t>Repository</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Apache-2.0 code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SWE-bench [R21]</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Execution-based verification for repository tasks.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3">
              <w:r>
                <w:rPr>
                  <w:rFonts w:ascii="Arial" w:hAnsi="Arial"/>
                  <w:color w:val="167C80"/>
                  <w:u w:val="single"/>
                  <w:b/>
                  <w:sz w:val="15"/>
                </w:rPr>
                <w:t>Evaluation guide</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code</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Selected model output and task-specific verifier.</w:t>
      </w:r>
    </w:p>
    <w:p>
      <w:pPr>
        <w:pStyle w:val="ListBullet"/>
        <w:spacing w:after="36" w:line="245" w:lineRule="auto"/>
        <w:ind w:left="317" w:hanging="173"/>
      </w:pPr>
      <w:r>
        <w:rPr>
          <w:rFonts w:ascii="Arial" w:hAnsi="Arial" w:eastAsia="Arial"/>
          <w:sz w:val="18"/>
        </w:rPr>
        <w:t>A predefined fallback configuration.</w:t>
      </w:r>
    </w:p>
    <w:p>
      <w:pPr>
        <w:pStyle w:val="ListBullet"/>
        <w:spacing w:after="36" w:line="245" w:lineRule="auto"/>
        <w:ind w:left="317" w:hanging="173"/>
      </w:pPr>
      <w:r>
        <w:rPr>
          <w:rFonts w:ascii="Arial" w:hAnsi="Arial" w:eastAsia="Arial"/>
          <w:sz w:val="18"/>
        </w:rPr>
        <w:t>Session-level retry, cost, token, and latency ceilings.</w:t>
      </w:r>
    </w:p>
    <w:p>
      <w:pPr>
        <w:pStyle w:val="Heading2"/>
      </w:pPr>
      <w:r>
        <w:t>Procedure</w:t>
      </w:r>
    </w:p>
    <w:p>
      <w:pPr>
        <w:pStyle w:val="ListNumber"/>
        <w:spacing w:after="50"/>
        <w:ind w:left="403" w:hanging="259"/>
      </w:pPr>
      <w:r>
        <w:rPr>
          <w:rFonts w:ascii="Arial" w:hAnsi="Arial" w:eastAsia="Arial"/>
          <w:sz w:val="18"/>
        </w:rPr>
        <w:t>Assign a verifier type by task: tests/compilation, symbolic equivalence, schema validation, environment state, reference-grounded check, or preference rubric.</w:t>
      </w:r>
    </w:p>
    <w:p>
      <w:pPr>
        <w:pStyle w:val="ListNumber"/>
        <w:spacing w:after="50"/>
        <w:ind w:left="403" w:hanging="259"/>
      </w:pPr>
      <w:r>
        <w:rPr>
          <w:rFonts w:ascii="Arial" w:hAnsi="Arial" w:eastAsia="Arial"/>
          <w:sz w:val="18"/>
        </w:rPr>
        <w:t>Measure verifier false accepts and false rejects on a validation set before using it as a gate.</w:t>
      </w:r>
    </w:p>
    <w:p>
      <w:pPr>
        <w:pStyle w:val="ListNumber"/>
        <w:spacing w:after="50"/>
        <w:ind w:left="403" w:hanging="259"/>
      </w:pPr>
      <w:r>
        <w:rPr>
          <w:rFonts w:ascii="Arial" w:hAnsi="Arial" w:eastAsia="Arial"/>
          <w:sz w:val="18"/>
        </w:rPr>
        <w:t>If verification passes, return the response. If it fails, perform one fresh escalation using the original request plus verified artifacts and concise failure evidence.</w:t>
      </w:r>
    </w:p>
    <w:p>
      <w:pPr>
        <w:pStyle w:val="ListNumber"/>
        <w:spacing w:after="50"/>
        <w:ind w:left="403" w:hanging="259"/>
      </w:pPr>
      <w:r>
        <w:rPr>
          <w:rFonts w:ascii="Arial" w:hAnsi="Arial" w:eastAsia="Arial"/>
          <w:sz w:val="18"/>
        </w:rPr>
        <w:t>Do not forward unsupported reasoning from the failed model as ground truth; avoid anchoring the stronger model to the same error.</w:t>
      </w:r>
    </w:p>
    <w:p>
      <w:pPr>
        <w:pStyle w:val="ListNumber"/>
        <w:spacing w:after="50"/>
        <w:ind w:left="403" w:hanging="259"/>
      </w:pPr>
      <w:r>
        <w:rPr>
          <w:rFonts w:ascii="Arial" w:hAnsi="Arial" w:eastAsia="Arial"/>
          <w:sz w:val="18"/>
        </w:rPr>
        <w:t>Record total workflow cost, latency, and final success, not just first-call cost.</w:t>
      </w:r>
    </w:p>
    <w:p>
      <w:pPr>
        <w:pStyle w:val="ListNumber"/>
        <w:spacing w:after="50"/>
        <w:ind w:left="403" w:hanging="259"/>
      </w:pPr>
      <w:r>
        <w:rPr>
          <w:rFonts w:ascii="Arial" w:hAnsi="Arial" w:eastAsia="Arial"/>
          <w:sz w:val="18"/>
        </w:rPr>
        <w:t>Stop after the configured escalation ceiling and return abstention/human review when required.</w:t>
      </w:r>
    </w:p>
    <w:p>
      <w:pPr>
        <w:pStyle w:val="ListNumber"/>
        <w:spacing w:after="50"/>
        <w:ind w:left="403" w:hanging="259"/>
      </w:pPr>
      <w:r>
        <w:rPr>
          <w:rFonts w:ascii="Arial" w:hAnsi="Arial" w:eastAsia="Arial"/>
          <w:sz w:val="18"/>
        </w:rPr>
        <w:t>Compare against cascade routing [R31] at matched cost, and against the analytic escalation frontier of [R32]. Cascades pay the cheap model before any escalation decision, so their structural cost floor is known in advance and must be reported. [Reviewed 2]</w:t>
      </w:r>
    </w:p>
    <w:p>
      <w:pPr>
        <w:pStyle w:val="ListNumber"/>
        <w:spacing w:after="50"/>
        <w:ind w:left="403" w:hanging="259"/>
      </w:pPr>
      <w:r>
        <w:rPr>
          <w:rFonts w:ascii="Arial" w:hAnsi="Arial" w:eastAsia="Arial"/>
          <w:sz w:val="18"/>
        </w:rPr>
        <w:t>Run the ungated-verifier ablation (verification applied to ALL domains) so that the domain-gating decision is tested rather than asserted. [Reviewed 2]</w:t>
      </w:r>
    </w:p>
    <w:p>
      <w:pPr>
        <w:pStyle w:val="Heading2"/>
      </w:pPr>
      <w:r>
        <w:t>Measurements and controls</w:t>
      </w:r>
    </w:p>
    <w:p>
      <w:pPr>
        <w:pStyle w:val="ListBullet"/>
        <w:spacing w:after="36" w:line="245" w:lineRule="auto"/>
        <w:ind w:left="317" w:hanging="173"/>
      </w:pPr>
      <w:r>
        <w:rPr>
          <w:rFonts w:ascii="Arial" w:hAnsi="Arial" w:eastAsia="Arial"/>
          <w:sz w:val="18"/>
        </w:rPr>
        <w:t>Verifier precision/recall for failure detection.</w:t>
      </w:r>
    </w:p>
    <w:p>
      <w:pPr>
        <w:pStyle w:val="ListBullet"/>
        <w:spacing w:after="36" w:line="245" w:lineRule="auto"/>
        <w:ind w:left="317" w:hanging="173"/>
      </w:pPr>
      <w:r>
        <w:rPr>
          <w:rFonts w:ascii="Arial" w:hAnsi="Arial" w:eastAsia="Arial"/>
          <w:sz w:val="18"/>
        </w:rPr>
        <w:t>False-accept and false-reject cost.</w:t>
      </w:r>
    </w:p>
    <w:p>
      <w:pPr>
        <w:pStyle w:val="ListBullet"/>
        <w:spacing w:after="36" w:line="245" w:lineRule="auto"/>
        <w:ind w:left="317" w:hanging="173"/>
      </w:pPr>
      <w:r>
        <w:rPr>
          <w:rFonts w:ascii="Arial" w:hAnsi="Arial" w:eastAsia="Arial"/>
          <w:sz w:val="18"/>
        </w:rPr>
        <w:t>End-to-end task success, total cost, latency, and escalation rate.</w:t>
      </w:r>
    </w:p>
    <w:p>
      <w:pPr>
        <w:pStyle w:val="ListBullet"/>
        <w:spacing w:after="36" w:line="245" w:lineRule="auto"/>
        <w:ind w:left="317" w:hanging="173"/>
      </w:pPr>
      <w:r>
        <w:rPr>
          <w:rFonts w:ascii="Arial" w:hAnsi="Arial" w:eastAsia="Arial"/>
          <w:sz w:val="18"/>
        </w:rPr>
        <w:t>Incremental value per added verifier/escalation cost.</w:t>
      </w:r>
    </w:p>
    <w:p>
      <w:pPr>
        <w:pStyle w:val="Heading2"/>
      </w:pPr>
      <w:r>
        <w:t>Required outputs</w:t>
      </w:r>
    </w:p>
    <w:p>
      <w:pPr>
        <w:pStyle w:val="ListBullet"/>
        <w:spacing w:after="36" w:line="245" w:lineRule="auto"/>
        <w:ind w:left="317" w:hanging="173"/>
      </w:pPr>
      <w:r>
        <w:rPr>
          <w:rFonts w:ascii="Arial" w:hAnsi="Arial" w:eastAsia="Arial"/>
          <w:sz w:val="18"/>
        </w:rPr>
        <w:t>verifier_registry.yaml.</w:t>
      </w:r>
    </w:p>
    <w:p>
      <w:pPr>
        <w:pStyle w:val="ListBullet"/>
        <w:spacing w:after="36" w:line="245" w:lineRule="auto"/>
        <w:ind w:left="317" w:hanging="173"/>
      </w:pPr>
      <w:r>
        <w:rPr>
          <w:rFonts w:ascii="Arial" w:hAnsi="Arial" w:eastAsia="Arial"/>
          <w:sz w:val="18"/>
        </w:rPr>
        <w:t>cascade_policy.yaml with hard limits.</w:t>
      </w:r>
    </w:p>
    <w:p>
      <w:pPr>
        <w:pStyle w:val="ListBullet"/>
        <w:spacing w:after="36" w:line="245" w:lineRule="auto"/>
        <w:ind w:left="317" w:hanging="173"/>
      </w:pPr>
      <w:r>
        <w:rPr>
          <w:rFonts w:ascii="Arial" w:hAnsi="Arial" w:eastAsia="Arial"/>
          <w:sz w:val="18"/>
        </w:rPr>
        <w:t>End-to-end cascade evaluation report.</w:t>
      </w:r>
    </w:p>
    <w:p>
      <w:pPr>
        <w:pStyle w:val="ListBullet"/>
        <w:spacing w:after="36" w:line="245" w:lineRule="auto"/>
        <w:ind w:left="317" w:hanging="173"/>
      </w:pPr>
      <w:r>
        <w:rPr>
          <w:rFonts w:ascii="Arial" w:hAnsi="Arial" w:eastAsia="Arial"/>
          <w:sz w:val="18"/>
        </w:rPr>
        <w:t>Fresh-escalation prompt template and tests.</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Confidently wrong verifier</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Bad answer passes despite failure.</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Prefer objective execution; validate false-accept rate; use conservative escalation on high-cost errors.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Verifier too expensive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Verification cost erases savings.</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task-specific deterministic checks and include full cost in the objective.</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Anchoring on failed answer</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Escalated model repeats the same error.</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Pass original request and verified evidence, not an untrusted full reasoning trace.</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Infinite cascade</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Repeated failures trigger uncontrolled spend.</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Hard-code one escalation for the first paper and enforce session budgets outside the router.</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The domain-gated cascade must satisfy the declared net-value inequality with a pre-registered V_task, show lower total cost than direct fallback routing after counting all verifier and retry costs, and be non-inferior at matched cost to cascade routing [R31]; the ungated-verifier ablation must justify the domain gate. Otherwise retain upfront routing.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Multi-stage adaptive cascades or protocol routing could be studied later. They are excluded now because every additional stage complicates attribution and amplifies spend risk.</w:t>
            </w:r>
          </w:p>
        </w:tc>
      </w:tr>
    </w:tbl>
    <w:p>
      <w:pPr>
        <w:spacing w:after="0"/>
      </w:pPr>
    </w:p>
    <w:p>
      <w:pPr>
        <w:pStyle w:val="Heading1"/>
      </w:pPr>
      <w:r>
        <w:t>Phase 10 - Leakage, privacy, security, and adversarial testing</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A cost-aware router is itself an attack surface. A model that routes well on clean benchmarks can still fail operationally if users can force expensive routes or poison feedback.</w:t>
            </w:r>
          </w:p>
        </w:tc>
      </w:tr>
    </w:tbl>
    <w:p>
      <w:pPr>
        <w:spacing w:after="0"/>
      </w:pPr>
    </w:p>
    <w:p>
      <w:pPr>
        <w:spacing w:after="80"/>
      </w:pPr>
      <w:r>
        <w:t>Purpose. Bound cost-amplification risk with controls that survive an ADAPTIVE adversary. The confirmatory security claim is the provable worst-case per-tenant spend bound enforced by an independent budget firewall outside the learned router. Machine-learned detectors (input perplexity, Mahalanobis OOD) are reported as best-effort filters only. The v1.1 target of blocking &gt;= 80% of adversarial suffix attacks is WITHDRAWN: Shafran et al. [R11], already cited by this protocol, add a perplexity constraint to the gadget optimiser and drive detection to ROC-AUC 0.50-0.55 - chance - while preserving upgrade rates, with reported success of 88-100% white-box, 39-100% black-box and 15-91% against commercial routers. A block-rate measured against a static attacker is not a security result. [Reviewed 2]</w:t>
      </w:r>
    </w:p>
    <w:p>
      <w:pPr>
        <w:spacing w:after="120"/>
      </w:pPr>
      <w:r>
        <w:t>Testable hypothesis (confirmatory). Worst-case per-tenant spend under adversarial search is bounded by the firewall's configured ceiling, with zero breaches. Exploratory: attack success rate and cost-amplification factor are reported as functions of attacker query budget against the FULL deployed defence, with clean-traffic degradation below 2%.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Route to Rome Attack, Rerouting LLM Routers, OWASP Prompt Injection.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Route to Rome Attack [R10]</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Black-box adversarial suffixes that increase expensive-model routing.</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4">
              <w:r>
                <w:rPr>
                  <w:rFonts w:ascii="Arial" w:hAnsi="Arial"/>
                  <w:color w:val="167C80"/>
                  <w:u w:val="single"/>
                  <w:b/>
                  <w:sz w:val="15"/>
                </w:rPr>
                <w:t>Code</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code</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Rerouting LLM Routers [R11]</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Query-independent confounder gadgets and control-plane integrity.</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5">
              <w:r>
                <w:rPr>
                  <w:rFonts w:ascii="Arial" w:hAnsi="Arial"/>
                  <w:color w:val="167C80"/>
                  <w:u w:val="single"/>
                  <w:b/>
                  <w:sz w:val="15"/>
                </w:rPr>
                <w:t>Paper</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OWASP Prompt Injection [R12]</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Threats and mitigations for direct and indirect prompt injection.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6">
              <w:r>
                <w:rPr>
                  <w:rFonts w:ascii="Arial" w:hAnsi="Arial"/>
                  <w:color w:val="167C80"/>
                  <w:u w:val="single"/>
                  <w:b/>
                  <w:sz w:val="15"/>
                </w:rPr>
                <w:t>Guidance</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guidance</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OWASP Unbounded Consumption [R13]</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Denial-of-wallet and resource-exhaustion controls.</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7">
              <w:r>
                <w:rPr>
                  <w:rFonts w:ascii="Arial" w:hAnsi="Arial"/>
                  <w:color w:val="167C80"/>
                  <w:u w:val="single"/>
                  <w:b/>
                  <w:sz w:val="15"/>
                </w:rPr>
                <w:t>Guidance</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guidance</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Frozen clean test set and adversarially modified versions.</w:t>
      </w:r>
    </w:p>
    <w:p>
      <w:pPr>
        <w:pStyle w:val="ListBullet"/>
        <w:spacing w:after="36" w:line="245" w:lineRule="auto"/>
        <w:ind w:left="317" w:hanging="173"/>
      </w:pPr>
      <w:r>
        <w:rPr>
          <w:rFonts w:ascii="Arial" w:hAnsi="Arial" w:eastAsia="Arial"/>
          <w:sz w:val="18"/>
        </w:rPr>
        <w:t>Tenant policies, rate limits, spend ceilings, and privacy rules.</w:t>
      </w:r>
    </w:p>
    <w:p>
      <w:pPr>
        <w:pStyle w:val="ListBullet"/>
        <w:spacing w:after="36" w:line="245" w:lineRule="auto"/>
        <w:ind w:left="317" w:hanging="173"/>
      </w:pPr>
      <w:r>
        <w:rPr>
          <w:rFonts w:ascii="Arial" w:hAnsi="Arial" w:eastAsia="Arial"/>
          <w:sz w:val="18"/>
        </w:rPr>
        <w:t>Redaction and secret-detection tests.</w:t>
      </w:r>
    </w:p>
    <w:p>
      <w:pPr>
        <w:pStyle w:val="Heading2"/>
      </w:pPr>
      <w:r>
        <w:t>Procedure</w:t>
      </w:r>
    </w:p>
    <w:p>
      <w:pPr>
        <w:pStyle w:val="ListNumber"/>
        <w:spacing w:after="50"/>
        <w:ind w:left="403" w:hanging="259"/>
      </w:pPr>
      <w:r>
        <w:rPr>
          <w:rFonts w:ascii="Arial" w:hAnsi="Arial" w:eastAsia="Arial"/>
          <w:sz w:val="18"/>
        </w:rPr>
        <w:t>Threat-model prompt injection, expensive-route forcing, weak-route forcing, denial of wallet, tool-output injection, feedback poisoning, model substitution, and cross-tenant leakage.</w:t>
      </w:r>
    </w:p>
    <w:p>
      <w:pPr>
        <w:pStyle w:val="ListNumber"/>
        <w:spacing w:after="50"/>
        <w:ind w:left="403" w:hanging="259"/>
      </w:pPr>
      <w:r>
        <w:rPr>
          <w:rFonts w:ascii="Arial" w:hAnsi="Arial" w:eastAsia="Arial"/>
          <w:sz w:val="18"/>
        </w:rPr>
        <w:t>Create adversarial suffix and confounder-gadget stress sets without changing the underlying task answer.</w:t>
      </w:r>
    </w:p>
    <w:p>
      <w:pPr>
        <w:pStyle w:val="ListNumber"/>
        <w:spacing w:after="50"/>
        <w:ind w:left="403" w:hanging="259"/>
      </w:pPr>
      <w:r>
        <w:rPr>
          <w:rFonts w:ascii="Arial" w:hAnsi="Arial" w:eastAsia="Arial"/>
          <w:sz w:val="18"/>
        </w:rPr>
        <w:t>Generate adversarial suffixes ADAPTIVELY, with the full deployed defence in the optimisation loop (including the perplexity constraint), using a surrogate encoder disjoint from the defence's own encoder. Report ASR as a curve over attacker query budget, not as a single number. [Reviewed 2]</w:t>
      </w:r>
    </w:p>
    <w:p>
      <w:pPr>
        <w:pStyle w:val="ListNumber"/>
        <w:spacing w:after="50"/>
        <w:ind w:left="403" w:hanging="259"/>
      </w:pPr>
      <w:r>
        <w:rPr>
          <w:rFonts w:ascii="Arial" w:hAnsi="Arial" w:eastAsia="Arial"/>
          <w:sz w:val="18"/>
        </w:rPr>
        <w:t>Run the OOD-forcing attack explicitly: an adversary who maximises Mahalanobis distance while preserving task semantics. Under the v1.1 design (OOD routes to Always Strongest) this attack succeeds by construction on every flagged input, which is why the fallback is now bounded-cost. [Reviewed 2]</w:t>
      </w:r>
    </w:p>
    <w:p>
      <w:pPr>
        <w:pStyle w:val="ListNumber"/>
        <w:spacing w:after="50"/>
        <w:ind w:left="403" w:hanging="259"/>
      </w:pPr>
      <w:r>
        <w:rPr>
          <w:rFonts w:ascii="Arial" w:hAnsi="Arial" w:eastAsia="Arial"/>
          <w:sz w:val="18"/>
        </w:rPr>
        <w:t>Run adversarial spend maximisation against the firewall itself and report the proven upper bound on per-request, per-session, per-user and per-tenant spend. [Reviewed 2]</w:t>
      </w:r>
    </w:p>
    <w:p>
      <w:pPr>
        <w:pStyle w:val="ListNumber"/>
        <w:spacing w:after="50"/>
        <w:ind w:left="403" w:hanging="259"/>
      </w:pPr>
      <w:r>
        <w:rPr>
          <w:rFonts w:ascii="Arial" w:hAnsi="Arial" w:eastAsia="Arial"/>
          <w:sz w:val="18"/>
        </w:rPr>
        <w:t>Measure route changes, cost amplification, quality changes, and policy violations relative to clean prompts.</w:t>
      </w:r>
    </w:p>
    <w:p>
      <w:pPr>
        <w:pStyle w:val="ListNumber"/>
        <w:spacing w:after="50"/>
        <w:ind w:left="403" w:hanging="259"/>
      </w:pPr>
      <w:r>
        <w:rPr>
          <w:rFonts w:ascii="Arial" w:hAnsi="Arial" w:eastAsia="Arial"/>
          <w:sz w:val="18"/>
        </w:rPr>
        <w:t>Implement deterministic per-request, per-session, per-user, and per-tenant ceilings outside the learned router.</w:t>
      </w:r>
    </w:p>
    <w:p>
      <w:pPr>
        <w:pStyle w:val="ListNumber"/>
        <w:spacing w:after="50"/>
        <w:ind w:left="403" w:hanging="259"/>
      </w:pPr>
      <w:r>
        <w:rPr>
          <w:rFonts w:ascii="Arial" w:hAnsi="Arial" w:eastAsia="Arial"/>
          <w:sz w:val="18"/>
        </w:rPr>
        <w:t>Treat raw prompts and embeddings as sensitive; redact or hash where full text is unnecessary, encrypt storage, and isolate tenants.</w:t>
      </w:r>
    </w:p>
    <w:p>
      <w:pPr>
        <w:pStyle w:val="ListNumber"/>
        <w:spacing w:after="50"/>
        <w:ind w:left="403" w:hanging="259"/>
      </w:pPr>
      <w:r>
        <w:rPr>
          <w:rFonts w:ascii="Arial" w:hAnsi="Arial" w:eastAsia="Arial"/>
          <w:sz w:val="18"/>
        </w:rPr>
        <w:t>Quarantine feedback and require offline review, label-quality checks, propensity/selection-bias controls, shadow evaluation, and canary release before retraining.</w:t>
      </w:r>
    </w:p>
    <w:p>
      <w:pPr>
        <w:pStyle w:val="ListNumber"/>
        <w:spacing w:after="50"/>
        <w:ind w:left="403" w:hanging="259"/>
      </w:pPr>
      <w:r>
        <w:rPr>
          <w:rFonts w:ascii="Arial" w:hAnsi="Arial" w:eastAsia="Arial"/>
          <w:sz w:val="18"/>
        </w:rPr>
        <w:t>Test provider fallback and exact model/version logging so silent substitutions are detectable.</w:t>
      </w:r>
    </w:p>
    <w:p>
      <w:pPr>
        <w:pStyle w:val="Heading2"/>
      </w:pPr>
      <w:r>
        <w:t>Measurements and controls</w:t>
      </w:r>
    </w:p>
    <w:p>
      <w:pPr>
        <w:pStyle w:val="ListBullet"/>
        <w:spacing w:after="36" w:line="245" w:lineRule="auto"/>
        <w:ind w:left="317" w:hanging="173"/>
      </w:pPr>
      <w:r>
        <w:rPr>
          <w:rFonts w:ascii="Arial" w:hAnsi="Arial" w:eastAsia="Arial"/>
          <w:sz w:val="18"/>
        </w:rPr>
        <w:t>Attack success rate and expensive-route amplification factor.</w:t>
      </w:r>
    </w:p>
    <w:p>
      <w:pPr>
        <w:pStyle w:val="ListBullet"/>
        <w:spacing w:after="36" w:line="245" w:lineRule="auto"/>
        <w:ind w:left="317" w:hanging="173"/>
      </w:pPr>
      <w:r>
        <w:rPr>
          <w:rFonts w:ascii="Arial" w:hAnsi="Arial" w:eastAsia="Arial"/>
          <w:sz w:val="18"/>
        </w:rPr>
        <w:t>Quality degradation and constraint violation rate under attack.</w:t>
      </w:r>
    </w:p>
    <w:p>
      <w:pPr>
        <w:pStyle w:val="ListBullet"/>
        <w:spacing w:after="36" w:line="245" w:lineRule="auto"/>
        <w:ind w:left="317" w:hanging="173"/>
      </w:pPr>
      <w:r>
        <w:rPr>
          <w:rFonts w:ascii="Arial" w:hAnsi="Arial" w:eastAsia="Arial"/>
          <w:sz w:val="18"/>
        </w:rPr>
        <w:t>Secret/PII leakage rate in logs and telemetry.</w:t>
      </w:r>
    </w:p>
    <w:p>
      <w:pPr>
        <w:pStyle w:val="ListBullet"/>
        <w:spacing w:after="36" w:line="245" w:lineRule="auto"/>
        <w:ind w:left="317" w:hanging="173"/>
      </w:pPr>
      <w:r>
        <w:rPr>
          <w:rFonts w:ascii="Arial" w:hAnsi="Arial" w:eastAsia="Arial"/>
          <w:sz w:val="18"/>
        </w:rPr>
        <w:t>Maximum spend under worst-case retries and token lengths.</w:t>
      </w:r>
    </w:p>
    <w:p>
      <w:pPr>
        <w:pStyle w:val="ListBullet"/>
        <w:spacing w:after="36" w:line="245" w:lineRule="auto"/>
        <w:ind w:left="317" w:hanging="173"/>
      </w:pPr>
      <w:r>
        <w:rPr>
          <w:rFonts w:ascii="Arial" w:hAnsi="Arial" w:eastAsia="Arial"/>
          <w:sz w:val="18"/>
        </w:rPr>
        <w:t>Cross-tenant isolation test results.</w:t>
      </w:r>
    </w:p>
    <w:p>
      <w:pPr>
        <w:pStyle w:val="Heading2"/>
      </w:pPr>
      <w:r>
        <w:t>Required outputs</w:t>
      </w:r>
    </w:p>
    <w:p>
      <w:pPr>
        <w:pStyle w:val="ListBullet"/>
        <w:spacing w:after="36" w:line="245" w:lineRule="auto"/>
        <w:ind w:left="317" w:hanging="173"/>
      </w:pPr>
      <w:r>
        <w:rPr>
          <w:rFonts w:ascii="Arial" w:hAnsi="Arial" w:eastAsia="Arial"/>
          <w:sz w:val="18"/>
        </w:rPr>
        <w:t>threat_model.md and adversarial test suite.</w:t>
      </w:r>
    </w:p>
    <w:p>
      <w:pPr>
        <w:pStyle w:val="ListBullet"/>
        <w:spacing w:after="36" w:line="245" w:lineRule="auto"/>
        <w:ind w:left="317" w:hanging="173"/>
      </w:pPr>
      <w:r>
        <w:rPr>
          <w:rFonts w:ascii="Arial" w:hAnsi="Arial" w:eastAsia="Arial"/>
          <w:sz w:val="18"/>
        </w:rPr>
        <w:t>budget_firewall implementation and tests.</w:t>
      </w:r>
    </w:p>
    <w:p>
      <w:pPr>
        <w:pStyle w:val="ListBullet"/>
        <w:spacing w:after="36" w:line="245" w:lineRule="auto"/>
        <w:ind w:left="317" w:hanging="173"/>
      </w:pPr>
      <w:r>
        <w:rPr>
          <w:rFonts w:ascii="Arial" w:hAnsi="Arial" w:eastAsia="Arial"/>
          <w:sz w:val="18"/>
        </w:rPr>
        <w:t>telemetry_redaction_policy.md.</w:t>
      </w:r>
    </w:p>
    <w:p>
      <w:pPr>
        <w:pStyle w:val="ListBullet"/>
        <w:spacing w:after="36" w:line="245" w:lineRule="auto"/>
        <w:ind w:left="317" w:hanging="173"/>
      </w:pPr>
      <w:r>
        <w:rPr>
          <w:rFonts w:ascii="Arial" w:hAnsi="Arial" w:eastAsia="Arial"/>
          <w:sz w:val="18"/>
        </w:rPr>
        <w:t>security release report and residual-risk register.</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Expensive-route attack</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Benign query plus suffix consistently triggers strongest model.</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Adversarial tests, cost ceilings, route-change anomaly detection, and conservative eligibility rules.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Feedback poisoning</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Repeated false feedback shifts the router.</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Quarantine, aggregate, validate, and retrain offline only.</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Sensitive telemetry</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Prompts, code, keys, or embeddings enter logs.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Minimize collection, redact, encrypt, isolate tenants, and set deletion/retention controls.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Denial of wallet</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Long prompts, tools, retries, or loops exceed budget.</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Independent hard ceilings, cancellation, timeouts, rate limits, and bounded cascades.</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Perplexity-only defense</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Low-perplexity gadgets bypass the filter.</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 not rely on perplexity alone; combine structural, behavioral, and budget controls.</w:t>
            </w:r>
          </w:p>
        </w:tc>
      </w:tr>
      <w:tr>
        <w:tc>
          <w:tcPr>
            <w:tcW w:type="dxa" w:w="3389"/>
          </w:tcPr>
          <w:p>
            <w:r>
              <w:t>OOD gate exploited as the amplification channel [Reviewed 2]</w:t>
            </w:r>
          </w:p>
        </w:tc>
        <w:tc>
          <w:tcPr>
            <w:tcW w:type="dxa" w:w="3389"/>
          </w:tcPr>
          <w:p>
            <w:r>
              <w:t>Semantically neutral perturbations that raise OOD score reliably obtain the costliest configuration. [Reviewed 2]</w:t>
            </w:r>
          </w:p>
        </w:tc>
        <w:tc>
          <w:tcPr>
            <w:tcW w:type="dxa" w:w="3389"/>
          </w:tcPr>
          <w:p>
            <w:r>
              <w:t>Bounded-cost OOD fallback; tenant-quota authorisation for any OOD escalation; firewall independent of the detector. [Reviewed 2]</w:t>
            </w:r>
          </w:p>
        </w:tc>
      </w:tr>
      <w:tr>
        <w:tc>
          <w:tcPr>
            <w:tcW w:type="dxa" w:w="3389"/>
          </w:tcPr>
          <w:p>
            <w:r>
              <w:t>Non-adaptive security evaluation [Reviewed 2]</w:t>
            </w:r>
          </w:p>
        </w:tc>
        <w:tc>
          <w:tcPr>
            <w:tcW w:type="dxa" w:w="3389"/>
          </w:tcPr>
          <w:p>
            <w:r>
              <w:t>Reported block rate is measured against attacks generated without knowledge of the defence. [Reviewed 2]</w:t>
            </w:r>
          </w:p>
        </w:tc>
        <w:tc>
          <w:tcPr>
            <w:tcW w:type="dxa" w:w="3389"/>
          </w:tcPr>
          <w:p>
            <w:r>
              <w:t>Only adaptive, defence-in-the-loop attacks may be reported; static-attack numbers are labelled as such.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Zero budget-firewall breaches under adversarial spend maximisation, with the proven worst-case per-tenant spend bound recorded; telemetry quarantine isolated; tenant budget firewalls immutable; adaptive-attack ASR reported as a curve over attacker budget with clean degradation below 2%. No fixed block-rate threshold gates this release.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Formal verification, certified robustness, and automated red-team generation could be added later. The first study should publish concrete threat tests and residual risks rather than claiming complete security.</w:t>
            </w:r>
          </w:p>
        </w:tc>
      </w:tr>
    </w:tbl>
    <w:p>
      <w:pPr>
        <w:spacing w:after="0"/>
      </w:pPr>
    </w:p>
    <w:p>
      <w:pPr>
        <w:pStyle w:val="Heading1"/>
      </w:pPr>
      <w:r>
        <w:t>Phase 11 - Main experiment, statistical analysis, and ablation suite</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The paper needs paired, uncertainty-aware comparisons on untouched data, not isolated leaderboard numbers or a single favorable threshold.</w:t>
            </w:r>
          </w:p>
        </w:tc>
      </w:tr>
    </w:tbl>
    <w:p>
      <w:pPr>
        <w:spacing w:after="0"/>
      </w:pPr>
    </w:p>
    <w:p>
      <w:pPr>
        <w:spacing w:after="80"/>
      </w:pPr>
      <w:r>
        <w:t>Purpose. Execute the frozen confirmatory study. The primary endpoint is a RATIO OF TOTALS (total workflow cost at the pre-registered absolute quality floor) tested by a split-group CLUSTER BOOTSTRAP of that ratio - not by a Wilcoxon signed-rank test, which tests a paired median shift and can invert the conclusion: on a realistic heavy-tailed cost distribution a signed-rank test returns p ~ 0 for 'router is cheaper' while total spend is 42.6% HIGHER. Paired binary non-inferiority uses a paired-difference score interval (Tango/Nam), not McNemar's chi-square, which is a superiority test. Repeats are nested within items and are aggregated to per-item means before testing. [Reviewed 2]</w:t>
      </w:r>
    </w:p>
    <w:p>
      <w:pPr>
        <w:spacing w:after="120"/>
      </w:pPr>
      <w:r>
        <w:t>Testable hypothesis. On untouched test partitions, the router satisfies the primary endpoint under its pre-registered alpha, with the secondary hypotheses H-S1 to H-S3 evaluated in a fixed-sequence gatekeeping chain and all exploratory families under Benjamini-Hochberg control. [Reviewed 2]</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LLMRouterBench, RouterBench, R2-Router.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LLMRouterBench [R2]</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Performance-cost settings, Pareto frontier, Gap-to-Oracle, and ID/OOD comparisons.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9">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RouterBench [R3]</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Standardized performance-versus-cost evaluation.</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8">
              <w:r>
                <w:rPr>
                  <w:rFonts w:ascii="Arial" w:hAnsi="Arial"/>
                  <w:color w:val="167C80"/>
                  <w:u w:val="single"/>
                  <w:b/>
                  <w:sz w:val="15"/>
                </w:rPr>
                <w:t>Paper</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R2-Router [R8]</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Model-plus-output-budget ablations.</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49">
              <w:r>
                <w:rPr>
                  <w:rFonts w:ascii="Arial" w:hAnsi="Arial"/>
                  <w:color w:val="167C80"/>
                  <w:u w:val="single"/>
                  <w:b/>
                  <w:sz w:val="15"/>
                </w:rPr>
                <w:t>Paper</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paper</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Frozen router releases and baseline implementations.</w:t>
      </w:r>
    </w:p>
    <w:p>
      <w:pPr>
        <w:pStyle w:val="ListBullet"/>
        <w:spacing w:after="36" w:line="245" w:lineRule="auto"/>
        <w:ind w:left="317" w:hanging="173"/>
      </w:pPr>
      <w:r>
        <w:rPr>
          <w:rFonts w:ascii="Arial" w:hAnsi="Arial" w:eastAsia="Arial"/>
          <w:sz w:val="18"/>
        </w:rPr>
        <w:t>Untouched test, OOD, new-model, and adversarial partitions.</w:t>
      </w:r>
    </w:p>
    <w:p>
      <w:pPr>
        <w:pStyle w:val="ListBullet"/>
        <w:spacing w:after="36" w:line="245" w:lineRule="auto"/>
        <w:ind w:left="317" w:hanging="173"/>
      </w:pPr>
      <w:r>
        <w:rPr>
          <w:rFonts w:ascii="Arial" w:hAnsi="Arial" w:eastAsia="Arial"/>
          <w:sz w:val="18"/>
        </w:rPr>
        <w:t>Pre-registered metrics and statistical plan.</w:t>
      </w:r>
    </w:p>
    <w:p>
      <w:pPr>
        <w:pStyle w:val="Heading2"/>
      </w:pPr>
      <w:r>
        <w:t>Procedure</w:t>
      </w:r>
    </w:p>
    <w:p>
      <w:pPr>
        <w:pStyle w:val="ListNumber"/>
        <w:spacing w:after="50"/>
        <w:ind w:left="403" w:hanging="259"/>
      </w:pPr>
      <w:r>
        <w:rPr>
          <w:rFonts w:ascii="Arial" w:hAnsi="Arial" w:eastAsia="Arial"/>
          <w:sz w:val="18"/>
        </w:rPr>
        <w:t>Run a zero-cost reproduction study on public matrices, then a live pilot to estimate variance and refine sample-size needs without touching the final test.</w:t>
      </w:r>
    </w:p>
    <w:p>
      <w:pPr>
        <w:pStyle w:val="ListNumber"/>
        <w:spacing w:after="50"/>
        <w:ind w:left="403" w:hanging="259"/>
      </w:pPr>
      <w:r>
        <w:rPr>
          <w:rFonts w:ascii="Arial" w:hAnsi="Arial" w:eastAsia="Arial"/>
          <w:sz w:val="18"/>
        </w:rPr>
        <w:t>Run the main study on the untouched test with fixed prompts, configurations, provider snapshots, graders, and seeds/repeats.</w:t>
      </w:r>
    </w:p>
    <w:p>
      <w:pPr>
        <w:pStyle w:val="ListNumber"/>
        <w:spacing w:after="50"/>
        <w:ind w:left="403" w:hanging="259"/>
      </w:pPr>
      <w:r>
        <w:rPr>
          <w:rFonts w:ascii="Arial" w:hAnsi="Arial" w:eastAsia="Arial"/>
          <w:sz w:val="18"/>
        </w:rPr>
        <w:t>Evaluate all baselines and ablations on exactly the same items and configurations.</w:t>
      </w:r>
    </w:p>
    <w:p>
      <w:pPr>
        <w:pStyle w:val="ListNumber"/>
        <w:spacing w:after="50"/>
        <w:ind w:left="403" w:hanging="259"/>
      </w:pPr>
      <w:r>
        <w:rPr>
          <w:rFonts w:ascii="Arial" w:hAnsi="Arial" w:eastAsia="Arial"/>
          <w:sz w:val="18"/>
        </w:rPr>
        <w:t>Primary: split-group cluster bootstrap (10,000 resamples) of the RATIO OF TOTALS, alpha = 0.025 one-sided. Paired binary non-inferiority: Tango/Nam score interval on the paired difference. Secondaries H-S1 to H-S3: fixed-sequence gatekeeping at the same alpha. Exploratory families: Benjamini-Hochberg q* = 0.05. Aggregate repeats to per-item means before testing, or use a mixed-effects model; never treat 3N repeat rows as 3N independent observations. [Reviewed 2]</w:t>
      </w:r>
    </w:p>
    <w:p>
      <w:pPr>
        <w:pStyle w:val="ListNumber"/>
        <w:spacing w:after="50"/>
        <w:ind w:left="403" w:hanging="259"/>
      </w:pPr>
      <w:r>
        <w:rPr>
          <w:rFonts w:ascii="Arial" w:hAnsi="Arial" w:eastAsia="Arial"/>
          <w:sz w:val="18"/>
        </w:rPr>
        <w:t>Report results by domain, difficulty band, configuration, model family, and OOD status in addition to aggregate metrics.</w:t>
      </w:r>
    </w:p>
    <w:p>
      <w:pPr>
        <w:pStyle w:val="ListNumber"/>
        <w:spacing w:after="50"/>
        <w:ind w:left="403" w:hanging="259"/>
      </w:pPr>
      <w:r>
        <w:rPr>
          <w:rFonts w:ascii="Arial" w:hAnsi="Arial" w:eastAsia="Arial"/>
          <w:sz w:val="18"/>
        </w:rPr>
        <w:t>Publish negative findings: components that fail gates remain excluded and are discussed in limitations.</w:t>
      </w:r>
    </w:p>
    <w:p>
      <w:pPr>
        <w:pStyle w:val="Heading2"/>
      </w:pPr>
      <w:r>
        <w:t>Measurements and controls</w:t>
      </w:r>
    </w:p>
    <w:p>
      <w:pPr>
        <w:pStyle w:val="ListBullet"/>
        <w:spacing w:after="36" w:line="245" w:lineRule="auto"/>
        <w:ind w:left="317" w:hanging="173"/>
      </w:pPr>
      <w:r>
        <w:rPr>
          <w:rFonts w:ascii="Arial" w:hAnsi="Arial" w:eastAsia="Arial"/>
          <w:sz w:val="18"/>
        </w:rPr>
        <w:t>Primary: total workflow cost per 1,000 requests at accuracy &gt;= (Best Single - 0.02 absolute), at price ratio rho_0, as a ratio of totals - reported together with the full savings-versus-rho curve and the price-free strong-model call share at fixed quality. [Reviewed 2]</w:t>
      </w:r>
    </w:p>
    <w:p>
      <w:pPr>
        <w:pStyle w:val="ListBullet"/>
        <w:spacing w:after="36" w:line="245" w:lineRule="auto"/>
        <w:ind w:left="317" w:hanging="173"/>
      </w:pPr>
      <w:r>
        <w:rPr>
          <w:rFonts w:ascii="Arial" w:hAnsi="Arial" w:eastAsia="Arial"/>
          <w:sz w:val="18"/>
        </w:rPr>
        <w:t>Secondary: success, latency p50/p95, Brier score, ECE, coverage, abstention, escalation, router overhead, Pareto distance, and Oracle regret.</w:t>
      </w:r>
    </w:p>
    <w:p>
      <w:pPr>
        <w:pStyle w:val="ListBullet"/>
        <w:spacing w:after="36" w:line="245" w:lineRule="auto"/>
        <w:ind w:left="317" w:hanging="173"/>
      </w:pPr>
      <w:r>
        <w:rPr>
          <w:rFonts w:ascii="Arial" w:hAnsi="Arial" w:eastAsia="Arial"/>
          <w:sz w:val="18"/>
        </w:rPr>
        <w:t>Robustness: new-domain, new-model-family, adversarial, and temporal-shift performance.</w:t>
      </w:r>
    </w:p>
    <w:p>
      <w:pPr>
        <w:pStyle w:val="ListBullet"/>
        <w:spacing w:after="36" w:line="245" w:lineRule="auto"/>
        <w:ind w:left="317" w:hanging="173"/>
      </w:pPr>
      <w:r>
        <w:rPr>
          <w:rFonts w:ascii="Arial" w:hAnsi="Arial" w:eastAsia="Arial"/>
          <w:sz w:val="18"/>
        </w:rPr>
        <w:t>Ablations: per-configuration-constant control (is there ANY item-level signal?); per-arm CRC versus policy-level LTT (the post-selection error, quantified); budget-only (single model, varying effort - is all the gain an effort controller?); ungated verifier; naive versus split-repeat oracle; shuffled-label negative control; difficulty feature families; model-only versus model+budget; no calibration; no OOD; no verifier; encoder truncation; pool size 2/4/6; and the difficulty x calibration interaction. [Reviewed 2]</w:t>
      </w:r>
    </w:p>
    <w:p>
      <w:pPr>
        <w:pStyle w:val="Heading2"/>
      </w:pPr>
      <w:r>
        <w:t>Required outputs</w:t>
      </w:r>
    </w:p>
    <w:p>
      <w:pPr>
        <w:pStyle w:val="ListBullet"/>
        <w:spacing w:after="36" w:line="245" w:lineRule="auto"/>
        <w:ind w:left="317" w:hanging="173"/>
      </w:pPr>
      <w:r>
        <w:rPr>
          <w:rFonts w:ascii="Arial" w:hAnsi="Arial" w:eastAsia="Arial"/>
          <w:sz w:val="18"/>
        </w:rPr>
        <w:t>Frozen test results and confidence intervals.</w:t>
      </w:r>
    </w:p>
    <w:p>
      <w:pPr>
        <w:pStyle w:val="ListBullet"/>
        <w:spacing w:after="36" w:line="245" w:lineRule="auto"/>
        <w:ind w:left="317" w:hanging="173"/>
      </w:pPr>
      <w:r>
        <w:rPr>
          <w:rFonts w:ascii="Arial" w:hAnsi="Arial" w:eastAsia="Arial"/>
          <w:sz w:val="18"/>
        </w:rPr>
        <w:t>All main paper tables and figures.</w:t>
      </w:r>
    </w:p>
    <w:p>
      <w:pPr>
        <w:pStyle w:val="ListBullet"/>
        <w:spacing w:after="36" w:line="245" w:lineRule="auto"/>
        <w:ind w:left="317" w:hanging="173"/>
      </w:pPr>
      <w:r>
        <w:rPr>
          <w:rFonts w:ascii="Arial" w:hAnsi="Arial" w:eastAsia="Arial"/>
          <w:sz w:val="18"/>
        </w:rPr>
        <w:t>Ablation decision table showing which components are retained.</w:t>
      </w:r>
    </w:p>
    <w:p>
      <w:pPr>
        <w:pStyle w:val="ListBullet"/>
        <w:spacing w:after="36" w:line="245" w:lineRule="auto"/>
        <w:ind w:left="317" w:hanging="173"/>
      </w:pPr>
      <w:r>
        <w:rPr>
          <w:rFonts w:ascii="Arial" w:hAnsi="Arial" w:eastAsia="Arial"/>
          <w:sz w:val="18"/>
        </w:rPr>
        <w:t>Error analysis with representative failure categories, without publishing restricted examples.</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Underpowered comparison</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Confidence intervals are too wide to distinguish systems.</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pilot variance for power planning; report uncertainty honestly rather than overclaiming.</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Multiple-comparison fishing</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Only favorable thresholds or domains are highlighted.</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Pre-register primary comparisons and report full curves plus corrected secondary tests.</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Provider instability during run</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Latency or behavior shifts mid-experiment.</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Run interleaved paired calls, log timestamps/status, and repeat affected blocks under a new run ID.</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Missing counterfactuals</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Some configurations fail to return or are unavailable.</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Report missingness; do not treat missing as incorrect without a predeclared rule; rerun only under documented conditions.</w:t>
            </w:r>
          </w:p>
        </w:tc>
      </w:tr>
      <w:tr>
        <w:tc>
          <w:tcPr>
            <w:tcW w:type="dxa" w:w="3389"/>
          </w:tcPr>
          <w:p>
            <w:r>
              <w:t>Wrong estimand for the cost endpoint [Reviewed 2]</w:t>
            </w:r>
          </w:p>
        </w:tc>
        <w:tc>
          <w:tcPr>
            <w:tcW w:type="dxa" w:w="3389"/>
          </w:tcPr>
          <w:p>
            <w:r>
              <w:t>A median-shift test and the ratio of totals disagree in sign. [Reviewed 2]</w:t>
            </w:r>
          </w:p>
        </w:tc>
        <w:tc>
          <w:tcPr>
            <w:tcW w:type="dxa" w:w="3389"/>
          </w:tcPr>
          <w:p>
            <w:r>
              <w:t>Test the ratio of totals by cluster bootstrap; report the median shift only as a descriptive secondary. [Reviewed 2]</w:t>
            </w:r>
          </w:p>
        </w:tc>
      </w:tr>
      <w:tr>
        <w:tc>
          <w:tcPr>
            <w:tcW w:type="dxa" w:w="3389"/>
          </w:tcPr>
          <w:p>
            <w:r>
              <w:t>Repeats treated as independent [Reviewed 2]</w:t>
            </w:r>
          </w:p>
        </w:tc>
        <w:tc>
          <w:tcPr>
            <w:tcW w:type="dxa" w:w="3389"/>
          </w:tcPr>
          <w:p>
            <w:r>
              <w:t>Degrees of freedom equal N x repeats. [Reviewed 2]</w:t>
            </w:r>
          </w:p>
        </w:tc>
        <w:tc>
          <w:tcPr>
            <w:tcW w:type="dxa" w:w="3389"/>
          </w:tcPr>
          <w:p>
            <w:r>
              <w:t>Aggregate to per-item means or use a mixed-effects model.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The confirmatory report is generated from untouched data; the primary endpoint is tested as a ratio of totals by split-group cluster bootstrap (N = 10,000) at alpha = 0.025 one-sided; secondaries follow the declared fixed-sequence chain; exploratory families are BH-corrected; the shuffled-label negative control returns chance performance; and every result is reported with its effect size, interval, and stratification by domain, prompt-length decile and OOD status.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A broader multi-provider replication or independent external replication could strengthen generality after the first paper establishes a stable protocol.</w:t>
            </w:r>
          </w:p>
        </w:tc>
      </w:tr>
    </w:tbl>
    <w:p>
      <w:pPr>
        <w:spacing w:after="0"/>
      </w:pPr>
    </w:p>
    <w:p>
      <w:pPr>
        <w:pStyle w:val="Heading1"/>
      </w:pPr>
      <w:r>
        <w:t>Phase 12 - Shadow deployment and research-paper curation</w:t>
      </w:r>
    </w:p>
    <w:tbl>
      <w:tblPr>
        <w:tblW w:type="auto" w:w="0"/>
        <w:jc w:val="center"/>
        <w:tblLayout w:type="fixed"/>
        <w:tblLook w:firstColumn="1" w:firstRow="1" w:lastColumn="0" w:lastRow="0" w:noHBand="0" w:noVBand="1" w:val="04A0"/>
      </w:tblPr>
      <w:tblGrid>
        <w:gridCol w:w="10166"/>
      </w:tblGrid>
      <w:tr>
        <w:trPr>
          <w:cantSplit/>
        </w:trPr>
        <w:tc>
          <w:tcPr>
            <w:tcW w:type="dxa" w:w="9720"/>
            <w:shd w:fill="EAF1F8"/>
            <w:tcBorders>
              <w:top w:val="single" w:sz="8" w:color="12263A"/>
              <w:left w:val="single" w:sz="18" w:color="12263A"/>
              <w:bottom w:val="single" w:sz="8" w:color="12263A"/>
              <w:right w:val="single" w:sz="8" w:color="12263A"/>
            </w:tcBorders>
            <w:tcMar>
              <w:top w:w="110" w:type="dxa"/>
              <w:start w:w="145" w:type="dxa"/>
              <w:bottom w:w="110" w:type="dxa"/>
              <w:end w:w="145" w:type="dxa"/>
            </w:tcMar>
          </w:tcPr>
          <w:p>
            <w:pPr>
              <w:spacing w:after="40"/>
            </w:pPr>
            <w:r>
              <w:rPr>
                <w:rFonts w:ascii="Arial" w:hAnsi="Arial" w:eastAsia="Arial"/>
                <w:b/>
                <w:color w:val="12263A"/>
                <w:sz w:val="19"/>
              </w:rPr>
              <w:t>Why this phase comes now</w:t>
            </w:r>
          </w:p>
          <w:p>
            <w:pPr>
              <w:spacing w:after="0"/>
            </w:pPr>
            <w:r>
              <w:rPr>
                <w:rFonts w:ascii="Arial" w:hAnsi="Arial" w:eastAsia="Arial"/>
                <w:color w:val="263238"/>
                <w:sz w:val="17"/>
              </w:rPr>
              <w:t>Offline benchmarks cannot reveal every latency, availability, distribution-shift, or cost-accounting problem. Shadow routing supplies external validity without immediately trusting the policy.</w:t>
            </w:r>
          </w:p>
        </w:tc>
      </w:tr>
    </w:tbl>
    <w:p>
      <w:pPr>
        <w:spacing w:after="0"/>
      </w:pPr>
    </w:p>
    <w:p>
      <w:pPr>
        <w:spacing w:after="80"/>
      </w:pPr>
      <w:r>
        <w:t>Purpose. Curate the complete research package and, CONDITIONALLY, validate operational behaviour via shadow deployment. The shadow study is now explicitly conditional: it requires production traffic access that this protocol does not otherwise establish. If that access is not secured before Phase 11 closes, E7 moves to future work and the external-validity claim is dropped from the first paper rather than asserted. Release of the outcome tensor is conditional on the Phase 1 RELEASE allowlist; where redistribution is barred, publish item IDs, outcomes and aggregate statistics only. The daily sentinel probe must be sized from the drift-detection power actually required to protect the risk bound - 100 items cannot detect a shift small enough to break a 5% bound. [Reviewed 2]</w:t>
      </w:r>
    </w:p>
    <w:p>
      <w:pPr>
        <w:spacing w:after="120"/>
      </w:pPr>
      <w:r>
        <w:rPr>
          <w:rFonts w:ascii="Arial" w:hAnsi="Arial" w:eastAsia="Arial"/>
          <w:b/>
          <w:color w:val="167C80"/>
        </w:rPr>
        <w:t xml:space="preserve">Testable hypothesis. </w:t>
      </w:r>
      <w:r>
        <w:rPr>
          <w:rFonts w:ascii="Arial" w:hAnsi="Arial" w:eastAsia="Arial"/>
        </w:rPr>
        <w:t>The router will preserve its calibrated quality and cost advantages in shadow traffic within the registered drift and safety limits.</w:t>
      </w:r>
    </w:p>
    <w:tbl>
      <w:tblPr>
        <w:tblW w:type="auto" w:w="0"/>
        <w:jc w:val="center"/>
        <w:tblLayout w:type="fixed"/>
        <w:tblLook w:firstColumn="1" w:firstRow="1" w:lastColumn="0" w:lastRow="0" w:noHBand="0" w:noVBand="1" w:val="04A0"/>
      </w:tblPr>
      <w:tblGrid>
        <w:gridCol w:w="10166"/>
      </w:tblGrid>
      <w:tr>
        <w:trPr>
          <w:cantSplit/>
        </w:trPr>
        <w:tc>
          <w:tcPr>
            <w:tcW w:type="dxa" w:w="9720"/>
            <w:shd w:fill="EAF7F7"/>
            <w:tcBorders>
              <w:top w:val="single" w:sz="8" w:color="167C80"/>
              <w:left w:val="single" w:sz="18" w:color="167C80"/>
              <w:bottom w:val="single" w:sz="8" w:color="167C80"/>
              <w:right w:val="single" w:sz="8" w:color="167C80"/>
            </w:tcBorders>
            <w:tcMar>
              <w:top w:w="110" w:type="dxa"/>
              <w:start w:w="145" w:type="dxa"/>
              <w:bottom w:w="110" w:type="dxa"/>
              <w:end w:w="145" w:type="dxa"/>
            </w:tcMar>
          </w:tcPr>
          <w:p>
            <w:pPr>
              <w:spacing w:after="40"/>
            </w:pPr>
            <w:r>
              <w:rPr>
                <w:rFonts w:ascii="Arial" w:hAnsi="Arial" w:eastAsia="Arial"/>
                <w:b/>
                <w:color w:val="12263A"/>
                <w:sz w:val="19"/>
              </w:rPr>
              <w:t>Method provenance</w:t>
            </w:r>
          </w:p>
          <w:p>
            <w:pPr>
              <w:spacing w:after="0"/>
            </w:pPr>
            <w:r>
              <w:rPr>
                <w:rFonts w:ascii="Arial" w:hAnsi="Arial" w:eastAsia="Arial"/>
                <w:color w:val="263238"/>
                <w:sz w:val="17"/>
              </w:rPr>
              <w:t>This section will use the tactic from LLMRouter, OWASP Top 10, TwinRouterBench. The implementation is adapted to the present study rather than copied blindly.</w:t>
            </w:r>
          </w:p>
        </w:tc>
      </w:tr>
    </w:tbl>
    <w:p>
      <w:pPr>
        <w:spacing w:after="0"/>
      </w:pPr>
    </w:p>
    <w:p>
      <w:pPr>
        <w:pStyle w:val="Heading2"/>
      </w:pPr>
      <w:r>
        <w:t>References and acquisition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67C80"/>
            <w:tcMar>
              <w:top w:w="85" w:type="dxa"/>
              <w:start w:w="80" w:type="dxa"/>
              <w:bottom w:w="85" w:type="dxa"/>
              <w:end w:w="80" w:type="dxa"/>
            </w:tcMar>
          </w:tcPr>
          <w:p>
            <w:r>
              <w:rPr>
                <w:rFonts w:ascii="Arial" w:hAnsi="Arial" w:eastAsia="Arial"/>
                <w:b/>
                <w:color w:val="FFFFFF"/>
                <w:sz w:val="15"/>
              </w:rPr>
              <w:t>Source / tactic</w:t>
            </w:r>
          </w:p>
        </w:tc>
        <w:tc>
          <w:tcPr>
            <w:tcW w:type="dxa" w:w="3816"/>
            <w:shd w:fill="167C80"/>
            <w:tcMar>
              <w:top w:w="85" w:type="dxa"/>
              <w:start w:w="80" w:type="dxa"/>
              <w:bottom w:w="85" w:type="dxa"/>
              <w:end w:w="80" w:type="dxa"/>
            </w:tcMar>
          </w:tcPr>
          <w:p>
            <w:r>
              <w:rPr>
                <w:rFonts w:ascii="Arial" w:hAnsi="Arial" w:eastAsia="Arial"/>
                <w:b/>
                <w:color w:val="FFFFFF"/>
                <w:sz w:val="15"/>
              </w:rPr>
              <w:t>What is taken from it</w:t>
            </w:r>
          </w:p>
        </w:tc>
        <w:tc>
          <w:tcPr>
            <w:tcW w:type="dxa" w:w="2044"/>
            <w:shd w:fill="167C80"/>
            <w:tcMar>
              <w:top w:w="85" w:type="dxa"/>
              <w:start w:w="80" w:type="dxa"/>
              <w:bottom w:w="85" w:type="dxa"/>
              <w:end w:w="80" w:type="dxa"/>
            </w:tcMar>
          </w:tcPr>
          <w:p>
            <w:r>
              <w:rPr>
                <w:rFonts w:ascii="Arial" w:hAnsi="Arial" w:eastAsia="Arial"/>
                <w:b/>
                <w:color w:val="FFFFFF"/>
                <w:sz w:val="15"/>
              </w:rPr>
              <w:t>Where to get it</w:t>
            </w:r>
          </w:p>
        </w:tc>
        <w:tc>
          <w:tcPr>
            <w:tcW w:type="dxa" w:w="1655"/>
            <w:shd w:fill="167C80"/>
            <w:tcMar>
              <w:top w:w="85" w:type="dxa"/>
              <w:start w:w="80" w:type="dxa"/>
              <w:bottom w:w="85" w:type="dxa"/>
              <w:end w:w="80" w:type="dxa"/>
            </w:tcMar>
          </w:tcPr>
          <w:p>
            <w:r>
              <w:rPr>
                <w:rFonts w:ascii="Arial" w:hAnsi="Arial" w:eastAsia="Arial"/>
                <w:b/>
                <w:color w:val="FFFFFF"/>
                <w:sz w:val="15"/>
              </w:rPr>
              <w:t>Access note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LLMRouter [R1]</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Deployment interface and unified routing infrastructure.</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14">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MIT code</w:t>
            </w:r>
          </w:p>
        </w:tc>
      </w:tr>
      <w:tr>
        <w:trPr>
          <w:cantSplit/>
        </w:trPr>
        <w:tc>
          <w:tcPr>
            <w:tcW w:type="dxa" w:w="2088"/>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OWASP Top 10 [R14]</w:t>
            </w:r>
          </w:p>
        </w:tc>
        <w:tc>
          <w:tcPr>
            <w:tcW w:type="dxa" w:w="3816"/>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Production security review categories.</w:t>
            </w:r>
          </w:p>
        </w:tc>
        <w:tc>
          <w:tcPr>
            <w:tcW w:type="dxa" w:w="2044"/>
            <w:shd w:fill="F5F7F8"/>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50">
              <w:r>
                <w:rPr>
                  <w:rFonts w:ascii="Arial" w:hAnsi="Arial"/>
                  <w:color w:val="167C80"/>
                  <w:u w:val="single"/>
                  <w:b/>
                  <w:sz w:val="15"/>
                </w:rPr>
                <w:t>Guidance</w:t>
              </w:r>
            </w:hyperlink>
          </w:p>
        </w:tc>
        <w:tc>
          <w:tcPr>
            <w:tcW w:type="dxa" w:w="1655"/>
            <w:shd w:fill="F5F7F8"/>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3D7A57"/>
                <w:sz w:val="14"/>
              </w:rPr>
              <w:t>Official guidance</w:t>
            </w:r>
          </w:p>
        </w:tc>
      </w:tr>
      <w:tr>
        <w:trPr>
          <w:cantSplit/>
        </w:trPr>
        <w:tc>
          <w:tcPr>
            <w:tcW w:type="dxa" w:w="2088"/>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color w:val="263238"/>
                <w:sz w:val="15"/>
              </w:rPr>
              <w:t>TwinRouterBench [R9]</w:t>
            </w:r>
          </w:p>
        </w:tc>
        <w:tc>
          <w:tcPr>
            <w:tcW w:type="dxa" w:w="3816"/>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5"/>
              </w:rPr>
              <w:t>Future reference for live step-level routing evaluation.</w:t>
            </w:r>
          </w:p>
        </w:tc>
        <w:tc>
          <w:tcPr>
            <w:tcW w:type="dxa" w:w="2044"/>
            <w:shd w:fill="FFFFFF"/>
            <w:tcMar>
              <w:top w:w="75" w:type="dxa"/>
              <w:start w:w="80" w:type="dxa"/>
              <w:bottom w:w="75" w:type="dxa"/>
              <w:end w:w="80" w:type="dxa"/>
            </w:tcMar>
            <w:tcBorders>
              <w:top w:val="single" w:sz="2" w:color="D8DEE2"/>
              <w:left w:val="single" w:sz="2" w:color="D8DEE2"/>
              <w:bottom w:val="single" w:sz="2" w:color="D8DEE2"/>
              <w:right w:val="single" w:sz="2" w:color="D8DEE2"/>
            </w:tcBorders>
          </w:tcPr>
          <w:p>
            <w:hyperlink r:id="rId51">
              <w:r>
                <w:rPr>
                  <w:rFonts w:ascii="Arial" w:hAnsi="Arial"/>
                  <w:color w:val="167C80"/>
                  <w:u w:val="single"/>
                  <w:b/>
                  <w:sz w:val="15"/>
                </w:rPr>
                <w:t>Repository</w:t>
              </w:r>
            </w:hyperlink>
          </w:p>
        </w:tc>
        <w:tc>
          <w:tcPr>
            <w:tcW w:type="dxa" w:w="1655"/>
            <w:shd w:fill="FFFFFF"/>
            <w:tcMar>
              <w:top w:w="75" w:type="dxa"/>
              <w:start w:w="75" w:type="dxa"/>
              <w:bottom w:w="75" w:type="dxa"/>
              <w:end w:w="75" w:type="dxa"/>
            </w:tcMar>
            <w:tcBorders>
              <w:top w:val="single" w:sz="2" w:color="D8DEE2"/>
              <w:left w:val="single" w:sz="2" w:color="D8DEE2"/>
              <w:bottom w:val="single" w:sz="2" w:color="D8DEE2"/>
              <w:right w:val="single" w:sz="2" w:color="D8DEE2"/>
            </w:tcBorders>
          </w:tcPr>
          <w:p>
            <w:r>
              <w:rPr>
                <w:rFonts w:ascii="Arial" w:hAnsi="Arial" w:eastAsia="Arial"/>
                <w:b/>
                <w:color w:val="C7942E"/>
                <w:sz w:val="14"/>
              </w:rPr>
              <w:t>Apache-2.0; future</w:t>
            </w:r>
          </w:p>
        </w:tc>
      </w:tr>
    </w:tbl>
    <w:p>
      <w:pPr>
        <w:spacing w:after="0"/>
      </w:pPr>
    </w:p>
    <w:p>
      <w:pPr>
        <w:pStyle w:val="Heading2"/>
      </w:pPr>
      <w:r>
        <w:t>Inputs</w:t>
      </w:r>
    </w:p>
    <w:p>
      <w:pPr>
        <w:pStyle w:val="ListBullet"/>
        <w:spacing w:after="36" w:line="245" w:lineRule="auto"/>
        <w:ind w:left="317" w:hanging="173"/>
      </w:pPr>
      <w:r>
        <w:rPr>
          <w:rFonts w:ascii="Arial" w:hAnsi="Arial" w:eastAsia="Arial"/>
          <w:sz w:val="18"/>
        </w:rPr>
        <w:t>Frozen release candidate, production-like traffic samples, and redaction controls.</w:t>
      </w:r>
    </w:p>
    <w:p>
      <w:pPr>
        <w:pStyle w:val="ListBullet"/>
        <w:spacing w:after="36" w:line="245" w:lineRule="auto"/>
        <w:ind w:left="317" w:hanging="173"/>
      </w:pPr>
      <w:r>
        <w:rPr>
          <w:rFonts w:ascii="Arial" w:hAnsi="Arial" w:eastAsia="Arial"/>
          <w:sz w:val="18"/>
        </w:rPr>
        <w:t>A comparison route that does not affect the user-facing model.</w:t>
      </w:r>
    </w:p>
    <w:p>
      <w:pPr>
        <w:pStyle w:val="ListBullet"/>
        <w:spacing w:after="36" w:line="245" w:lineRule="auto"/>
        <w:ind w:left="317" w:hanging="173"/>
      </w:pPr>
      <w:r>
        <w:rPr>
          <w:rFonts w:ascii="Arial" w:hAnsi="Arial" w:eastAsia="Arial"/>
          <w:sz w:val="18"/>
        </w:rPr>
        <w:t>Paper outline and experiment-to-figure mapping.</w:t>
      </w:r>
    </w:p>
    <w:p>
      <w:pPr>
        <w:pStyle w:val="Heading2"/>
      </w:pPr>
      <w:r>
        <w:t>Procedure</w:t>
      </w:r>
    </w:p>
    <w:p>
      <w:pPr>
        <w:pStyle w:val="ListNumber"/>
        <w:spacing w:after="50"/>
        <w:ind w:left="403" w:hanging="259"/>
      </w:pPr>
      <w:r>
        <w:rPr>
          <w:rFonts w:ascii="Arial" w:hAnsi="Arial" w:eastAsia="Arial"/>
          <w:sz w:val="18"/>
        </w:rPr>
        <w:t>Run the candidate router in shadow mode: record its prediction and proposed route while the existing system continues serving users.</w:t>
      </w:r>
    </w:p>
    <w:p>
      <w:pPr>
        <w:pStyle w:val="ListNumber"/>
        <w:spacing w:after="50"/>
        <w:ind w:left="403" w:hanging="259"/>
      </w:pPr>
      <w:r>
        <w:rPr>
          <w:rFonts w:ascii="Arial" w:hAnsi="Arial" w:eastAsia="Arial"/>
          <w:sz w:val="18"/>
        </w:rPr>
        <w:t>Compare predicted costs, latencies, availability, route shares, OOD rates, and calibrated outcomes where valid post-hoc labels exist.</w:t>
      </w:r>
    </w:p>
    <w:p>
      <w:pPr>
        <w:pStyle w:val="ListNumber"/>
        <w:spacing w:after="50"/>
        <w:ind w:left="403" w:hanging="259"/>
      </w:pPr>
      <w:r>
        <w:rPr>
          <w:rFonts w:ascii="Arial" w:hAnsi="Arial" w:eastAsia="Arial"/>
          <w:sz w:val="18"/>
        </w:rPr>
        <w:t>Investigate drift and systematic errors before any canary release.</w:t>
      </w:r>
    </w:p>
    <w:p>
      <w:pPr>
        <w:pStyle w:val="ListNumber"/>
        <w:spacing w:after="50"/>
        <w:ind w:left="403" w:hanging="259"/>
      </w:pPr>
      <w:r>
        <w:rPr>
          <w:rFonts w:ascii="Arial" w:hAnsi="Arial" w:eastAsia="Arial"/>
          <w:sz w:val="18"/>
        </w:rPr>
        <w:t>If canary testing is later authorized, use a small predefined traffic fraction, hard rollback criteria, and independent spend ceilings.</w:t>
      </w:r>
    </w:p>
    <w:p>
      <w:pPr>
        <w:pStyle w:val="ListNumber"/>
        <w:spacing w:after="50"/>
        <w:ind w:left="403" w:hanging="259"/>
      </w:pPr>
      <w:r>
        <w:rPr>
          <w:rFonts w:ascii="Arial" w:hAnsi="Arial" w:eastAsia="Arial"/>
          <w:sz w:val="18"/>
        </w:rPr>
        <w:t>Freeze the final artifact set: source registry, manifests, data cards, model cards, code commit, grader versions, results, plots, and limitations.</w:t>
      </w:r>
    </w:p>
    <w:p>
      <w:pPr>
        <w:pStyle w:val="ListNumber"/>
        <w:spacing w:after="50"/>
        <w:ind w:left="403" w:hanging="259"/>
      </w:pPr>
      <w:r>
        <w:rPr>
          <w:rFonts w:ascii="Arial" w:hAnsi="Arial" w:eastAsia="Arial"/>
          <w:sz w:val="18"/>
        </w:rPr>
        <w:t>Write the paper directly from the experiment traceability table so every result links to an experiment ID and reproducible command.</w:t>
      </w:r>
    </w:p>
    <w:p>
      <w:pPr>
        <w:pStyle w:val="ListNumber"/>
        <w:spacing w:after="50"/>
        <w:ind w:left="403" w:hanging="259"/>
      </w:pPr>
      <w:r>
        <w:rPr>
          <w:rFonts w:ascii="Arial" w:hAnsi="Arial" w:eastAsia="Arial"/>
          <w:sz w:val="18"/>
        </w:rPr>
        <w:t>Before publishing any artifact, re-verify it against the RELEASE allowlist and the license matrix, including share-alike propagation from CC BY-SA sources. [Reviewed 2]</w:t>
      </w:r>
    </w:p>
    <w:p>
      <w:pPr>
        <w:pStyle w:val="ListNumber"/>
        <w:spacing w:after="50"/>
        <w:ind w:left="403" w:hanging="259"/>
      </w:pPr>
      <w:r>
        <w:rPr>
          <w:rFonts w:ascii="Arial" w:hAnsi="Arial" w:eastAsia="Arial"/>
          <w:sz w:val="18"/>
        </w:rPr>
        <w:t>Size the sentinel drift probe from a power calculation against the smallest shift that would invalidate the calibrated risk bound, and record that calculation. [Reviewed 2]</w:t>
      </w:r>
    </w:p>
    <w:p>
      <w:pPr>
        <w:pStyle w:val="Heading2"/>
      </w:pPr>
      <w:r>
        <w:t>Measurements and controls</w:t>
      </w:r>
    </w:p>
    <w:p>
      <w:pPr>
        <w:pStyle w:val="ListBullet"/>
        <w:spacing w:after="36" w:line="245" w:lineRule="auto"/>
        <w:ind w:left="317" w:hanging="173"/>
      </w:pPr>
      <w:r>
        <w:rPr>
          <w:rFonts w:ascii="Arial" w:hAnsi="Arial" w:eastAsia="Arial"/>
          <w:sz w:val="18"/>
        </w:rPr>
        <w:t>Shadow route distribution, OOD rate, predicted-versus-observed calibration, projected total cost, and projected latency.</w:t>
      </w:r>
    </w:p>
    <w:p>
      <w:pPr>
        <w:pStyle w:val="ListBullet"/>
        <w:spacing w:after="36" w:line="245" w:lineRule="auto"/>
        <w:ind w:left="317" w:hanging="173"/>
      </w:pPr>
      <w:r>
        <w:rPr>
          <w:rFonts w:ascii="Arial" w:hAnsi="Arial" w:eastAsia="Arial"/>
          <w:sz w:val="18"/>
        </w:rPr>
        <w:t>Provider failure/fallback rate and exact configuration observability.</w:t>
      </w:r>
    </w:p>
    <w:p>
      <w:pPr>
        <w:pStyle w:val="ListBullet"/>
        <w:spacing w:after="36" w:line="245" w:lineRule="auto"/>
        <w:ind w:left="317" w:hanging="173"/>
      </w:pPr>
      <w:r>
        <w:rPr>
          <w:rFonts w:ascii="Arial" w:hAnsi="Arial" w:eastAsia="Arial"/>
          <w:sz w:val="18"/>
        </w:rPr>
        <w:t>Privacy/redaction failures and budget-firewall events.</w:t>
      </w:r>
    </w:p>
    <w:p>
      <w:pPr>
        <w:pStyle w:val="ListBullet"/>
        <w:spacing w:after="36" w:line="245" w:lineRule="auto"/>
        <w:ind w:left="317" w:hanging="173"/>
      </w:pPr>
      <w:r>
        <w:rPr>
          <w:rFonts w:ascii="Arial" w:hAnsi="Arial" w:eastAsia="Arial"/>
          <w:sz w:val="18"/>
        </w:rPr>
        <w:t>Reproducibility: clean-run regeneration of every table and figure.</w:t>
      </w:r>
    </w:p>
    <w:p>
      <w:pPr>
        <w:pStyle w:val="Heading2"/>
      </w:pPr>
      <w:r>
        <w:t>Required outputs</w:t>
      </w:r>
    </w:p>
    <w:p>
      <w:pPr>
        <w:pStyle w:val="ListBullet"/>
        <w:spacing w:after="36" w:line="245" w:lineRule="auto"/>
        <w:ind w:left="317" w:hanging="173"/>
      </w:pPr>
      <w:r>
        <w:rPr>
          <w:rFonts w:ascii="Arial" w:hAnsi="Arial" w:eastAsia="Arial"/>
          <w:sz w:val="18"/>
        </w:rPr>
        <w:t>shadow_study_report.md.</w:t>
      </w:r>
    </w:p>
    <w:p>
      <w:pPr>
        <w:pStyle w:val="ListBullet"/>
        <w:spacing w:after="36" w:line="245" w:lineRule="auto"/>
        <w:ind w:left="317" w:hanging="173"/>
      </w:pPr>
      <w:r>
        <w:rPr>
          <w:rFonts w:ascii="Arial" w:hAnsi="Arial" w:eastAsia="Arial"/>
          <w:sz w:val="18"/>
        </w:rPr>
        <w:t>Final reproducibility bundle and artifact index.</w:t>
      </w:r>
    </w:p>
    <w:p>
      <w:pPr>
        <w:pStyle w:val="ListBullet"/>
        <w:spacing w:after="36" w:line="245" w:lineRule="auto"/>
        <w:ind w:left="317" w:hanging="173"/>
      </w:pPr>
      <w:r>
        <w:rPr>
          <w:rFonts w:ascii="Arial" w:hAnsi="Arial" w:eastAsia="Arial"/>
          <w:sz w:val="18"/>
        </w:rPr>
        <w:t>Research paper draft structure per the 'Research-paper structure generated by this protocol' section. [Reviewed 2]</w:t>
      </w:r>
    </w:p>
    <w:p>
      <w:pPr>
        <w:pStyle w:val="ListBullet"/>
        <w:spacing w:after="36" w:line="245" w:lineRule="auto"/>
        <w:ind w:left="317" w:hanging="173"/>
      </w:pPr>
      <w:r>
        <w:rPr>
          <w:rFonts w:ascii="Arial" w:hAnsi="Arial" w:eastAsia="Arial"/>
          <w:sz w:val="18"/>
        </w:rPr>
        <w:t>Model/router card documenting intended use, exclusions, known failure modes, and monitoring.</w:t>
      </w:r>
    </w:p>
    <w:p>
      <w:pPr>
        <w:pStyle w:val="Heading2"/>
      </w:pPr>
      <w:r>
        <w:t>Potential problems and planned solutions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736"/>
            <w:shd w:fill="12263A"/>
            <w:tcMar>
              <w:top w:w="85" w:type="dxa"/>
              <w:start w:w="85" w:type="dxa"/>
              <w:bottom w:w="85" w:type="dxa"/>
              <w:end w:w="85" w:type="dxa"/>
            </w:tcMar>
            <w:vAlign w:val="center"/>
          </w:tcPr>
          <w:p>
            <w:pPr>
              <w:jc w:val="left"/>
            </w:pPr>
            <w:r>
              <w:rPr>
                <w:rFonts w:ascii="Arial" w:hAnsi="Arial" w:eastAsia="Arial"/>
                <w:b/>
                <w:color w:val="FFFFFF"/>
                <w:sz w:val="15"/>
              </w:rPr>
              <w:t>Problem</w:t>
            </w:r>
          </w:p>
        </w:tc>
        <w:tc>
          <w:tcPr>
            <w:tcW w:type="dxa" w:w="2880"/>
            <w:shd w:fill="12263A"/>
            <w:tcMar>
              <w:top w:w="85" w:type="dxa"/>
              <w:start w:w="85" w:type="dxa"/>
              <w:bottom w:w="85" w:type="dxa"/>
              <w:end w:w="85" w:type="dxa"/>
            </w:tcMar>
            <w:vAlign w:val="center"/>
          </w:tcPr>
          <w:p>
            <w:pPr>
              <w:jc w:val="left"/>
            </w:pPr>
            <w:r>
              <w:rPr>
                <w:rFonts w:ascii="Arial" w:hAnsi="Arial" w:eastAsia="Arial"/>
                <w:b/>
                <w:color w:val="FFFFFF"/>
                <w:sz w:val="15"/>
              </w:rPr>
              <w:t>How it will be detected</w:t>
            </w:r>
          </w:p>
        </w:tc>
        <w:tc>
          <w:tcPr>
            <w:tcW w:type="dxa" w:w="4104"/>
            <w:shd w:fill="12263A"/>
            <w:tcMar>
              <w:top w:w="85" w:type="dxa"/>
              <w:start w:w="85" w:type="dxa"/>
              <w:bottom w:w="85" w:type="dxa"/>
              <w:end w:w="85" w:type="dxa"/>
            </w:tcMar>
            <w:vAlign w:val="center"/>
          </w:tcPr>
          <w:p>
            <w:pPr>
              <w:jc w:val="left"/>
            </w:pPr>
            <w:r>
              <w:rPr>
                <w:rFonts w:ascii="Arial" w:hAnsi="Arial" w:eastAsia="Arial"/>
                <w:b/>
                <w:color w:val="FFFFFF"/>
                <w:sz w:val="15"/>
              </w:rPr>
              <w:t>Planned solution</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Shadow-label bias</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Only some production outcomes can be verified.</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Separate verified subsets from proxy feedback and avoid treating all thumbs signals as correctness.</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Privacy overcollection</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Shadow system stores full private requests unnecessarily.</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redacted or derived features, explicit retention limits, and access controls.</w:t>
            </w:r>
          </w:p>
        </w:tc>
      </w:tr>
      <w:tr>
        <w:trPr>
          <w:cantSplit/>
          <w:trHeight w:hRule="atLeast"/>
        </w:trPr>
        <w:tc>
          <w:tcPr>
            <w:tcW w:type="dxa" w:w="273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Paper/result mismatch</w:t>
            </w:r>
          </w:p>
        </w:tc>
        <w:tc>
          <w:tcPr>
            <w:tcW w:type="dxa" w:w="288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Figures cannot be traced to exact commands or data.</w:t>
            </w:r>
          </w:p>
        </w:tc>
        <w:tc>
          <w:tcPr>
            <w:tcW w:type="dxa" w:w="41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Generate every artifact from versioned experiment IDs and publish a manifest.</w:t>
            </w:r>
          </w:p>
        </w:tc>
      </w:tr>
      <w:tr>
        <w:trPr>
          <w:cantSplit/>
          <w:trHeight w:hRule="atLeast"/>
        </w:trPr>
        <w:tc>
          <w:tcPr>
            <w:tcW w:type="dxa" w:w="273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Canary harm</w:t>
            </w:r>
          </w:p>
        </w:tc>
        <w:tc>
          <w:tcPr>
            <w:tcW w:type="dxa" w:w="288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Poor route affects live users or spend.</w:t>
            </w:r>
          </w:p>
        </w:tc>
        <w:tc>
          <w:tcPr>
            <w:tcW w:type="dxa" w:w="41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Keep canary outside the first paper unless all shadow and security gates pass; use instant rollback.</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EEF7F1"/>
            <w:tcBorders>
              <w:top w:val="single" w:sz="8" w:color="3D7A57"/>
              <w:left w:val="single" w:sz="18" w:color="3D7A57"/>
              <w:bottom w:val="single" w:sz="8" w:color="3D7A57"/>
              <w:right w:val="single" w:sz="8" w:color="3D7A57"/>
            </w:tcBorders>
            <w:tcMar>
              <w:top w:w="110" w:type="dxa"/>
              <w:start w:w="145" w:type="dxa"/>
              <w:bottom w:w="110" w:type="dxa"/>
              <w:end w:w="145" w:type="dxa"/>
            </w:tcMar>
          </w:tcPr>
          <w:p>
            <w:r>
              <w:t>Release gate  Zero budget-firewall breaches; every published artifact cleared against the release allowlist with its license rationale recorded; the sentinel probe sized by a recorded power calculation; and an independent environment reproduces all paper tables from the released artifacts in one command. If production traffic access was never secured, E7 is reported as not performed and the external-validity claim is withdrawn rather than weakened.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This could also be improved - future only</w:t>
            </w:r>
          </w:p>
          <w:p>
            <w:pPr>
              <w:spacing w:after="0"/>
            </w:pPr>
            <w:r>
              <w:rPr>
                <w:rFonts w:ascii="Arial" w:hAnsi="Arial" w:eastAsia="Arial"/>
                <w:color w:val="263238"/>
                <w:sz w:val="17"/>
              </w:rPr>
              <w:t>Agent-step routing can become a separate second paper using TwinRouterBench-style static and dynamic tracks. Do not mix that evaluation into the single-turn paper because the causal unit and cost accounting differ.</w:t>
            </w:r>
          </w:p>
        </w:tc>
      </w:tr>
    </w:tbl>
    <w:p>
      <w:pPr>
        <w:spacing w:after="0"/>
      </w:pPr>
    </w:p>
    <w:p>
      <w:pPr>
        <w:jc w:val="center"/>
      </w:pPr>
      <w:r>
        <w:drawing>
          <wp:inline xmlns:a="http://schemas.openxmlformats.org/drawingml/2006/main" xmlns:pic="http://schemas.openxmlformats.org/drawingml/2006/picture">
            <wp:extent cx="6126480" cy="3356004"/>
            <wp:docPr id="5" name="Picture 5"/>
            <wp:cNvGraphicFramePr>
              <a:graphicFrameLocks noChangeAspect="1"/>
            </wp:cNvGraphicFramePr>
            <a:graphic>
              <a:graphicData uri="http://schemas.openxmlformats.org/drawingml/2006/picture">
                <pic:pic>
                  <pic:nvPicPr>
                    <pic:cNvPr id="0" name="fig5_deployment_loop.png"/>
                    <pic:cNvPicPr/>
                  </pic:nvPicPr>
                  <pic:blipFill>
                    <a:blip r:embed="rId52"/>
                    <a:stretch>
                      <a:fillRect/>
                    </a:stretch>
                  </pic:blipFill>
                  <pic:spPr>
                    <a:xfrm>
                      <a:off x="0" y="0"/>
                      <a:ext cx="6126480" cy="3356004"/>
                    </a:xfrm>
                    <a:prstGeom prst="rect"/>
                  </pic:spPr>
                </pic:pic>
              </a:graphicData>
            </a:graphic>
          </wp:inline>
        </w:drawing>
      </w:r>
    </w:p>
    <w:p>
      <w:pPr>
        <w:pStyle w:val="FigureCaption"/>
      </w:pPr>
      <w:r>
        <w:t>Figure 5. Shadow, canary, production, and quarantined-feedback loop.</w:t>
      </w:r>
    </w:p>
    <w:p>
      <w:r>
        <w:br w:type="page"/>
      </w:r>
    </w:p>
    <w:p>
      <w:pPr>
        <w:pStyle w:val="Heading1"/>
      </w:pPr>
      <w:r>
        <w:t>Part II - Integrated experiment design</w:t>
      </w:r>
    </w:p>
    <w:p>
      <w:pPr>
        <w:pStyle w:val="Heading2"/>
      </w:pPr>
      <w:r>
        <w:t>A. Experiment sequence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2263A"/>
            <w:tcMar>
              <w:top w:w="85" w:type="dxa"/>
              <w:start w:w="85" w:type="dxa"/>
              <w:bottom w:w="85" w:type="dxa"/>
              <w:end w:w="85" w:type="dxa"/>
            </w:tcMar>
            <w:vAlign w:val="center"/>
          </w:tcPr>
          <w:p>
            <w:pPr>
              <w:jc w:val="left"/>
            </w:pPr>
            <w:r>
              <w:rPr>
                <w:rFonts w:ascii="Arial" w:hAnsi="Arial" w:eastAsia="Arial"/>
                <w:b/>
                <w:color w:val="FFFFFF"/>
                <w:sz w:val="15"/>
              </w:rPr>
              <w:t>Experiment</w:t>
            </w:r>
          </w:p>
        </w:tc>
        <w:tc>
          <w:tcPr>
            <w:tcW w:type="dxa" w:w="3024"/>
            <w:shd w:fill="12263A"/>
            <w:tcMar>
              <w:top w:w="85" w:type="dxa"/>
              <w:start w:w="85" w:type="dxa"/>
              <w:bottom w:w="85" w:type="dxa"/>
              <w:end w:w="85" w:type="dxa"/>
            </w:tcMar>
            <w:vAlign w:val="center"/>
          </w:tcPr>
          <w:p>
            <w:pPr>
              <w:jc w:val="left"/>
            </w:pPr>
            <w:r>
              <w:rPr>
                <w:rFonts w:ascii="Arial" w:hAnsi="Arial" w:eastAsia="Arial"/>
                <w:b/>
                <w:color w:val="FFFFFF"/>
                <w:sz w:val="15"/>
              </w:rPr>
              <w:t>Question answered</w:t>
            </w:r>
          </w:p>
        </w:tc>
        <w:tc>
          <w:tcPr>
            <w:tcW w:type="dxa" w:w="3168"/>
            <w:shd w:fill="12263A"/>
            <w:tcMar>
              <w:top w:w="85" w:type="dxa"/>
              <w:start w:w="85" w:type="dxa"/>
              <w:bottom w:w="85" w:type="dxa"/>
              <w:end w:w="85" w:type="dxa"/>
            </w:tcMar>
            <w:vAlign w:val="center"/>
          </w:tcPr>
          <w:p>
            <w:pPr>
              <w:jc w:val="left"/>
            </w:pPr>
            <w:r>
              <w:rPr>
                <w:rFonts w:ascii="Arial" w:hAnsi="Arial" w:eastAsia="Arial"/>
                <w:b/>
                <w:color w:val="FFFFFF"/>
                <w:sz w:val="15"/>
              </w:rPr>
              <w:t>Minimum comparison</w:t>
            </w:r>
          </w:p>
        </w:tc>
        <w:tc>
          <w:tcPr>
            <w:tcW w:type="dxa" w:w="1872"/>
            <w:shd w:fill="12263A"/>
            <w:tcMar>
              <w:top w:w="85" w:type="dxa"/>
              <w:start w:w="85" w:type="dxa"/>
              <w:bottom w:w="85" w:type="dxa"/>
              <w:end w:w="85" w:type="dxa"/>
            </w:tcMar>
            <w:vAlign w:val="center"/>
          </w:tcPr>
          <w:p>
            <w:pPr>
              <w:jc w:val="left"/>
            </w:pPr>
            <w:r>
              <w:rPr>
                <w:rFonts w:ascii="Arial" w:hAnsi="Arial" w:eastAsia="Arial"/>
                <w:b/>
                <w:color w:val="FFFFFF"/>
                <w:sz w:val="15"/>
              </w:rPr>
              <w:t>Paper artifact</w:t>
            </w:r>
          </w:p>
        </w:tc>
      </w:tr>
      <w:tr>
        <w:trPr>
          <w:cantSplit/>
          <w:trHeight w:hRule="atLeast"/>
        </w:trPr>
        <w:tc>
          <w:tcPr>
            <w:tcW w:type="dxa" w:w="14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E0 Reproduction</w:t>
            </w:r>
          </w:p>
        </w:tc>
        <w:tc>
          <w:tcPr>
            <w:tcW w:type="dxa" w:w="302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Can public routing matrices and graders be reconstructed?</w:t>
            </w:r>
          </w:p>
        </w:tc>
        <w:tc>
          <w:tcPr>
            <w:tcW w:type="dxa" w:w="316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Published or repository baseline values</w:t>
            </w:r>
          </w:p>
        </w:tc>
        <w:tc>
          <w:tcPr>
            <w:tcW w:type="dxa" w:w="18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Methods validation</w:t>
            </w:r>
          </w:p>
        </w:tc>
      </w:tr>
      <w:tr>
        <w:trPr>
          <w:cantSplit/>
          <w:trHeight w:hRule="atLeast"/>
        </w:trPr>
        <w:tc>
          <w:tcPr>
            <w:tcW w:type="dxa" w:w="14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E1 Routing value</w:t>
            </w:r>
          </w:p>
        </w:tc>
        <w:tc>
          <w:tcPr>
            <w:tcW w:type="dxa" w:w="302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Does item-level routing beat simple alternatives?</w:t>
            </w:r>
          </w:p>
        </w:tc>
        <w:tc>
          <w:tcPr>
            <w:tcW w:type="dxa" w:w="316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Best Single, Always Cheap, task-only, share-matched random</w:t>
            </w:r>
          </w:p>
        </w:tc>
        <w:tc>
          <w:tcPr>
            <w:tcW w:type="dxa" w:w="18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Cost-quality frontier</w:t>
            </w:r>
          </w:p>
        </w:tc>
      </w:tr>
      <w:tr>
        <w:trPr>
          <w:cantSplit/>
          <w:trHeight w:hRule="atLeast"/>
        </w:trPr>
        <w:tc>
          <w:tcPr>
            <w:tcW w:type="dxa" w:w="14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E2 Difficulty</w:t>
            </w:r>
          </w:p>
        </w:tc>
        <w:tc>
          <w:tcPr>
            <w:tcW w:type="dxa" w:w="302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Does difficulty add predictive/routing value?</w:t>
            </w:r>
          </w:p>
        </w:tc>
        <w:tc>
          <w:tcPr>
            <w:tcW w:type="dxa" w:w="316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Same predictor without difficulty</w:t>
            </w:r>
          </w:p>
        </w:tc>
        <w:tc>
          <w:tcPr>
            <w:tcW w:type="dxa" w:w="18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Difficulty ablation table</w:t>
            </w:r>
          </w:p>
        </w:tc>
      </w:tr>
      <w:tr>
        <w:trPr>
          <w:cantSplit/>
          <w:trHeight w:hRule="atLeast"/>
        </w:trPr>
        <w:tc>
          <w:tcPr>
            <w:tcW w:type="dxa" w:w="14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E3 Predictor</w:t>
            </w:r>
          </w:p>
        </w:tc>
        <w:tc>
          <w:tcPr>
            <w:tcW w:type="dxa" w:w="302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Can candidate success be predicted and calibrated?</w:t>
            </w:r>
          </w:p>
        </w:tc>
        <w:tc>
          <w:tcPr>
            <w:tcW w:type="dxa" w:w="316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Logistic, tree, matrix factorization, task-only</w:t>
            </w:r>
          </w:p>
        </w:tc>
        <w:tc>
          <w:tcPr>
            <w:tcW w:type="dxa" w:w="18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Calibration and cold-start figures</w:t>
            </w:r>
          </w:p>
        </w:tc>
      </w:tr>
      <w:tr>
        <w:trPr>
          <w:cantSplit/>
          <w:trHeight w:hRule="atLeast"/>
        </w:trPr>
        <w:tc>
          <w:tcPr>
            <w:tcW w:type="dxa" w:w="14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E4 Configuration budget</w:t>
            </w:r>
          </w:p>
        </w:tc>
        <w:tc>
          <w:tcPr>
            <w:tcW w:type="dxa" w:w="302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Does model+budget beat model-only routing?</w:t>
            </w:r>
          </w:p>
        </w:tc>
        <w:tc>
          <w:tcPr>
            <w:tcW w:type="dxa" w:w="316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Model-only optimizer</w:t>
            </w:r>
          </w:p>
        </w:tc>
        <w:tc>
          <w:tcPr>
            <w:tcW w:type="dxa" w:w="18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Configuration frontier</w:t>
            </w:r>
          </w:p>
        </w:tc>
      </w:tr>
      <w:tr>
        <w:trPr>
          <w:cantSplit/>
          <w:trHeight w:hRule="atLeast"/>
        </w:trPr>
        <w:tc>
          <w:tcPr>
            <w:tcW w:type="dxa" w:w="14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E5 Cascade</w:t>
            </w:r>
          </w:p>
        </w:tc>
        <w:tc>
          <w:tcPr>
            <w:tcW w:type="dxa" w:w="302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Does verification improve end-to-end value?</w:t>
            </w:r>
          </w:p>
        </w:tc>
        <w:tc>
          <w:tcPr>
            <w:tcW w:type="dxa" w:w="316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Upfront router without verifier</w:t>
            </w:r>
          </w:p>
        </w:tc>
        <w:tc>
          <w:tcPr>
            <w:tcW w:type="dxa" w:w="18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Cascade cost/reliability table</w:t>
            </w:r>
          </w:p>
        </w:tc>
      </w:tr>
      <w:tr>
        <w:trPr>
          <w:cantSplit/>
          <w:trHeight w:hRule="atLeast"/>
        </w:trPr>
        <w:tc>
          <w:tcPr>
            <w:tcW w:type="dxa" w:w="14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E6 Robustness</w:t>
            </w:r>
          </w:p>
        </w:tc>
        <w:tc>
          <w:tcPr>
            <w:tcW w:type="dxa" w:w="302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Does the router survive OOD, leakage, and attacks?</w:t>
            </w:r>
          </w:p>
        </w:tc>
        <w:tc>
          <w:tcPr>
            <w:tcW w:type="dxa" w:w="316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Clean matched prompts and fixed controls</w:t>
            </w:r>
          </w:p>
        </w:tc>
        <w:tc>
          <w:tcPr>
            <w:tcW w:type="dxa" w:w="18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Robustness figure</w:t>
            </w:r>
          </w:p>
        </w:tc>
      </w:tr>
      <w:tr>
        <w:trPr>
          <w:cantSplit/>
          <w:trHeight w:hRule="atLeast"/>
        </w:trPr>
        <w:tc>
          <w:tcPr>
            <w:tcW w:type="dxa" w:w="14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E7 Shadow</w:t>
            </w:r>
          </w:p>
        </w:tc>
        <w:tc>
          <w:tcPr>
            <w:tcW w:type="dxa" w:w="302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 offline results transfer operationally?</w:t>
            </w:r>
          </w:p>
        </w:tc>
        <w:tc>
          <w:tcPr>
            <w:tcW w:type="dxa" w:w="316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Existing production route in observation only</w:t>
            </w:r>
          </w:p>
        </w:tc>
        <w:tc>
          <w:tcPr>
            <w:tcW w:type="dxa" w:w="18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External-validity table</w:t>
            </w:r>
          </w:p>
        </w:tc>
      </w:tr>
      <w:tr>
        <w:tc>
          <w:tcPr>
            <w:tcW w:type="dxa" w:w="2541"/>
          </w:tcPr>
          <w:p>
            <w:r>
              <w:t>E1b Complementarity gate [Reviewed 2]</w:t>
            </w:r>
          </w:p>
        </w:tc>
        <w:tc>
          <w:tcPr>
            <w:tcW w:type="dxa" w:w="2541"/>
          </w:tcPr>
          <w:p>
            <w:r>
              <w:t>Does exploitable item-level complementarity exist at all? [Reviewed 2]</w:t>
            </w:r>
          </w:p>
        </w:tc>
        <w:tc>
          <w:tcPr>
            <w:tcW w:type="dxa" w:w="2541"/>
          </w:tcPr>
          <w:p>
            <w:r>
              <w:t>Split-repeat oracle vs Best Single, with the naive ex-post oracle shown alongside [Reviewed 2]</w:t>
            </w:r>
          </w:p>
        </w:tc>
        <w:tc>
          <w:tcPr>
            <w:tcW w:type="dxa" w:w="2541"/>
          </w:tcPr>
          <w:p>
            <w:r>
              <w:t>Debiased oracle figure; the project's go/no-go [Reviewed 2]</w:t>
            </w:r>
          </w:p>
        </w:tc>
      </w:tr>
      <w:tr>
        <w:tc>
          <w:tcPr>
            <w:tcW w:type="dxa" w:w="2541"/>
          </w:tcPr>
          <w:p>
            <w:r>
              <w:t>E3b Zero-information control [Reviewed 2]</w:t>
            </w:r>
          </w:p>
        </w:tc>
        <w:tc>
          <w:tcPr>
            <w:tcW w:type="dxa" w:w="2541"/>
          </w:tcPr>
          <w:p>
            <w:r>
              <w:t>How much of the predictor's apparent skill is base-rate only? [Reviewed 2]</w:t>
            </w:r>
          </w:p>
        </w:tc>
        <w:tc>
          <w:tcPr>
            <w:tcW w:type="dxa" w:w="2541"/>
          </w:tcPr>
          <w:p>
            <w:r>
              <w:t>Per-configuration-constant predictor on identical splits and metrics [Reviewed 2]</w:t>
            </w:r>
          </w:p>
        </w:tc>
        <w:tc>
          <w:tcPr>
            <w:tcW w:type="dxa" w:w="2541"/>
          </w:tcPr>
          <w:p>
            <w:r>
              <w:t>Within-item vs pooled AUC figure [Reviewed 2]</w:t>
            </w:r>
          </w:p>
        </w:tc>
      </w:tr>
      <w:tr>
        <w:tc>
          <w:tcPr>
            <w:tcW w:type="dxa" w:w="2541"/>
          </w:tcPr>
          <w:p>
            <w:r>
              <w:t>E6b Risk-control validity [Reviewed 2]</w:t>
            </w:r>
          </w:p>
        </w:tc>
        <w:tc>
          <w:tcPr>
            <w:tcW w:type="dxa" w:w="2541"/>
          </w:tcPr>
          <w:p>
            <w:r>
              <w:t>Is the risk bound valid on the arm the router selects? [Reviewed 2]</w:t>
            </w:r>
          </w:p>
        </w:tc>
        <w:tc>
          <w:tcPr>
            <w:tcW w:type="dxa" w:w="2541"/>
          </w:tcPr>
          <w:p>
            <w:r>
              <w:t>Per-arm CRC vs policy-level LTT at matched coverage [Reviewed 2]</w:t>
            </w:r>
          </w:p>
        </w:tc>
        <w:tc>
          <w:tcPr>
            <w:tcW w:type="dxa" w:w="2541"/>
          </w:tcPr>
          <w:p>
            <w:r>
              <w:t>Primary result figure (H-P) [Reviewed 2]</w:t>
            </w:r>
          </w:p>
        </w:tc>
      </w:tr>
      <w:tr>
        <w:tc>
          <w:tcPr>
            <w:tcW w:type="dxa" w:w="2541"/>
          </w:tcPr>
          <w:p>
            <w:r>
              <w:t>E8 Price sensitivity [Reviewed 2]</w:t>
            </w:r>
          </w:p>
        </w:tc>
        <w:tc>
          <w:tcPr>
            <w:tcW w:type="dxa" w:w="2541"/>
          </w:tcPr>
          <w:p>
            <w:r>
              <w:t>How much of the cost saving is the router and how much is the price list? [Reviewed 2]</w:t>
            </w:r>
          </w:p>
        </w:tc>
        <w:tc>
          <w:tcPr>
            <w:tcW w:type="dxa" w:w="2541"/>
          </w:tcPr>
          <w:p>
            <w:r>
              <w:t>Identical routing decisions re-scored across the rho grid (no additional API cost) [Reviewed 2]</w:t>
            </w:r>
          </w:p>
        </w:tc>
        <w:tc>
          <w:tcPr>
            <w:tcW w:type="dxa" w:w="2541"/>
          </w:tcPr>
          <w:p>
            <w:r>
              <w:t>Savings-versus-rho curve [Reviewed 2]</w:t>
            </w:r>
          </w:p>
        </w:tc>
      </w:tr>
    </w:tbl>
    <w:p>
      <w:pPr>
        <w:spacing w:after="0"/>
      </w:pPr>
    </w:p>
    <w:p>
      <w:pPr>
        <w:jc w:val="center"/>
      </w:pPr>
      <w:r>
        <w:drawing>
          <wp:inline xmlns:a="http://schemas.openxmlformats.org/drawingml/2006/main" xmlns:pic="http://schemas.openxmlformats.org/drawingml/2006/picture">
            <wp:extent cx="6126480" cy="3356004"/>
            <wp:docPr id="6" name="Picture 6"/>
            <wp:cNvGraphicFramePr>
              <a:graphicFrameLocks noChangeAspect="1"/>
            </wp:cNvGraphicFramePr>
            <a:graphic>
              <a:graphicData uri="http://schemas.openxmlformats.org/drawingml/2006/picture">
                <pic:pic>
                  <pic:nvPicPr>
                    <pic:cNvPr id="0" name="fig6_paper_map.png"/>
                    <pic:cNvPicPr/>
                  </pic:nvPicPr>
                  <pic:blipFill>
                    <a:blip r:embed="rId53"/>
                    <a:stretch>
                      <a:fillRect/>
                    </a:stretch>
                  </pic:blipFill>
                  <pic:spPr>
                    <a:xfrm>
                      <a:off x="0" y="0"/>
                      <a:ext cx="6126480" cy="3356004"/>
                    </a:xfrm>
                    <a:prstGeom prst="rect"/>
                  </pic:spPr>
                </pic:pic>
              </a:graphicData>
            </a:graphic>
          </wp:inline>
        </w:drawing>
      </w:r>
    </w:p>
    <w:p>
      <w:pPr>
        <w:pStyle w:val="FigureCaption"/>
      </w:pPr>
      <w:r>
        <w:t>Figure 6. Every experiment is pre-assigned to a paper result and section.</w:t>
      </w:r>
    </w:p>
    <w:p>
      <w:pPr>
        <w:pStyle w:val="Heading2"/>
      </w:pPr>
      <w:r>
        <w:t>B. Sampling and run-count strategy</w:t>
      </w:r>
    </w:p>
    <w:p>
      <w:pPr>
        <w:keepNext w:val="0"/>
        <w:spacing w:after="80"/>
      </w:pPr>
      <w:r>
        <w:rPr>
          <w:rFonts w:ascii="Arial" w:hAnsi="Arial" w:eastAsia="Arial"/>
        </w:rPr>
        <w:t>Use a staged design rather than paying for the entire matrix immediately: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5"/>
            <w:shd w:fill="12263A"/>
            <w:tcMar>
              <w:top w:w="85" w:type="dxa"/>
              <w:start w:w="85" w:type="dxa"/>
              <w:bottom w:w="85" w:type="dxa"/>
              <w:end w:w="85" w:type="dxa"/>
            </w:tcMar>
            <w:vAlign w:val="center"/>
          </w:tcPr>
          <w:p>
            <w:pPr>
              <w:jc w:val="left"/>
            </w:pPr>
            <w:r>
              <w:rPr>
                <w:rFonts w:ascii="Arial" w:hAnsi="Arial" w:eastAsia="Arial"/>
                <w:b/>
                <w:color w:val="FFFFFF"/>
                <w:sz w:val="15"/>
              </w:rPr>
              <w:t>Stage</w:t>
            </w:r>
          </w:p>
        </w:tc>
        <w:tc>
          <w:tcPr>
            <w:tcW w:type="dxa" w:w="2160"/>
            <w:shd w:fill="12263A"/>
            <w:tcMar>
              <w:top w:w="85" w:type="dxa"/>
              <w:start w:w="85" w:type="dxa"/>
              <w:bottom w:w="85" w:type="dxa"/>
              <w:end w:w="85" w:type="dxa"/>
            </w:tcMar>
            <w:vAlign w:val="center"/>
          </w:tcPr>
          <w:p>
            <w:pPr>
              <w:jc w:val="left"/>
            </w:pPr>
            <w:r>
              <w:rPr>
                <w:rFonts w:ascii="Arial" w:hAnsi="Arial" w:eastAsia="Arial"/>
                <w:b/>
                <w:color w:val="FFFFFF"/>
                <w:sz w:val="15"/>
              </w:rPr>
              <w:t>Illustrative scale</w:t>
            </w:r>
          </w:p>
        </w:tc>
        <w:tc>
          <w:tcPr>
            <w:tcW w:type="dxa" w:w="3888"/>
            <w:shd w:fill="12263A"/>
            <w:tcMar>
              <w:top w:w="85" w:type="dxa"/>
              <w:start w:w="85" w:type="dxa"/>
              <w:bottom w:w="85" w:type="dxa"/>
              <w:end w:w="85" w:type="dxa"/>
            </w:tcMar>
            <w:vAlign w:val="center"/>
          </w:tcPr>
          <w:p>
            <w:pPr>
              <w:jc w:val="left"/>
            </w:pPr>
            <w:r>
              <w:rPr>
                <w:rFonts w:ascii="Arial" w:hAnsi="Arial" w:eastAsia="Arial"/>
                <w:b/>
                <w:color w:val="FFFFFF"/>
                <w:sz w:val="15"/>
              </w:rPr>
              <w:t>Purpose</w:t>
            </w:r>
          </w:p>
        </w:tc>
        <w:tc>
          <w:tcPr>
            <w:tcW w:type="dxa" w:w="1800"/>
            <w:shd w:fill="12263A"/>
            <w:tcMar>
              <w:top w:w="85" w:type="dxa"/>
              <w:start w:w="85" w:type="dxa"/>
              <w:bottom w:w="85" w:type="dxa"/>
              <w:end w:w="85" w:type="dxa"/>
            </w:tcMar>
            <w:vAlign w:val="center"/>
          </w:tcPr>
          <w:p>
            <w:pPr>
              <w:jc w:val="left"/>
            </w:pPr>
            <w:r>
              <w:rPr>
                <w:rFonts w:ascii="Arial" w:hAnsi="Arial" w:eastAsia="Arial"/>
                <w:b/>
                <w:color w:val="FFFFFF"/>
                <w:sz w:val="15"/>
              </w:rPr>
              <w:t>Decision</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Public reproduction</w:t>
            </w:r>
          </w:p>
        </w:tc>
        <w:tc>
          <w:tcPr>
            <w:tcW w:type="dxa" w:w="216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Existing public matrices</w:t>
            </w:r>
          </w:p>
        </w:tc>
        <w:tc>
          <w:tcPr>
            <w:tcW w:type="dxa" w:w="388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Validate loading, scoring, baselines, and metrics.</w:t>
            </w:r>
          </w:p>
        </w:tc>
        <w:tc>
          <w:tcPr>
            <w:tcW w:type="dxa" w:w="180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No new model calls required.</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Live pilot</w:t>
            </w:r>
          </w:p>
        </w:tc>
        <w:tc>
          <w:tcPr>
            <w:tcW w:type="dxa" w:w="216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Approximately 500 items x 4 configurations x 3 repeats = 6,000 calls</w:t>
            </w:r>
          </w:p>
        </w:tc>
        <w:tc>
          <w:tcPr>
            <w:tcW w:type="dxa" w:w="388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Estimate variance, grader failure, latency, missingness, and likely effect size.</w:t>
            </w:r>
          </w:p>
        </w:tc>
        <w:tc>
          <w:tcPr>
            <w:tcW w:type="dxa" w:w="180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pilot to determine main-study scale.</w:t>
            </w:r>
          </w:p>
        </w:tc>
      </w:tr>
      <w:tr>
        <w:trPr>
          <w:cantSplit/>
          <w:trHeight w:hRule="atLeast"/>
        </w:trPr>
        <w:tc>
          <w:tcPr>
            <w:tcW w:type="dxa" w:w="1655"/>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Main study</w:t>
            </w:r>
          </w:p>
        </w:tc>
        <w:tc>
          <w:tcPr>
            <w:tcW w:type="dxa" w:w="216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 derived from BUDGET and power, not chosen first. Reference points: 300,000 calls at 50k x 6 x 1, 900,000 at 50k x 6 x 3. [Reviewed 2]</w:t>
            </w:r>
          </w:p>
        </w:tc>
        <w:tc>
          <w:tcPr>
            <w:tcW w:type="dxa" w:w="388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Frozen confirmatory evaluation. [Reviewed 2]</w:t>
            </w:r>
          </w:p>
        </w:tc>
        <w:tc>
          <w:tcPr>
            <w:tcW w:type="dxa" w:w="180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Scale is set from the costed budget and the power calculation before the test is opened. [Reviewed 2]</w:t>
            </w:r>
          </w:p>
        </w:tc>
      </w:tr>
      <w:tr>
        <w:trPr>
          <w:cantSplit/>
          <w:trHeight w:hRule="atLeast"/>
        </w:trPr>
        <w:tc>
          <w:tcPr>
            <w:tcW w:type="dxa" w:w="1655"/>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Stress study</w:t>
            </w:r>
          </w:p>
        </w:tc>
        <w:tc>
          <w:tcPr>
            <w:tcW w:type="dxa" w:w="216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Stratified frozen subsets</w:t>
            </w:r>
          </w:p>
        </w:tc>
        <w:tc>
          <w:tcPr>
            <w:tcW w:type="dxa" w:w="388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OOD, new-model, adversarial, and temporal shift.</w:t>
            </w:r>
          </w:p>
        </w:tc>
        <w:tc>
          <w:tcPr>
            <w:tcW w:type="dxa" w:w="180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Report separately from in-distribution results.</w:t>
            </w:r>
          </w:p>
        </w:tc>
      </w:tr>
      <w:tr>
        <w:tc>
          <w:tcPr>
            <w:tcW w:type="dxa" w:w="2541"/>
          </w:tcPr>
          <w:p>
            <w:r>
              <w:t>Costed budget (mandatory, precedes all of the above) [Reviewed 2]</w:t>
            </w:r>
          </w:p>
        </w:tc>
        <w:tc>
          <w:tcPr>
            <w:tcW w:type="dxa" w:w="2541"/>
          </w:tcPr>
          <w:p>
            <w:r>
              <w:t>At 900,000 calls the generation tensor alone costs roughly $1.8k at $0.002/call, $27k at $0.03/call, and $180k at $0.20/call; reasoning-effort configurations sit in the upper band. SWE-bench Verified is agentic: 500 tasks x 6 configurations x 3 repeats costs $4.5k-$27k at $0.50-$3.00 per instance. [Reviewed 2]</w:t>
            </w:r>
          </w:p>
        </w:tc>
        <w:tc>
          <w:tcPr>
            <w:tcW w:type="dxa" w:w="2541"/>
          </w:tcPr>
          <w:p>
            <w:r>
              <w:t>Establish what the study can actually afford before any item count is fixed. [Reviewed 2]</w:t>
            </w:r>
          </w:p>
        </w:tc>
        <w:tc>
          <w:tcPr>
            <w:tcW w:type="dxa" w:w="2541"/>
          </w:tcPr>
          <w:p>
            <w:r>
              <w:t>If the budget cannot fund the power-derived N, reduce SCOPE (fewer domains, fewer repeats, public matrices only) - never reduce the test after seeing results. [Reviewed 2]</w:t>
            </w:r>
          </w:p>
        </w:tc>
      </w:tr>
    </w:tbl>
    <w:p>
      <w:pPr>
        <w:spacing w:after="0"/>
      </w:pPr>
    </w:p>
    <w:p>
      <w:pPr>
        <w:spacing w:after="40"/>
      </w:pPr>
      <w:r>
        <w:rPr>
          <w:rFonts w:ascii="Arial" w:hAnsi="Arial" w:eastAsia="Arial"/>
          <w:i/>
          <w:color w:val="4D5960"/>
          <w:sz w:val="17"/>
        </w:rPr>
        <w:t>Run-count and total-cost accounting</w:t>
      </w:r>
    </w:p>
    <w:tbl>
      <w:tblPr>
        <w:tblW w:type="auto" w:w="0"/>
        <w:jc w:val="center"/>
        <w:tblLook w:firstColumn="1" w:firstRow="1" w:lastColumn="0" w:lastRow="0" w:noHBand="0" w:noVBand="1" w:val="04A0"/>
      </w:tblPr>
      <w:tblGrid>
        <w:gridCol w:w="10166"/>
      </w:tblGrid>
      <w:tr>
        <w:tc>
          <w:tcPr>
            <w:tcW w:type="dxa" w:w="10166"/>
            <w:shd w:fill="263238"/>
            <w:tcBorders>
              <w:top w:val="single" w:sz="4" w:color="263238"/>
              <w:left w:val="single" w:sz="4" w:color="263238"/>
              <w:bottom w:val="single" w:sz="4" w:color="263238"/>
              <w:right w:val="single" w:sz="4" w:color="263238"/>
            </w:tcBorders>
            <w:tcMar>
              <w:top w:w="120" w:type="dxa"/>
              <w:start w:w="140" w:type="dxa"/>
              <w:bottom w:w="120" w:type="dxa"/>
              <w:end w:w="140" w:type="dxa"/>
            </w:tcMar>
          </w:tcPr>
          <w:p>
            <w:pPr>
              <w:spacing w:after="0"/>
            </w:pPr>
            <w:r>
              <w:rPr>
                <w:rFonts w:ascii="Liberation Mono" w:hAnsi="Liberation Mono" w:eastAsia="Liberation Mono"/>
                <w:color w:val="FFFFFF"/>
                <w:sz w:val="15"/>
              </w:rPr>
              <w:t>total_generation_calls = number_of_items * number_of_configurations * number_of_repeats</w:t>
            </w:r>
            <w:r>
              <w:br/>
            </w:r>
            <w:r>
              <w:rPr>
                <w:rFonts w:ascii="Liberation Mono" w:hAnsi="Liberation Mono" w:eastAsia="Liberation Mono"/>
                <w:color w:val="FFFFFF"/>
                <w:sz w:val="15"/>
              </w:rPr>
            </w:r>
            <w:r>
              <w:br/>
            </w:r>
            <w:r>
              <w:rPr>
                <w:rFonts w:ascii="Liberation Mono" w:hAnsi="Liberation Mono" w:eastAsia="Liberation Mono"/>
                <w:color w:val="FFFFFF"/>
                <w:sz w:val="15"/>
              </w:rPr>
              <w:t>full_workflow_cost =</w:t>
            </w:r>
            <w:r>
              <w:br/>
            </w:r>
            <w:r>
              <w:rPr>
                <w:rFonts w:ascii="Liberation Mono" w:hAnsi="Liberation Mono" w:eastAsia="Liberation Mono"/>
                <w:color w:val="FFFFFF"/>
                <w:sz w:val="15"/>
              </w:rPr>
              <w:t xml:space="preserve">    router_cost</w:t>
            </w:r>
            <w:r>
              <w:br/>
            </w:r>
            <w:r>
              <w:rPr>
                <w:rFonts w:ascii="Liberation Mono" w:hAnsi="Liberation Mono" w:eastAsia="Liberation Mono"/>
                <w:color w:val="FFFFFF"/>
                <w:sz w:val="15"/>
              </w:rPr>
              <w:t xml:space="preserve">  + candidate_generation_cost</w:t>
            </w:r>
            <w:r>
              <w:br/>
            </w:r>
            <w:r>
              <w:rPr>
                <w:rFonts w:ascii="Liberation Mono" w:hAnsi="Liberation Mono" w:eastAsia="Liberation Mono"/>
                <w:color w:val="FFFFFF"/>
                <w:sz w:val="15"/>
              </w:rPr>
              <w:t xml:space="preserve">  + verifier_cost</w:t>
            </w:r>
            <w:r>
              <w:br/>
            </w:r>
            <w:r>
              <w:rPr>
                <w:rFonts w:ascii="Liberation Mono" w:hAnsi="Liberation Mono" w:eastAsia="Liberation Mono"/>
                <w:color w:val="FFFFFF"/>
                <w:sz w:val="15"/>
              </w:rPr>
              <w:t xml:space="preserve">  + escalation_cost</w:t>
            </w:r>
            <w:r>
              <w:br/>
            </w:r>
            <w:r>
              <w:rPr>
                <w:rFonts w:ascii="Liberation Mono" w:hAnsi="Liberation Mono" w:eastAsia="Liberation Mono"/>
                <w:color w:val="FFFFFF"/>
                <w:sz w:val="15"/>
              </w:rPr>
              <w:t xml:space="preserve">  + tool_cost</w:t>
            </w:r>
            <w:r>
              <w:br/>
            </w:r>
            <w:r>
              <w:rPr>
                <w:rFonts w:ascii="Liberation Mono" w:hAnsi="Liberation Mono" w:eastAsia="Liberation Mono"/>
                <w:color w:val="FFFFFF"/>
                <w:sz w:val="15"/>
              </w:rPr>
              <w:t xml:space="preserve">  + failed_call_cost</w:t>
            </w:r>
            <w:r>
              <w:br/>
            </w:r>
            <w:r>
              <w:rPr>
                <w:rFonts w:ascii="Liberation Mono" w:hAnsi="Liberation Mono" w:eastAsia="Liberation Mono"/>
                <w:color w:val="FFFFFF"/>
                <w:sz w:val="15"/>
              </w:rPr>
              <w:t xml:space="preserve">  + local_compute_cost</w:t>
            </w:r>
          </w:p>
        </w:tc>
      </w:tr>
    </w:tbl>
    <w:p>
      <w:pPr>
        <w:spacing w:after="0"/>
      </w:pPr>
    </w:p>
    <w:p>
      <w:pPr>
        <w:pStyle w:val="Heading2"/>
      </w:pPr>
      <w:r>
        <w:t>C. Primary and secondary metrics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2263A"/>
            <w:tcMar>
              <w:top w:w="85" w:type="dxa"/>
              <w:start w:w="85" w:type="dxa"/>
              <w:bottom w:w="85" w:type="dxa"/>
              <w:end w:w="85" w:type="dxa"/>
            </w:tcMar>
            <w:vAlign w:val="center"/>
          </w:tcPr>
          <w:p>
            <w:pPr>
              <w:jc w:val="left"/>
            </w:pPr>
            <w:r>
              <w:rPr>
                <w:rFonts w:ascii="Arial" w:hAnsi="Arial" w:eastAsia="Arial"/>
                <w:b/>
                <w:color w:val="FFFFFF"/>
                <w:sz w:val="15"/>
              </w:rPr>
              <w:t>Metric family</w:t>
            </w:r>
          </w:p>
        </w:tc>
        <w:tc>
          <w:tcPr>
            <w:tcW w:type="dxa" w:w="3960"/>
            <w:shd w:fill="12263A"/>
            <w:tcMar>
              <w:top w:w="85" w:type="dxa"/>
              <w:start w:w="85" w:type="dxa"/>
              <w:bottom w:w="85" w:type="dxa"/>
              <w:end w:w="85" w:type="dxa"/>
            </w:tcMar>
            <w:vAlign w:val="center"/>
          </w:tcPr>
          <w:p>
            <w:pPr>
              <w:jc w:val="left"/>
            </w:pPr>
            <w:r>
              <w:rPr>
                <w:rFonts w:ascii="Arial" w:hAnsi="Arial" w:eastAsia="Arial"/>
                <w:b/>
                <w:color w:val="FFFFFF"/>
                <w:sz w:val="15"/>
              </w:rPr>
              <w:t>Metrics</w:t>
            </w:r>
          </w:p>
        </w:tc>
        <w:tc>
          <w:tcPr>
            <w:tcW w:type="dxa" w:w="3816"/>
            <w:shd w:fill="12263A"/>
            <w:tcMar>
              <w:top w:w="85" w:type="dxa"/>
              <w:start w:w="85" w:type="dxa"/>
              <w:bottom w:w="85" w:type="dxa"/>
              <w:end w:w="85" w:type="dxa"/>
            </w:tcMar>
            <w:vAlign w:val="center"/>
          </w:tcPr>
          <w:p>
            <w:pPr>
              <w:jc w:val="left"/>
            </w:pPr>
            <w:r>
              <w:rPr>
                <w:rFonts w:ascii="Arial" w:hAnsi="Arial" w:eastAsia="Arial"/>
                <w:b/>
                <w:color w:val="FFFFFF"/>
                <w:sz w:val="15"/>
              </w:rPr>
              <w:t>Interpretation</w:t>
            </w:r>
          </w:p>
        </w:tc>
      </w:tr>
      <w:tr>
        <w:trPr>
          <w:cantSplit/>
          <w:trHeight w:hRule="atLeast"/>
        </w:trPr>
        <w:tc>
          <w:tcPr>
            <w:tcW w:type="dxa" w:w="172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Primary utility</w:t>
            </w:r>
          </w:p>
        </w:tc>
        <w:tc>
          <w:tcPr>
            <w:tcW w:type="dxa" w:w="396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Total workflow cost per 1,000 requests at accuracy &gt;= (Best Single - 0.02 absolute), as a ratio of totals at price ratio rho_0; reported with the savings-versus-rho curve and the price-free strong-model call share at fixed quality (CPT). [Reviewed 2]</w:t>
            </w:r>
          </w:p>
        </w:tc>
        <w:tc>
          <w:tcPr>
            <w:tcW w:type="dxa" w:w="381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One operating point, pre-registered before the final test. No 'one or more operating points'. [Reviewed 2]</w:t>
            </w:r>
          </w:p>
        </w:tc>
      </w:tr>
      <w:tr>
        <w:trPr>
          <w:cantSplit/>
          <w:trHeight w:hRule="atLeast"/>
        </w:trPr>
        <w:tc>
          <w:tcPr>
            <w:tcW w:type="dxa" w:w="172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Quality</w:t>
            </w:r>
          </w:p>
        </w:tc>
        <w:tc>
          <w:tcPr>
            <w:tcW w:type="dxa" w:w="396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Accuracy, pass rate, task score, pairwise preference</w:t>
            </w:r>
          </w:p>
        </w:tc>
        <w:tc>
          <w:tcPr>
            <w:tcW w:type="dxa" w:w="381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task-appropriate scores; do not force all tasks into binary correctness.</w:t>
            </w:r>
          </w:p>
        </w:tc>
      </w:tr>
      <w:tr>
        <w:trPr>
          <w:cantSplit/>
          <w:trHeight w:hRule="atLeast"/>
        </w:trPr>
        <w:tc>
          <w:tcPr>
            <w:tcW w:type="dxa" w:w="172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Calibration / risk</w:t>
            </w:r>
          </w:p>
        </w:tc>
        <w:tc>
          <w:tcPr>
            <w:tcW w:type="dxa" w:w="396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Selected-arm empirical risk under policy-level LTT, ALWAYS reported jointly with coverage; per-arm conformal risk as the negative control; ECE, Brier score, reliability diagrams. [Reviewed 2]</w:t>
            </w:r>
          </w:p>
        </w:tc>
        <w:tc>
          <w:tcPr>
            <w:tcW w:type="dxa" w:w="381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Tests whether the deployed policy's risk bound is actually valid, not whether an unused arm's bound is. [Reviewed 2]</w:t>
            </w:r>
          </w:p>
        </w:tc>
      </w:tr>
      <w:tr>
        <w:trPr>
          <w:cantSplit/>
          <w:trHeight w:hRule="atLeast"/>
        </w:trPr>
        <w:tc>
          <w:tcPr>
            <w:tcW w:type="dxa" w:w="172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Efficiency</w:t>
            </w:r>
          </w:p>
        </w:tc>
        <w:tc>
          <w:tcPr>
            <w:tcW w:type="dxa" w:w="396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Input/output tokens, total cost, p50/p95 latency, router overhead</w:t>
            </w:r>
          </w:p>
        </w:tc>
        <w:tc>
          <w:tcPr>
            <w:tcW w:type="dxa" w:w="381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Count the entire workflow.</w:t>
            </w:r>
          </w:p>
        </w:tc>
      </w:tr>
      <w:tr>
        <w:trPr>
          <w:cantSplit/>
          <w:trHeight w:hRule="atLeast"/>
        </w:trPr>
        <w:tc>
          <w:tcPr>
            <w:tcW w:type="dxa" w:w="1728"/>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Routing</w:t>
            </w:r>
          </w:p>
        </w:tc>
        <w:tc>
          <w:tcPr>
            <w:tcW w:type="dxa" w:w="396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Within-item AUC, delta log-loss over the per-configuration-constant control, cheapest-successful recall@1, selection shares and entropy, regret to the SPLIT-REPEAT oracle, Pareto distance, plus PGR / APGR / CPT for comparability with the published routing literature. [Reviewed 2]</w:t>
            </w:r>
          </w:p>
        </w:tc>
        <w:tc>
          <w:tcPr>
            <w:tcW w:type="dxa" w:w="381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Tests whether item-level choices carry information the base rates do not. [Reviewed 2]</w:t>
            </w:r>
          </w:p>
        </w:tc>
      </w:tr>
      <w:tr>
        <w:trPr>
          <w:cantSplit/>
          <w:trHeight w:hRule="atLeast"/>
        </w:trPr>
        <w:tc>
          <w:tcPr>
            <w:tcW w:type="dxa" w:w="1728"/>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Robustness</w:t>
            </w:r>
          </w:p>
        </w:tc>
        <w:tc>
          <w:tcPr>
            <w:tcW w:type="dxa" w:w="396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Adaptive-attack success rate as a curve over attacker query budget; cost-amplification factor; proven worst-case per-tenant spend bound; budget-firewall breach count (must be zero). [Reviewed 2]</w:t>
            </w:r>
          </w:p>
        </w:tc>
        <w:tc>
          <w:tcPr>
            <w:tcW w:type="dxa" w:w="381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Determines release safety. The firewall bound is the confirmatory claim; detector numbers are best-effort. [Reviewed 2]</w:t>
            </w:r>
          </w:p>
        </w:tc>
      </w:tr>
    </w:tbl>
    <w:p>
      <w:pPr>
        <w:spacing w:after="0"/>
      </w:pPr>
    </w:p>
    <w:p>
      <w:pPr>
        <w:pStyle w:val="Heading2"/>
      </w:pPr>
      <w:r>
        <w:t>D. Statistical analysis plan</w:t>
      </w:r>
    </w:p>
    <w:p>
      <w:pPr>
        <w:pStyle w:val="ListBullet"/>
        <w:spacing w:after="36" w:line="245" w:lineRule="auto"/>
        <w:ind w:left="317" w:hanging="173"/>
      </w:pPr>
      <w:r>
        <w:rPr>
          <w:rFonts w:ascii="Arial" w:hAnsi="Arial" w:eastAsia="Arial"/>
          <w:sz w:val="18"/>
        </w:rPr>
        <w:t>Use paired comparisons because every router is evaluated on the same items.</w:t>
      </w:r>
    </w:p>
    <w:p>
      <w:pPr>
        <w:pStyle w:val="ListBullet"/>
        <w:spacing w:after="36" w:line="245" w:lineRule="auto"/>
        <w:ind w:left="317" w:hanging="173"/>
      </w:pPr>
      <w:r>
        <w:rPr>
          <w:rFonts w:ascii="Arial" w:hAnsi="Arial" w:eastAsia="Arial"/>
          <w:sz w:val="18"/>
        </w:rPr>
        <w:t>Compute 95% bootstrap confidence intervals by item group, preserving source/template clusters.</w:t>
      </w:r>
    </w:p>
    <w:p>
      <w:pPr>
        <w:pStyle w:val="ListBullet"/>
        <w:spacing w:after="36" w:line="245" w:lineRule="auto"/>
        <w:ind w:left="317" w:hanging="173"/>
      </w:pPr>
      <w:r>
        <w:rPr>
          <w:rFonts w:ascii="Arial" w:hAnsi="Arial" w:eastAsia="Arial"/>
          <w:sz w:val="18"/>
        </w:rPr>
        <w:t>For paired binary non-inferiority use a paired-difference score interval (Tango/Nam). McNemar's chi-square is a SUPERIORITY test and is not interchangeable with it. [Reviewed 2]</w:t>
      </w:r>
    </w:p>
    <w:p>
      <w:pPr>
        <w:pStyle w:val="ListBullet"/>
        <w:spacing w:after="36" w:line="245" w:lineRule="auto"/>
        <w:ind w:left="317" w:hanging="173"/>
      </w:pPr>
      <w:r>
        <w:rPr>
          <w:rFonts w:ascii="Arial" w:hAnsi="Arial" w:eastAsia="Arial"/>
          <w:sz w:val="18"/>
        </w:rPr>
        <w:t>Use the pilot to estimate variance and choose the main-study item count before opening the final test.</w:t>
      </w:r>
    </w:p>
    <w:p>
      <w:pPr>
        <w:pStyle w:val="ListBullet"/>
        <w:spacing w:after="36" w:line="245" w:lineRule="auto"/>
        <w:ind w:left="317" w:hanging="173"/>
      </w:pPr>
      <w:r>
        <w:rPr>
          <w:rFonts w:ascii="Arial" w:hAnsi="Arial" w:eastAsia="Arial"/>
          <w:sz w:val="18"/>
        </w:rPr>
        <w:t>One primary endpoint at alpha = 0.025 one-sided; H-S1 to H-S3 in a fixed-sequence gatekeeping chain at the same alpha; exploratory families under Benjamini-Hochberg q* = 0.05. The v1.1 mixture of p &lt; 0.05, p &lt; 0.01 and BH q* = 0.05 with no hierarchy is withdrawn. [Reviewed 2]</w:t>
      </w:r>
    </w:p>
    <w:p>
      <w:pPr>
        <w:pStyle w:val="ListBullet"/>
        <w:spacing w:after="36" w:line="245" w:lineRule="auto"/>
        <w:ind w:left="317" w:hanging="173"/>
      </w:pPr>
      <w:r>
        <w:rPr>
          <w:rFonts w:ascii="Arial" w:hAnsi="Arial" w:eastAsia="Arial"/>
          <w:sz w:val="18"/>
        </w:rPr>
        <w:t>Report effect sizes and intervals, not only p-values.</w:t>
      </w:r>
    </w:p>
    <w:p>
      <w:pPr>
        <w:pStyle w:val="ListBullet"/>
        <w:spacing w:after="36" w:line="245" w:lineRule="auto"/>
        <w:ind w:left="317" w:hanging="173"/>
      </w:pPr>
      <w:r>
        <w:rPr>
          <w:rFonts w:ascii="Arial" w:hAnsi="Arial" w:eastAsia="Arial"/>
          <w:sz w:val="18"/>
        </w:rPr>
        <w:t>Report domain-stratified and OOD results even when aggregate metrics are favorable.</w:t>
      </w:r>
    </w:p>
    <w:p>
      <w:pPr>
        <w:pStyle w:val="ListBullet"/>
        <w:spacing w:after="36" w:line="245" w:lineRule="auto"/>
        <w:ind w:left="317" w:hanging="173"/>
      </w:pPr>
      <w:r>
        <w:rPr>
          <w:rFonts w:ascii="Arial" w:hAnsi="Arial" w:eastAsia="Arial"/>
          <w:sz w:val="18"/>
        </w:rPr>
        <w:t>Missingness rule (declared, not deferred): intention-to-treat is primary - a provider failure on the configuration a policy selected counts as a failure for that policy - with a per-protocol sensitivity analysis excluding documented outages. [Reviewed 2]</w:t>
      </w:r>
    </w:p>
    <w:p>
      <w:pPr>
        <w:pStyle w:val="ListBullet"/>
        <w:spacing w:after="36" w:line="245" w:lineRule="auto"/>
        <w:ind w:left="317" w:hanging="173"/>
      </w:pPr>
      <w:r>
        <w:rPr>
          <w:rFonts w:ascii="Arial" w:hAnsi="Arial" w:eastAsia="Arial"/>
          <w:sz w:val="18"/>
        </w:rPr>
        <w:t>Test the primary cost endpoint as a RATIO OF TOTALS by split-group cluster bootstrap. Do not use Wilcoxon signed-rank for it: on heavy-tailed cost data the median shift and the ratio of totals can disagree in sign. [Reviewed 2]</w:t>
      </w:r>
    </w:p>
    <w:p>
      <w:pPr>
        <w:pStyle w:val="ListBullet"/>
        <w:spacing w:after="36" w:line="245" w:lineRule="auto"/>
        <w:ind w:left="317" w:hanging="173"/>
      </w:pPr>
      <w:r>
        <w:rPr>
          <w:rFonts w:ascii="Arial" w:hAnsi="Arial" w:eastAsia="Arial"/>
          <w:sz w:val="18"/>
        </w:rPr>
        <w:t>Aggregate repeats to per-item means, or use a mixed-effects model. Repeats are nested, not independent. [Reviewed 2]</w:t>
      </w:r>
    </w:p>
    <w:p>
      <w:pPr>
        <w:pStyle w:val="ListBullet"/>
        <w:spacing w:after="36" w:line="245" w:lineRule="auto"/>
        <w:ind w:left="317" w:hanging="173"/>
      </w:pPr>
      <w:r>
        <w:rPr>
          <w:rFonts w:ascii="Arial" w:hAnsi="Arial" w:eastAsia="Arial"/>
          <w:sz w:val="18"/>
        </w:rPr>
        <w:t>Bootstrap by CLUSTER (split-group), not stratified by it; stratified resampling is anti-conservative under exactly the clustering the leakage design introduces. [Reviewed 2]</w:t>
      </w:r>
    </w:p>
    <w:p>
      <w:pPr>
        <w:pStyle w:val="ListBullet"/>
        <w:spacing w:after="36" w:line="245" w:lineRule="auto"/>
        <w:ind w:left="317" w:hanging="173"/>
      </w:pPr>
      <w:r>
        <w:rPr>
          <w:rFonts w:ascii="Arial" w:hAnsi="Arial" w:eastAsia="Arial"/>
          <w:sz w:val="18"/>
        </w:rPr>
        <w:t>Report the design effect DEFF = 1 + (m-1)*ICC used in the power calculation, with m and ICC estimated from the pilot. [Reviewed 2]</w:t>
      </w:r>
    </w:p>
    <w:p>
      <w:pPr>
        <w:pStyle w:val="Heading2"/>
      </w:pPr>
      <w:r>
        <w:t>E. Leakage checklist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2263A"/>
            <w:tcMar>
              <w:top w:w="85" w:type="dxa"/>
              <w:start w:w="85" w:type="dxa"/>
              <w:bottom w:w="85" w:type="dxa"/>
              <w:end w:w="85" w:type="dxa"/>
            </w:tcMar>
            <w:vAlign w:val="center"/>
          </w:tcPr>
          <w:p>
            <w:pPr>
              <w:jc w:val="left"/>
            </w:pPr>
            <w:r>
              <w:rPr>
                <w:rFonts w:ascii="Arial" w:hAnsi="Arial" w:eastAsia="Arial"/>
                <w:b/>
                <w:color w:val="FFFFFF"/>
                <w:sz w:val="15"/>
              </w:rPr>
              <w:t>Leakage vector</w:t>
            </w:r>
          </w:p>
        </w:tc>
        <w:tc>
          <w:tcPr>
            <w:tcW w:type="dxa" w:w="3240"/>
            <w:shd w:fill="12263A"/>
            <w:tcMar>
              <w:top w:w="85" w:type="dxa"/>
              <w:start w:w="85" w:type="dxa"/>
              <w:bottom w:w="85" w:type="dxa"/>
              <w:end w:w="85" w:type="dxa"/>
            </w:tcMar>
            <w:vAlign w:val="center"/>
          </w:tcPr>
          <w:p>
            <w:pPr>
              <w:jc w:val="left"/>
            </w:pPr>
            <w:r>
              <w:rPr>
                <w:rFonts w:ascii="Arial" w:hAnsi="Arial" w:eastAsia="Arial"/>
                <w:b/>
                <w:color w:val="FFFFFF"/>
                <w:sz w:val="15"/>
              </w:rPr>
              <w:t>Forbidden shortcut</w:t>
            </w:r>
          </w:p>
        </w:tc>
        <w:tc>
          <w:tcPr>
            <w:tcW w:type="dxa" w:w="4320"/>
            <w:shd w:fill="12263A"/>
            <w:tcMar>
              <w:top w:w="85" w:type="dxa"/>
              <w:start w:w="85" w:type="dxa"/>
              <w:bottom w:w="85" w:type="dxa"/>
              <w:end w:w="85" w:type="dxa"/>
            </w:tcMar>
            <w:vAlign w:val="center"/>
          </w:tcPr>
          <w:p>
            <w:pPr>
              <w:jc w:val="left"/>
            </w:pPr>
            <w:r>
              <w:rPr>
                <w:rFonts w:ascii="Arial" w:hAnsi="Arial" w:eastAsia="Arial"/>
                <w:b/>
                <w:color w:val="FFFFFF"/>
                <w:sz w:val="15"/>
              </w:rPr>
              <w:t>Control</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Benchmark identity</w:t>
            </w:r>
          </w:p>
        </w:tc>
        <w:tc>
          <w:tcPr>
            <w:tcW w:type="dxa" w:w="32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Source name directly drives tier.</w:t>
            </w:r>
          </w:p>
        </w:tc>
        <w:tc>
          <w:tcPr>
            <w:tcW w:type="dxa" w:w="432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Strip dataset tags; enforce canonical formatting; cluster-based splitting via MinHash LSH and dense cosine similarity. [Reviewed]</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Template family</w:t>
            </w:r>
          </w:p>
        </w:tc>
        <w:tc>
          <w:tcPr>
            <w:tcW w:type="dxa" w:w="32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Numerical/paraphrase variants cross splits.</w:t>
            </w:r>
          </w:p>
        </w:tc>
        <w:tc>
          <w:tcPr>
            <w:tcW w:type="dxa" w:w="432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Template and semantic near-duplicate grouping.</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Future session state</w:t>
            </w:r>
          </w:p>
        </w:tc>
        <w:tc>
          <w:tcPr>
            <w:tcW w:type="dxa" w:w="32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Router sees messages after the decision point.</w:t>
            </w:r>
          </w:p>
        </w:tc>
        <w:tc>
          <w:tcPr>
            <w:tcW w:type="dxa" w:w="432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Snapshot exact prefix at decision time.</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Realized generation data</w:t>
            </w:r>
          </w:p>
        </w:tc>
        <w:tc>
          <w:tcPr>
            <w:tcW w:type="dxa" w:w="32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Actual output length or grader result enters pre-route features.</w:t>
            </w:r>
          </w:p>
        </w:tc>
        <w:tc>
          <w:tcPr>
            <w:tcW w:type="dxa" w:w="432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Use predicted lengths/features only.</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Model family overlap</w:t>
            </w:r>
          </w:p>
        </w:tc>
        <w:tc>
          <w:tcPr>
            <w:tcW w:type="dxa" w:w="32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Near-identical variants in train and new-model test.</w:t>
            </w:r>
          </w:p>
        </w:tc>
        <w:tc>
          <w:tcPr>
            <w:tcW w:type="dxa" w:w="432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Family-level holdouts.</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Threshold tuning</w:t>
            </w:r>
          </w:p>
        </w:tc>
        <w:tc>
          <w:tcPr>
            <w:tcW w:type="dxa" w:w="32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Test set used to select quality thresholds.</w:t>
            </w:r>
          </w:p>
        </w:tc>
        <w:tc>
          <w:tcPr>
            <w:tcW w:type="dxa" w:w="432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Dedicated calibration partition.</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Oracle outcomes</w:t>
            </w:r>
          </w:p>
        </w:tc>
        <w:tc>
          <w:tcPr>
            <w:tcW w:type="dxa" w:w="324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Router uses all candidate results online.</w:t>
            </w:r>
          </w:p>
        </w:tc>
        <w:tc>
          <w:tcPr>
            <w:tcW w:type="dxa" w:w="432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Oracle is evaluation-only.</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SWE-bench repository state</w:t>
            </w:r>
          </w:p>
        </w:tc>
        <w:tc>
          <w:tcPr>
            <w:tcW w:type="dxa" w:w="324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Agent sees future commits or hidden references.</w:t>
            </w:r>
          </w:p>
        </w:tc>
        <w:tc>
          <w:tcPr>
            <w:tcW w:type="dxa" w:w="432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Pinned isolated harness and tool audit.</w:t>
            </w:r>
          </w:p>
        </w:tc>
      </w:tr>
      <w:tr>
        <w:tc>
          <w:tcPr>
            <w:tcW w:type="dxa" w:w="3389"/>
          </w:tcPr>
          <w:p>
            <w:r>
              <w:t>Selection event (post-selection) [Reviewed 2]</w:t>
            </w:r>
          </w:p>
        </w:tc>
        <w:tc>
          <w:tcPr>
            <w:tcW w:type="dxa" w:w="3389"/>
          </w:tcPr>
          <w:p>
            <w:r>
              <w:t>A per-arm bound is reported as if it held for the arm the router chose. [Reviewed 2]</w:t>
            </w:r>
          </w:p>
        </w:tc>
        <w:tc>
          <w:tcPr>
            <w:tcW w:type="dxa" w:w="3389"/>
          </w:tcPr>
          <w:p>
            <w:r>
              <w:t>Policy-level LTT; loss measured on the selected arm; per-arm CRC kept only as the negative control. [Reviewed 2]</w:t>
            </w:r>
          </w:p>
        </w:tc>
      </w:tr>
      <w:tr>
        <w:tc>
          <w:tcPr>
            <w:tcW w:type="dxa" w:w="3389"/>
          </w:tcPr>
          <w:p>
            <w:r>
              <w:t>Calibration-split reuse [Reviewed 2]</w:t>
            </w:r>
          </w:p>
        </w:tc>
        <w:tc>
          <w:tcPr>
            <w:tcW w:type="dxa" w:w="3389"/>
          </w:tcPr>
          <w:p>
            <w:r>
              <w:t>One calibration split fits per-arm bounds, the policy threshold and the OOD detector. [Reviewed 2]</w:t>
            </w:r>
          </w:p>
        </w:tc>
        <w:tc>
          <w:tcPr>
            <w:tcW w:type="dxa" w:w="3389"/>
          </w:tcPr>
          <w:p>
            <w:r>
              <w:t>Three-way split into CAL-A, CAL-B and CAL-C. [Reviewed 2]</w:t>
            </w:r>
          </w:p>
        </w:tc>
      </w:tr>
      <w:tr>
        <w:tc>
          <w:tcPr>
            <w:tcW w:type="dxa" w:w="3389"/>
          </w:tcPr>
          <w:p>
            <w:r>
              <w:t>Encoder pretraining [Reviewed 2]</w:t>
            </w:r>
          </w:p>
        </w:tc>
        <w:tc>
          <w:tcPr>
            <w:tcW w:type="dxa" w:w="3389"/>
          </w:tcPr>
          <w:p>
            <w:r>
              <w:t>The frozen encoder was pretrained on the same public benchmarks; embeddings may encode benchmark identity even after tag stripping. [Reviewed 2]</w:t>
            </w:r>
          </w:p>
        </w:tc>
        <w:tc>
          <w:tcPr>
            <w:tcW w:type="dxa" w:w="3389"/>
          </w:tcPr>
          <w:p>
            <w:r>
              <w:t>Report the source-probe AUC; debias or declare as a limitation. [Reviewed 2]</w:t>
            </w:r>
          </w:p>
        </w:tc>
      </w:tr>
      <w:tr>
        <w:tc>
          <w:tcPr>
            <w:tcW w:type="dxa" w:w="3389"/>
          </w:tcPr>
          <w:p>
            <w:r>
              <w:t>Repeat grouping [Reviewed 2]</w:t>
            </w:r>
          </w:p>
        </w:tc>
        <w:tc>
          <w:tcPr>
            <w:tcW w:type="dxa" w:w="3389"/>
          </w:tcPr>
          <w:p>
            <w:r>
              <w:t>Repeats of one item straddle TRAIN and TEST. [Reviewed 2]</w:t>
            </w:r>
          </w:p>
        </w:tc>
        <w:tc>
          <w:tcPr>
            <w:tcW w:type="dxa" w:w="3389"/>
          </w:tcPr>
          <w:p>
            <w:r>
              <w:t>Group by item, not by (item, repeat). [Reviewed 2]</w:t>
            </w:r>
          </w:p>
        </w:tc>
      </w:tr>
      <w:tr>
        <w:tc>
          <w:tcPr>
            <w:tcW w:type="dxa" w:w="3389"/>
          </w:tcPr>
          <w:p>
            <w:r>
              <w:t>OOD covariance fitting [Reviewed 2]</w:t>
            </w:r>
          </w:p>
        </w:tc>
        <w:tc>
          <w:tcPr>
            <w:tcW w:type="dxa" w:w="3389"/>
          </w:tcPr>
          <w:p>
            <w:r>
              <w:t>Mahalanobis covariance estimated on the pooled corpus. [Reviewed 2]</w:t>
            </w:r>
          </w:p>
        </w:tc>
        <w:tc>
          <w:tcPr>
            <w:tcW w:type="dxa" w:w="3389"/>
          </w:tcPr>
          <w:p>
            <w:r>
              <w:t>Fit on TRAIN (and CAL-C) only. [Reviewed 2]</w:t>
            </w:r>
          </w:p>
        </w:tc>
      </w:tr>
      <w:tr>
        <w:tc>
          <w:tcPr>
            <w:tcW w:type="dxa" w:w="3389"/>
          </w:tcPr>
          <w:p>
            <w:r>
              <w:t>Provider prompt cache [Reviewed 2]</w:t>
            </w:r>
          </w:p>
        </w:tc>
        <w:tc>
          <w:tcPr>
            <w:tcW w:type="dxa" w:w="3389"/>
          </w:tcPr>
          <w:p>
            <w:r>
              <w:t>Repeated prompts hit provider caches, changing both cost and latency across repeats. [Reviewed 2]</w:t>
            </w:r>
          </w:p>
        </w:tc>
        <w:tc>
          <w:tcPr>
            <w:tcW w:type="dxa" w:w="3389"/>
          </w:tcPr>
          <w:p>
            <w:r>
              <w:t>Randomised no-op prefix, or measure and report cached and uncached economics separately. [Reviewed 2]</w:t>
            </w:r>
          </w:p>
        </w:tc>
      </w:tr>
      <w:tr>
        <w:tc>
          <w:tcPr>
            <w:tcW w:type="dxa" w:w="3389"/>
          </w:tcPr>
          <w:p>
            <w:r>
              <w:t>Adversarial surrogate overlap [Reviewed 2]</w:t>
            </w:r>
          </w:p>
        </w:tc>
        <w:tc>
          <w:tcPr>
            <w:tcW w:type="dxa" w:w="3389"/>
          </w:tcPr>
          <w:p>
            <w:r>
              <w:t>Attacks generated with the same surrogate encoder the defence uses. [Reviewed 2]</w:t>
            </w:r>
          </w:p>
        </w:tc>
        <w:tc>
          <w:tcPr>
            <w:tcW w:type="dxa" w:w="3389"/>
          </w:tcPr>
          <w:p>
            <w:r>
              <w:t>Disjoint surrogate; report white-box and transfer settings separately. [Reviewed 2]</w:t>
            </w:r>
          </w:p>
        </w:tc>
      </w:tr>
      <w:tr>
        <w:tc>
          <w:tcPr>
            <w:tcW w:type="dxa" w:w="3389"/>
          </w:tcPr>
          <w:p>
            <w:r>
              <w:t>Operating-point selection [Reviewed 2]</w:t>
            </w:r>
          </w:p>
        </w:tc>
        <w:tc>
          <w:tcPr>
            <w:tcW w:type="dxa" w:w="3389"/>
          </w:tcPr>
          <w:p>
            <w:r>
              <w:t>The best of several quality operating points is reported as the primary result. [Reviewed 2]</w:t>
            </w:r>
          </w:p>
        </w:tc>
        <w:tc>
          <w:tcPr>
            <w:tcW w:type="dxa" w:w="3389"/>
          </w:tcPr>
          <w:p>
            <w:r>
              <w:t>One pre-registered operating point; the full curve reported as secondary. [Reviewed 2]</w:t>
            </w:r>
          </w:p>
        </w:tc>
      </w:tr>
    </w:tbl>
    <w:p>
      <w:pPr>
        <w:spacing w:after="0"/>
      </w:pPr>
    </w:p>
    <w:p>
      <w:r>
        <w:br w:type="page"/>
      </w:r>
    </w:p>
    <w:p>
      <w:pPr>
        <w:pStyle w:val="Heading1"/>
      </w:pPr>
      <w:r>
        <w:t>Part III - Implementation resources and reproducibility package</w:t>
      </w:r>
    </w:p>
    <w:p>
      <w:pPr>
        <w:pStyle w:val="Heading2"/>
      </w:pPr>
      <w:r>
        <w:t>A. Recommended repository structure</w:t>
      </w:r>
    </w:p>
    <w:tbl>
      <w:tblPr>
        <w:tblW w:type="auto" w:w="0"/>
        <w:jc w:val="center"/>
        <w:tblLook w:firstColumn="1" w:firstRow="1" w:lastColumn="0" w:lastRow="0" w:noHBand="0" w:noVBand="1" w:val="04A0"/>
      </w:tblPr>
      <w:tblGrid>
        <w:gridCol w:w="10166"/>
      </w:tblGrid>
      <w:tr>
        <w:tc>
          <w:tcPr>
            <w:tcW w:type="dxa" w:w="10166"/>
            <w:shd w:fill="263238"/>
            <w:tcBorders>
              <w:top w:val="single" w:sz="4" w:color="263238"/>
              <w:left w:val="single" w:sz="4" w:color="263238"/>
              <w:bottom w:val="single" w:sz="4" w:color="263238"/>
              <w:right w:val="single" w:sz="4" w:color="263238"/>
            </w:tcBorders>
            <w:tcMar>
              <w:top w:w="120" w:type="dxa"/>
              <w:start w:w="140" w:type="dxa"/>
              <w:bottom w:w="120" w:type="dxa"/>
              <w:end w:w="140" w:type="dxa"/>
            </w:tcMar>
          </w:tcPr>
          <w:p>
            <w:pPr>
              <w:spacing w:after="0"/>
            </w:pPr>
            <w:r>
              <w:rPr>
                <w:rFonts w:ascii="Liberation Mono" w:hAnsi="Liberation Mono" w:eastAsia="Liberation Mono"/>
                <w:color w:val="FFFFFF"/>
                <w:sz w:val="15"/>
              </w:rPr>
              <w:t>router-research/</w:t>
              <w:br/>
              <w:t>|-- PROTOCOL.md                    # ONE endpoint, budget, N, alpha hierarchy, missingness, stop rules  [Reviewed 2]</w:t>
              <w:br/>
              <w:t>|-- CHANGELOG.md</w:t>
              <w:br/>
              <w:t>|-- REPRODUCE.md                   # one command regenerates every table  [Reviewed 2]</w:t>
              <w:br/>
              <w:t>|-- pyproject.toml / lockfile</w:t>
              <w:br/>
              <w:t>|-- configs/</w:t>
              <w:br/>
              <w:t>|   |-- models/  datasets/  graders/  service_profiles/  experiments/</w:t>
              <w:br/>
              <w:t>|   |-- prompts/                   # content-hashed system + task templates  [Reviewed 2]</w:t>
              <w:br/>
              <w:t>|   +-- price_scenarios/           # rho_0 and the rho sweep  [Reviewed 2]</w:t>
              <w:br/>
              <w:t>|-- provenance/</w:t>
              <w:br/>
              <w:t>|   |-- source_registry.parquet  licenses/  checksums/  provider_snapshots/</w:t>
              <w:br/>
              <w:t>|   |-- use_allowlist.yaml         # what may enter training/eval</w:t>
              <w:br/>
              <w:t>|   +-- release_allowlist.yaml     # what may be PUBLISHED  [Reviewed 2]</w:t>
              <w:br/>
              <w:t>|-- data/</w:t>
              <w:br/>
              <w:t>|   |-- raw_restricted/  canonical/  derived/</w:t>
              <w:br/>
              <w:t>|   +-- splits/                    # TRAIN CAL-A CAL-B CAL-C TEST NEW-DOMAIN NEW-FAMILY ADVERSARIAL  [Reviewed 2]</w:t>
              <w:br/>
              <w:t>|-- src/</w:t>
              <w:br/>
              <w:t>|   |-- registry/  collectors/  graders/  features/  difficulty/  predictors/</w:t>
              <w:br/>
              <w:t>|   |-- calibration/</w:t>
              <w:br/>
              <w:t>|   |   |-- conformal.py           # per-arm CRC - kept as the NEGATIVE CONTROL  [Reviewed 2]</w:t>
              <w:br/>
              <w:t>|   |   +-- ltt_policy.py          # CORE: policy-level LTT, FWER over the lambda grid  [Reviewed 2]</w:t>
              <w:br/>
              <w:t>|   |-- ood/                       # Mahalanobis, fitted on TRAIN/CAL-C only  [Reviewed 2]</w:t>
              <w:br/>
              <w:t>|   |-- optimizer/  verification/  gateway/</w:t>
              <w:br/>
              <w:t>|   |-- firewall/                  # per-request/session/user/tenant hard ceilings  [Reviewed 2]</w:t>
              <w:br/>
              <w:t>|   +-- attacks/                   # ADAPTIVE gadget optimiser, defence in the loop  [Reviewed 2]</w:t>
              <w:br/>
              <w:t>|-- analysis/                      # separate from experiment code  [Reviewed 2]</w:t>
              <w:br/>
              <w:t>|   |-- oracle.py                  # ex-post AND split-repeat estimators  [Reviewed 2]</w:t>
              <w:br/>
              <w:t>|   |-- metrics.py                 # within-item AUC, cheapest-successful recall, PGR/APGR/CPT  [Reviewed 2]</w:t>
              <w:br/>
              <w:t>|   |-- bootstrap.py               # cluster bootstrap of the ratio of totals  [Reviewed 2]</w:t>
              <w:br/>
              <w:t>|   +-- power.py                   # pre-freeze power computation  [Reviewed 2]</w:t>
              <w:br/>
              <w:t>|-- tests/</w:t>
              <w:br/>
              <w:t>|   |-- unit/  integration/  leakage/  adversarial/  gold_controls/</w:t>
              <w:br/>
              <w:t>|   +-- calibration/               # simulation-based validity tests for ltt_policy  [Reviewed 2]</w:t>
              <w:br/>
              <w:t>|-- experiments/E0...E8/</w:t>
              <w:br/>
              <w:t>|-- artifacts/{tables,figures,model_cards,reports}/</w:t>
              <w:br/>
              <w:t>+-- paper/{manuscript,references.bib,reproducibility_appendix}/</w:t>
            </w:r>
          </w:p>
        </w:tc>
      </w:tr>
    </w:tbl>
    <w:p>
      <w:pPr>
        <w:spacing w:after="0"/>
      </w:pPr>
    </w:p>
    <w:p>
      <w:pPr>
        <w:pStyle w:val="Heading2"/>
      </w:pPr>
      <w:r>
        <w:t>B. Canonical evaluation record</w:t>
      </w:r>
    </w:p>
    <w:tbl>
      <w:tblPr>
        <w:tblW w:type="auto" w:w="0"/>
        <w:jc w:val="center"/>
        <w:tblLook w:firstColumn="1" w:firstRow="1" w:lastColumn="0" w:lastRow="0" w:noHBand="0" w:noVBand="1" w:val="04A0"/>
      </w:tblPr>
      <w:tblGrid>
        <w:gridCol w:w="10166"/>
      </w:tblGrid>
      <w:tr>
        <w:tc>
          <w:tcPr>
            <w:tcW w:type="dxa" w:w="10166"/>
            <w:shd w:fill="263238"/>
            <w:tcBorders>
              <w:top w:val="single" w:sz="4" w:color="263238"/>
              <w:left w:val="single" w:sz="4" w:color="263238"/>
              <w:bottom w:val="single" w:sz="4" w:color="263238"/>
              <w:right w:val="single" w:sz="4" w:color="263238"/>
            </w:tcBorders>
            <w:tcMar>
              <w:top w:w="120" w:type="dxa"/>
              <w:start w:w="140" w:type="dxa"/>
              <w:bottom w:w="120" w:type="dxa"/>
              <w:end w:w="140" w:type="dxa"/>
            </w:tcMar>
          </w:tcPr>
          <w:p>
            <w:pPr>
              <w:spacing w:after="0"/>
            </w:pPr>
            <w:r>
              <w:rPr>
                <w:rFonts w:ascii="Liberation Mono" w:hAnsi="Liberation Mono" w:eastAsia="Liberation Mono"/>
                <w:color w:val="FFFFFF"/>
                <w:sz w:val="15"/>
              </w:rPr>
              <w:t>{</w:t>
              <w:br/>
              <w:t xml:space="preserve">  "item_id": "benchmark/revision/item",</w:t>
              <w:br/>
              <w:t xml:space="preserve">  "split_group_id": "source-template-group",</w:t>
              <w:br/>
              <w:t xml:space="preserve">  "request_snapshot_id": "hash",</w:t>
              <w:br/>
              <w:t xml:space="preserve">  "domain": "coding",</w:t>
              <w:br/>
              <w:t xml:space="preserve">  "capability_tags": ["debugging", "concurrency"],</w:t>
              <w:br/>
              <w:t xml:space="preserve">  "configuration_id": "provider/model/version/effort/budget/profile",</w:t>
              <w:br/>
              <w:t xml:space="preserve">  "prompt_template_hash": "sha256:...",            // [Reviewed 2]</w:t>
              <w:br/>
              <w:t xml:space="preserve">  "decoding": {"temperature": 0.0, "top_p": 1.0, "max_tokens": 4096},   // [Reviewed 2]</w:t>
              <w:br/>
              <w:t xml:space="preserve">  "repeat_id": 1,</w:t>
              <w:br/>
              <w:t xml:space="preserve">  "requested_seed": 42,                            // [Reviewed 2] renamed</w:t>
              <w:br/>
              <w:t xml:space="preserve">  "provider_honors_seed": false,                   // [Reviewed 2] closed APIs often do not</w:t>
              <w:br/>
              <w:t xml:space="preserve">  "raw_response_ref": "object://restricted/...",</w:t>
              <w:br/>
              <w:t xml:space="preserve">  "score": 1.0,</w:t>
              <w:br/>
              <w:t xml:space="preserve">  "passed": true,</w:t>
              <w:br/>
              <w:t xml:space="preserve">  "grader_id": "unit-tests/v3",</w:t>
              <w:br/>
              <w:t xml:space="preserve">  "grader_confidence": 1.0,</w:t>
              <w:br/>
              <w:t xml:space="preserve">  "grader_fp_rate": 0.004,                         // [Reviewed 2] label-noise ceiling</w:t>
              <w:br/>
              <w:t xml:space="preserve">  "grader_fn_rate": 0.011,                         // [Reviewed 2]</w:t>
              <w:br/>
              <w:t xml:space="preserve">  "prompt_tokens": 1234,</w:t>
              <w:br/>
              <w:t xml:space="preserve">  "cached_prompt_tokens": 0,                       // [Reviewed 2] cache economics</w:t>
              <w:br/>
              <w:t xml:space="preserve">  "completion_tokens": 456,</w:t>
              <w:br/>
              <w:t xml:space="preserve">  "reasoning_tokens": 0,                           // [Reviewed 2] REQUIRED, not nullable</w:t>
              <w:br/>
              <w:t xml:space="preserve">  "cost_usd_at_snapshot": 0.0123,                  // [Reviewed 2] cost is price-vector-relative</w:t>
              <w:br/>
              <w:t xml:space="preserve">  "price_snapshot_id": "prices-2026-08-19",        // [Reviewed 2]</w:t>
              <w:br/>
              <w:t xml:space="preserve">  "model_cutoff_known": "2025-10",                 // [Reviewed 2] per-cell freshness</w:t>
              <w:br/>
              <w:t xml:space="preserve">  "latency_ms": 1840,</w:t>
              <w:br/>
              <w:t xml:space="preserve">  "provider_status": "ok",</w:t>
              <w:br/>
              <w:t xml:space="preserve">  "timestamp_utc": "..."</w:t>
              <w:br/>
              <w:t>}</w:t>
            </w:r>
          </w:p>
        </w:tc>
      </w:tr>
    </w:tbl>
    <w:p>
      <w:pPr>
        <w:spacing w:after="0"/>
      </w:pPr>
    </w:p>
    <w:p>
      <w:pPr>
        <w:pStyle w:val="Heading2"/>
      </w:pPr>
      <w:r>
        <w:t>C. Route-event record</w:t>
      </w:r>
    </w:p>
    <w:tbl>
      <w:tblPr>
        <w:tblW w:type="auto" w:w="0"/>
        <w:jc w:val="center"/>
        <w:tblLook w:firstColumn="1" w:firstRow="1" w:lastColumn="0" w:lastRow="0" w:noHBand="0" w:noVBand="1" w:val="04A0"/>
      </w:tblPr>
      <w:tblGrid>
        <w:gridCol w:w="10166"/>
      </w:tblGrid>
      <w:tr>
        <w:tc>
          <w:tcPr>
            <w:tcW w:type="dxa" w:w="10166"/>
            <w:shd w:fill="263238"/>
            <w:tcBorders>
              <w:top w:val="single" w:sz="4" w:color="263238"/>
              <w:left w:val="single" w:sz="4" w:color="263238"/>
              <w:bottom w:val="single" w:sz="4" w:color="263238"/>
              <w:right w:val="single" w:sz="4" w:color="263238"/>
            </w:tcBorders>
            <w:tcMar>
              <w:top w:w="120" w:type="dxa"/>
              <w:start w:w="140" w:type="dxa"/>
              <w:bottom w:w="120" w:type="dxa"/>
              <w:end w:w="140" w:type="dxa"/>
            </w:tcMar>
          </w:tcPr>
          <w:p>
            <w:pPr>
              <w:spacing w:after="0"/>
            </w:pPr>
            <w:r>
              <w:rPr>
                <w:rFonts w:ascii="Liberation Mono" w:hAnsi="Liberation Mono" w:eastAsia="Liberation Mono"/>
                <w:color w:val="FFFFFF"/>
                <w:sz w:val="15"/>
              </w:rPr>
              <w:t>{</w:t>
              <w:br/>
              <w:t xml:space="preserve">  "router_release": "router-v2.0.0",</w:t>
              <w:br/>
              <w:t xml:space="preserve">  "model_registry_version": "registry-2026-08-19",</w:t>
              <w:br/>
              <w:t xml:space="preserve">  "lambda_id": "ltt-lambda-0042",                  // [Reviewed 2] policy parameter chosen by LTT</w:t>
              <w:br/>
              <w:t xml:space="preserve">  "calibration_scope": "policy",                   // [Reviewed 2] "policy" | "per_arm" (control only)</w:t>
              <w:br/>
              <w:t xml:space="preserve">  "service_profile": "balanced",</w:t>
              <w:br/>
              <w:t xml:space="preserve">  "redacted_request_ref": "...",</w:t>
              <w:br/>
              <w:t xml:space="preserve">  "ood_score": 0.14,</w:t>
              <w:br/>
              <w:t xml:space="preserve">  "ood_action": "none",                            // [Reviewed 2] none | bounded_fallback | abstain</w:t>
              <w:br/>
              <w:t xml:space="preserve">  "candidate_predictions": [</w:t>
              <w:br/>
              <w:t xml:space="preserve">    {"configuration_id": "A", "success_score": 0.94,</w:t>
              <w:br/>
              <w:t xml:space="preserve">     "expected_total_cost": 0.003, "expected_latency_ms": 900},</w:t>
              <w:br/>
              <w:t xml:space="preserve">    {"configuration_id": "B", "success_score": 0.97,</w:t>
              <w:br/>
              <w:t xml:space="preserve">     "expected_total_cost": 0.010, "expected_latency_ms": 2100}</w:t>
              <w:br/>
              <w:t xml:space="preserve">  ],</w:t>
              <w:br/>
              <w:t xml:space="preserve">  "selected_configuration": "B",</w:t>
              <w:br/>
              <w:t xml:space="preserve">  "decision_reason_codes": ["QUALITY_FLOOR", "MIN_EXPECTED_COST"],</w:t>
              <w:br/>
              <w:t xml:space="preserve">  "verification": "unit-tests",</w:t>
              <w:br/>
              <w:t xml:space="preserve">  "escalation_count": 0,</w:t>
              <w:br/>
              <w:t xml:space="preserve">  "firewall_authorization": "ok"                   // [Reviewed 2]</w:t>
              <w:br/>
              <w:t>}</w:t>
            </w:r>
          </w:p>
        </w:tc>
      </w:tr>
    </w:tbl>
    <w:p>
      <w:pPr>
        <w:spacing w:after="0"/>
      </w:pPr>
    </w:p>
    <w:p>
      <w:pPr>
        <w:pStyle w:val="Heading2"/>
      </w:pPr>
      <w:r>
        <w:t>D. Technology choices for the first implementation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2263A"/>
            <w:tcMar>
              <w:top w:w="85" w:type="dxa"/>
              <w:start w:w="85" w:type="dxa"/>
              <w:bottom w:w="85" w:type="dxa"/>
              <w:end w:w="85" w:type="dxa"/>
            </w:tcMar>
            <w:vAlign w:val="center"/>
          </w:tcPr>
          <w:p>
            <w:pPr>
              <w:jc w:val="left"/>
            </w:pPr>
            <w:r>
              <w:rPr>
                <w:rFonts w:ascii="Arial" w:hAnsi="Arial" w:eastAsia="Arial"/>
                <w:b/>
                <w:color w:val="FFFFFF"/>
                <w:sz w:val="15"/>
              </w:rPr>
              <w:t>Layer</w:t>
            </w:r>
          </w:p>
        </w:tc>
        <w:tc>
          <w:tcPr>
            <w:tcW w:type="dxa" w:w="3671"/>
            <w:shd w:fill="12263A"/>
            <w:tcMar>
              <w:top w:w="85" w:type="dxa"/>
              <w:start w:w="85" w:type="dxa"/>
              <w:bottom w:w="85" w:type="dxa"/>
              <w:end w:w="85" w:type="dxa"/>
            </w:tcMar>
            <w:vAlign w:val="center"/>
          </w:tcPr>
          <w:p>
            <w:pPr>
              <w:jc w:val="left"/>
            </w:pPr>
            <w:r>
              <w:rPr>
                <w:rFonts w:ascii="Arial" w:hAnsi="Arial" w:eastAsia="Arial"/>
                <w:b/>
                <w:color w:val="FFFFFF"/>
                <w:sz w:val="15"/>
              </w:rPr>
              <w:t>Recommended starting choice</w:t>
            </w:r>
          </w:p>
        </w:tc>
        <w:tc>
          <w:tcPr>
            <w:tcW w:type="dxa" w:w="4031"/>
            <w:shd w:fill="12263A"/>
            <w:tcMar>
              <w:top w:w="85" w:type="dxa"/>
              <w:start w:w="85" w:type="dxa"/>
              <w:bottom w:w="85" w:type="dxa"/>
              <w:end w:w="85" w:type="dxa"/>
            </w:tcMar>
            <w:vAlign w:val="center"/>
          </w:tcPr>
          <w:p>
            <w:pPr>
              <w:jc w:val="left"/>
            </w:pPr>
            <w:r>
              <w:rPr>
                <w:rFonts w:ascii="Arial" w:hAnsi="Arial" w:eastAsia="Arial"/>
                <w:b/>
                <w:color w:val="FFFFFF"/>
                <w:sz w:val="15"/>
              </w:rPr>
              <w:t>Reason</w:t>
            </w:r>
          </w:p>
        </w:tc>
      </w:tr>
      <w:tr>
        <w:trPr>
          <w:cantSplit/>
          <w:trHeight w:hRule="atLeast"/>
        </w:trPr>
        <w:tc>
          <w:tcPr>
            <w:tcW w:type="dxa" w:w="180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Research scaffold</w:t>
            </w:r>
          </w:p>
        </w:tc>
        <w:tc>
          <w:tcPr>
            <w:tcW w:type="dxa" w:w="367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LLMRouter plus selected LLMRouterBench adaptors</w:t>
            </w:r>
          </w:p>
        </w:tc>
        <w:tc>
          <w:tcPr>
            <w:tcW w:type="dxa" w:w="403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Avoid rebuilding collection/evaluation plumbing before validating the experiment.</w:t>
            </w:r>
          </w:p>
        </w:tc>
      </w:tr>
      <w:tr>
        <w:trPr>
          <w:cantSplit/>
          <w:trHeight w:hRule="atLeast"/>
        </w:trPr>
        <w:tc>
          <w:tcPr>
            <w:tcW w:type="dxa" w:w="180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Tabular storage</w:t>
            </w:r>
          </w:p>
        </w:tc>
        <w:tc>
          <w:tcPr>
            <w:tcW w:type="dxa" w:w="367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Parquet + DuckDB</w:t>
            </w:r>
          </w:p>
        </w:tc>
        <w:tc>
          <w:tcPr>
            <w:tcW w:type="dxa" w:w="403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Efficient item-level matrices and reproducible analytical queries.</w:t>
            </w:r>
          </w:p>
        </w:tc>
      </w:tr>
      <w:tr>
        <w:trPr>
          <w:cantSplit/>
          <w:trHeight w:hRule="atLeast"/>
        </w:trPr>
        <w:tc>
          <w:tcPr>
            <w:tcW w:type="dxa" w:w="180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Registry</w:t>
            </w:r>
          </w:p>
        </w:tc>
        <w:tc>
          <w:tcPr>
            <w:tcW w:type="dxa" w:w="367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PostgreSQL or versioned YAML/Parquet for early work</w:t>
            </w:r>
          </w:p>
        </w:tc>
        <w:tc>
          <w:tcPr>
            <w:tcW w:type="dxa" w:w="403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Keep model/provider facts separate from learned weights.</w:t>
            </w:r>
          </w:p>
        </w:tc>
      </w:tr>
      <w:tr>
        <w:trPr>
          <w:cantSplit/>
          <w:trHeight w:hRule="atLeast"/>
        </w:trPr>
        <w:tc>
          <w:tcPr>
            <w:tcW w:type="dxa" w:w="180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Raw artifacts</w:t>
            </w:r>
          </w:p>
        </w:tc>
        <w:tc>
          <w:tcPr>
            <w:tcW w:type="dxa" w:w="367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Access-controlled object storage</w:t>
            </w:r>
          </w:p>
        </w:tc>
        <w:tc>
          <w:tcPr>
            <w:tcW w:type="dxa" w:w="403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Large outputs and restricted data should not live in Git.</w:t>
            </w:r>
          </w:p>
        </w:tc>
      </w:tr>
      <w:tr>
        <w:trPr>
          <w:cantSplit/>
          <w:trHeight w:hRule="atLeast"/>
        </w:trPr>
        <w:tc>
          <w:tcPr>
            <w:tcW w:type="dxa" w:w="180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Training</w:t>
            </w:r>
          </w:p>
        </w:tc>
        <w:tc>
          <w:tcPr>
            <w:tcW w:type="dxa" w:w="367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scikit-learn + PyTorch</w:t>
            </w:r>
          </w:p>
        </w:tc>
        <w:tc>
          <w:tcPr>
            <w:tcW w:type="dxa" w:w="403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Interpretable baselines first, neural models only after evidence.</w:t>
            </w:r>
          </w:p>
        </w:tc>
      </w:tr>
      <w:tr>
        <w:trPr>
          <w:cantSplit/>
          <w:trHeight w:hRule="atLeast"/>
        </w:trPr>
        <w:tc>
          <w:tcPr>
            <w:tcW w:type="dxa" w:w="180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Serving</w:t>
            </w:r>
          </w:p>
        </w:tc>
        <w:tc>
          <w:tcPr>
            <w:tcW w:type="dxa" w:w="367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FastAPI/OpenAI-compatible gateway with async clients</w:t>
            </w:r>
          </w:p>
        </w:tc>
        <w:tc>
          <w:tcPr>
            <w:tcW w:type="dxa" w:w="403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Straightforward integration, timeouts, cancellation, and observability.</w:t>
            </w:r>
          </w:p>
        </w:tc>
      </w:tr>
      <w:tr>
        <w:trPr>
          <w:cantSplit/>
          <w:trHeight w:hRule="atLeast"/>
        </w:trPr>
        <w:tc>
          <w:tcPr>
            <w:tcW w:type="dxa" w:w="180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Caching</w:t>
            </w:r>
          </w:p>
        </w:tc>
        <w:tc>
          <w:tcPr>
            <w:tcW w:type="dxa" w:w="367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Redis or local cache for repeatable development</w:t>
            </w:r>
          </w:p>
        </w:tc>
        <w:tc>
          <w:tcPr>
            <w:tcW w:type="dxa" w:w="403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Reduce duplicate API calls while preserving cache provenance.</w:t>
            </w:r>
          </w:p>
        </w:tc>
      </w:tr>
      <w:tr>
        <w:trPr>
          <w:cantSplit/>
          <w:trHeight w:hRule="atLeast"/>
        </w:trPr>
        <w:tc>
          <w:tcPr>
            <w:tcW w:type="dxa" w:w="1800"/>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Containers</w:t>
            </w:r>
          </w:p>
        </w:tc>
        <w:tc>
          <w:tcPr>
            <w:tcW w:type="dxa" w:w="367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Docker with pinned image digests</w:t>
            </w:r>
          </w:p>
        </w:tc>
        <w:tc>
          <w:tcPr>
            <w:tcW w:type="dxa" w:w="4031"/>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Reproducible graders and software-engineering benchmarks.</w:t>
            </w:r>
          </w:p>
        </w:tc>
      </w:tr>
      <w:tr>
        <w:trPr>
          <w:cantSplit/>
          <w:trHeight w:hRule="atLeast"/>
        </w:trPr>
        <w:tc>
          <w:tcPr>
            <w:tcW w:type="dxa" w:w="1800"/>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5"/>
              </w:rPr>
              <w:t>Secrets</w:t>
            </w:r>
          </w:p>
        </w:tc>
        <w:tc>
          <w:tcPr>
            <w:tcW w:type="dxa" w:w="367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Server-side environment/secret manager</w:t>
            </w:r>
          </w:p>
        </w:tc>
        <w:tc>
          <w:tcPr>
            <w:tcW w:type="dxa" w:w="4031"/>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Never place provider keys in client code, data, or logs.</w:t>
            </w:r>
          </w:p>
        </w:tc>
      </w:tr>
    </w:tbl>
    <w:p>
      <w:pPr>
        <w:spacing w:after="0"/>
      </w:pPr>
    </w:p>
    <w:p>
      <w:pPr>
        <w:pStyle w:val="Heading2"/>
      </w:pPr>
      <w:r>
        <w:t>E. Master resource catalog</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91"/>
            <w:shd w:fill="12263A"/>
            <w:tcMar>
              <w:top w:w="80" w:type="dxa"/>
              <w:start w:w="65" w:type="dxa"/>
              <w:bottom w:w="80" w:type="dxa"/>
              <w:end w:w="65" w:type="dxa"/>
            </w:tcMar>
          </w:tcPr>
          <w:p>
            <w:r>
              <w:rPr>
                <w:rFonts w:ascii="Arial" w:hAnsi="Arial" w:eastAsia="Arial"/>
                <w:b/>
                <w:color w:val="FFFFFF"/>
                <w:sz w:val="14"/>
              </w:rPr>
              <w:t>ID</w:t>
            </w:r>
          </w:p>
        </w:tc>
        <w:tc>
          <w:tcPr>
            <w:tcW w:type="dxa" w:w="2592"/>
            <w:shd w:fill="12263A"/>
            <w:tcMar>
              <w:top w:w="80" w:type="dxa"/>
              <w:start w:w="65" w:type="dxa"/>
              <w:bottom w:w="80" w:type="dxa"/>
              <w:end w:w="65" w:type="dxa"/>
            </w:tcMar>
          </w:tcPr>
          <w:p>
            <w:r>
              <w:rPr>
                <w:rFonts w:ascii="Arial" w:hAnsi="Arial" w:eastAsia="Arial"/>
                <w:b/>
                <w:color w:val="FFFFFF"/>
                <w:sz w:val="14"/>
              </w:rPr>
              <w:t>Source</w:t>
            </w:r>
          </w:p>
        </w:tc>
        <w:tc>
          <w:tcPr>
            <w:tcW w:type="dxa" w:w="1800"/>
            <w:shd w:fill="12263A"/>
            <w:tcMar>
              <w:top w:w="80" w:type="dxa"/>
              <w:start w:w="65" w:type="dxa"/>
              <w:bottom w:w="80" w:type="dxa"/>
              <w:end w:w="65" w:type="dxa"/>
            </w:tcMar>
          </w:tcPr>
          <w:p>
            <w:r>
              <w:rPr>
                <w:rFonts w:ascii="Arial" w:hAnsi="Arial" w:eastAsia="Arial"/>
                <w:b/>
                <w:color w:val="FFFFFF"/>
                <w:sz w:val="14"/>
              </w:rPr>
              <w:t>Use</w:t>
            </w:r>
          </w:p>
        </w:tc>
        <w:tc>
          <w:tcPr>
            <w:tcW w:type="dxa" w:w="2620"/>
            <w:shd w:fill="12263A"/>
            <w:tcMar>
              <w:top w:w="80" w:type="dxa"/>
              <w:start w:w="65" w:type="dxa"/>
              <w:bottom w:w="80" w:type="dxa"/>
              <w:end w:w="65" w:type="dxa"/>
            </w:tcMar>
          </w:tcPr>
          <w:p>
            <w:r>
              <w:rPr>
                <w:rFonts w:ascii="Arial" w:hAnsi="Arial" w:eastAsia="Arial"/>
                <w:b/>
                <w:color w:val="FFFFFF"/>
                <w:sz w:val="14"/>
              </w:rPr>
              <w:t>Access points</w:t>
            </w:r>
          </w:p>
        </w:tc>
        <w:tc>
          <w:tcPr>
            <w:tcW w:type="dxa" w:w="1843"/>
            <w:shd w:fill="12263A"/>
            <w:tcMar>
              <w:top w:w="80" w:type="dxa"/>
              <w:start w:w="65" w:type="dxa"/>
              <w:bottom w:w="80" w:type="dxa"/>
              <w:end w:w="65" w:type="dxa"/>
            </w:tcMar>
          </w:tcPr>
          <w:p>
            <w:r>
              <w:rPr>
                <w:rFonts w:ascii="Arial" w:hAnsi="Arial" w:eastAsia="Arial"/>
                <w:b/>
                <w:color w:val="FFFFFF"/>
                <w:sz w:val="14"/>
              </w:rPr>
              <w:t>Status</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Feng et al. (2026), LLMRouter</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Framework / infrastructure</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13">
              <w:r>
                <w:rPr>
                  <w:rFonts w:ascii="Arial" w:hAnsi="Arial"/>
                  <w:color w:val="167C80"/>
                  <w:u w:val="single"/>
                  <w:b/>
                  <w:sz w:val="13"/>
                </w:rPr>
                <w:t>Primary</w:t>
              </w:r>
            </w:hyperlink>
            <w:r>
              <w:t xml:space="preserve">  |  </w:t>
            </w:r>
            <w:hyperlink r:id="rId14">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MIT code; verify bundled data</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Li et al. (2026), LLMRouterBench</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Benchmark / baselines</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19">
              <w:r>
                <w:rPr>
                  <w:rFonts w:ascii="Arial" w:hAnsi="Arial"/>
                  <w:color w:val="167C80"/>
                  <w:u w:val="single"/>
                  <w:b/>
                  <w:sz w:val="13"/>
                </w:rPr>
                <w:t>Primary</w:t>
              </w:r>
            </w:hyperlink>
            <w:r>
              <w:t xml:space="preserve">  |  </w:t>
            </w:r>
            <w:hyperlink r:id="rId15">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Data bundle terms must be checked</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R3</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Hu et al. (2024), RouterBench</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Benchmark / outcome matrix</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48">
              <w:r>
                <w:rPr>
                  <w:rFonts w:ascii="Arial" w:hAnsi="Arial"/>
                  <w:color w:val="167C80"/>
                  <w:u w:val="single"/>
                  <w:b/>
                  <w:sz w:val="13"/>
                </w:rPr>
                <w:t>Primary</w:t>
              </w:r>
            </w:hyperlink>
            <w:r>
              <w:t xml:space="preserve">  |  </w:t>
            </w:r>
            <w:hyperlink r:id="rId24">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Code MIT; dataset license unclear</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R4</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Ding et al. (2024/2025), Easy2Hard-Bench</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Difficulty data</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35">
              <w:r>
                <w:rPr>
                  <w:rFonts w:ascii="Arial" w:hAnsi="Arial"/>
                  <w:color w:val="167C80"/>
                  <w:u w:val="single"/>
                  <w:b/>
                  <w:sz w:val="13"/>
                </w:rPr>
                <w:t>Primary</w:t>
              </w:r>
            </w:hyperlink>
            <w:r>
              <w:t xml:space="preserve">  |  </w:t>
            </w:r>
            <w:hyperlink r:id="rId17">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CC BY-SA 4.0 dataset</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R5</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Song et al. (ACL 2025), IRT-Router</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IRT routing</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38">
              <w:r>
                <w:rPr>
                  <w:rFonts w:ascii="Arial" w:hAnsi="Arial"/>
                  <w:color w:val="167C80"/>
                  <w:u w:val="single"/>
                  <w:b/>
                  <w:sz w:val="13"/>
                </w:rPr>
                <w:t>Primary</w:t>
              </w:r>
            </w:hyperlink>
            <w:r>
              <w:t xml:space="preserve">  |  </w:t>
            </w:r>
            <w:hyperlink r:id="rId36">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Verify repository license</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R6</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Ong et al. (2024/2025), RouteLLM</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Preference routing baseline</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54">
              <w:r>
                <w:rPr>
                  <w:rFonts w:ascii="Arial" w:hAnsi="Arial"/>
                  <w:color w:val="167C80"/>
                  <w:u w:val="single"/>
                  <w:b/>
                  <w:sz w:val="13"/>
                </w:rPr>
                <w:t>Primary</w:t>
              </w:r>
            </w:hyperlink>
            <w:r>
              <w:t xml:space="preserve">  |  </w:t>
            </w:r>
            <w:hyperlink r:id="rId33">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Verify training-data permissions</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R7</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Mohammadshahi et al. (2024), Routoo</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Predictor + selector</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34">
              <w:r>
                <w:rPr>
                  <w:rFonts w:ascii="Arial" w:hAnsi="Arial"/>
                  <w:color w:val="167C80"/>
                  <w:u w:val="single"/>
                  <w:b/>
                  <w:sz w:val="13"/>
                </w:rPr>
                <w:t>Primary</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Paper; no official repo confirmed here</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R8</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Xue et al. (ICML 2026), R2-Router</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Model + output-budget routing</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49">
              <w:r>
                <w:rPr>
                  <w:rFonts w:ascii="Arial" w:hAnsi="Arial"/>
                  <w:color w:val="167C80"/>
                  <w:u w:val="single"/>
                  <w:b/>
                  <w:sz w:val="13"/>
                </w:rPr>
                <w:t>Primary</w:t>
              </w:r>
            </w:hyperlink>
            <w:r>
              <w:t xml:space="preserve">  |  </w:t>
            </w:r>
            <w:hyperlink r:id="rId39">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MIT code</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R9</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Yang et al. (2026), TwinRouterBench</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Future agent-step routing</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55">
              <w:r>
                <w:rPr>
                  <w:rFonts w:ascii="Arial" w:hAnsi="Arial"/>
                  <w:color w:val="167C80"/>
                  <w:u w:val="single"/>
                  <w:b/>
                  <w:sz w:val="13"/>
                </w:rPr>
                <w:t>Primary</w:t>
              </w:r>
            </w:hyperlink>
            <w:r>
              <w:t xml:space="preserve">  |  </w:t>
            </w:r>
            <w:hyperlink r:id="rId51">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Apache-2.0 code</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R10</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Tang et al. (2026), Route to Rome Attack</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Adversarial cost forcing</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56">
              <w:r>
                <w:rPr>
                  <w:rFonts w:ascii="Arial" w:hAnsi="Arial"/>
                  <w:color w:val="167C80"/>
                  <w:u w:val="single"/>
                  <w:b/>
                  <w:sz w:val="13"/>
                </w:rPr>
                <w:t>Primary</w:t>
              </w:r>
            </w:hyperlink>
            <w:r>
              <w:t xml:space="preserve">  |  </w:t>
            </w:r>
            <w:hyperlink r:id="rId44">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Use for defensive testing</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R11</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Shafran et al. (2025), Rerouting LLM Routers</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Control-plane integrity</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45">
              <w:r>
                <w:rPr>
                  <w:rFonts w:ascii="Arial" w:hAnsi="Arial"/>
                  <w:color w:val="167C80"/>
                  <w:u w:val="single"/>
                  <w:b/>
                  <w:sz w:val="13"/>
                </w:rPr>
                <w:t>Primary</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Paper</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R12</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OWASP LLM01: Prompt Injection</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Security guidance</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46">
              <w:r>
                <w:rPr>
                  <w:rFonts w:ascii="Arial" w:hAnsi="Arial"/>
                  <w:color w:val="167C80"/>
                  <w:u w:val="single"/>
                  <w:b/>
                  <w:sz w:val="13"/>
                </w:rPr>
                <w:t>Primary</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Official guidance</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R13</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OWASP LLM10: Unbounded Consumption</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Budget / DoW controls</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47">
              <w:r>
                <w:rPr>
                  <w:rFonts w:ascii="Arial" w:hAnsi="Arial"/>
                  <w:color w:val="167C80"/>
                  <w:u w:val="single"/>
                  <w:b/>
                  <w:sz w:val="13"/>
                </w:rPr>
                <w:t>Primary</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Official guidance</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R14</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OWASP Top 10 for LLM and GenAI</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Production review</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50">
              <w:r>
                <w:rPr>
                  <w:rFonts w:ascii="Arial" w:hAnsi="Arial"/>
                  <w:color w:val="167C80"/>
                  <w:u w:val="single"/>
                  <w:b/>
                  <w:sz w:val="13"/>
                </w:rPr>
                <w:t>Primary</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Official guidance</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R15</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MMLU-Pro</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Broad knowledge/reasoning</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57">
              <w:r>
                <w:rPr>
                  <w:rFonts w:ascii="Arial" w:hAnsi="Arial"/>
                  <w:color w:val="167C80"/>
                  <w:u w:val="single"/>
                  <w:b/>
                  <w:sz w:val="13"/>
                </w:rPr>
                <w:t>Primary</w:t>
              </w:r>
            </w:hyperlink>
            <w:r>
              <w:t xml:space="preserve">  |  </w:t>
            </w:r>
            <w:hyperlink r:id="rId25">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Verify current dataset card</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R16</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GPQA</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Expert science reasoning</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58">
              <w:r>
                <w:rPr>
                  <w:rFonts w:ascii="Arial" w:hAnsi="Arial"/>
                  <w:color w:val="167C80"/>
                  <w:u w:val="single"/>
                  <w:b/>
                  <w:sz w:val="13"/>
                </w:rPr>
                <w:t>Primary</w:t>
              </w:r>
            </w:hyperlink>
            <w:r>
              <w:t xml:space="preserve">  |  </w:t>
            </w:r>
            <w:hyperlink r:id="rId18">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Gated; CC BY 4.0</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R17</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LiveBench</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Fresh objective evaluation</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59">
              <w:r>
                <w:rPr>
                  <w:rFonts w:ascii="Arial" w:hAnsi="Arial"/>
                  <w:color w:val="167C80"/>
                  <w:u w:val="single"/>
                  <w:b/>
                  <w:sz w:val="13"/>
                </w:rPr>
                <w:t>Primary</w:t>
              </w:r>
            </w:hyperlink>
            <w:r>
              <w:t xml:space="preserve">  |  </w:t>
            </w:r>
            <w:hyperlink r:id="rId60">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Pin monthly release</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R18</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LiveCodeBench</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Fresh code execution</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26">
              <w:r>
                <w:rPr>
                  <w:rFonts w:ascii="Arial" w:hAnsi="Arial"/>
                  <w:color w:val="167C80"/>
                  <w:u w:val="single"/>
                  <w:b/>
                  <w:sz w:val="13"/>
                </w:rPr>
                <w:t>Primary</w:t>
              </w:r>
            </w:hyperlink>
            <w:r>
              <w:t xml:space="preserve">  |  </w:t>
            </w:r>
            <w:hyperlink r:id="rId61">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Pin release and environment</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R19</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IFEval</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Verifiable instruction following</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32">
              <w:r>
                <w:rPr>
                  <w:rFonts w:ascii="Arial" w:hAnsi="Arial"/>
                  <w:color w:val="167C80"/>
                  <w:u w:val="single"/>
                  <w:b/>
                  <w:sz w:val="13"/>
                </w:rPr>
                <w:t>Primary</w:t>
              </w:r>
            </w:hyperlink>
            <w:r>
              <w:t xml:space="preserve">  |  </w:t>
            </w:r>
            <w:hyperlink r:id="rId62">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Verify current card</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R20</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Berkeley Function-Calling Leaderboard</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Tool/function calling</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31">
              <w:r>
                <w:rPr>
                  <w:rFonts w:ascii="Arial" w:hAnsi="Arial"/>
                  <w:color w:val="167C80"/>
                  <w:u w:val="single"/>
                  <w:b/>
                  <w:sz w:val="13"/>
                </w:rPr>
                <w:t>Primary</w:t>
              </w:r>
            </w:hyperlink>
            <w:r>
              <w:t xml:space="preserve">  |  </w:t>
            </w:r>
            <w:hyperlink r:id="rId63">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Verify version/license</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R21</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SWE-bench / SWE-bench Verified</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Repository engineering</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30">
              <w:r>
                <w:rPr>
                  <w:rFonts w:ascii="Arial" w:hAnsi="Arial"/>
                  <w:color w:val="167C80"/>
                  <w:u w:val="single"/>
                  <w:b/>
                  <w:sz w:val="13"/>
                </w:rPr>
                <w:t>Primary</w:t>
              </w:r>
            </w:hyperlink>
            <w:r>
              <w:t xml:space="preserve">  |  </w:t>
            </w:r>
            <w:hyperlink r:id="rId27">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Code MIT; audit task provenance</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R22</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Humanity's Last Exam</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Upper capability ceiling</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64">
              <w:r>
                <w:rPr>
                  <w:rFonts w:ascii="Arial" w:hAnsi="Arial"/>
                  <w:color w:val="167C80"/>
                  <w:u w:val="single"/>
                  <w:b/>
                  <w:sz w:val="13"/>
                </w:rPr>
                <w:t>Primary</w:t>
              </w:r>
            </w:hyperlink>
            <w:r>
              <w:t xml:space="preserve">  |  </w:t>
            </w:r>
            <w:hyperlink r:id="rId65">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May be gated; verify terms</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R23</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tau2-bench / tau3 lineage</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Agent tool-use outcomes</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66">
              <w:r>
                <w:rPr>
                  <w:rFonts w:ascii="Arial" w:hAnsi="Arial"/>
                  <w:color w:val="167C80"/>
                  <w:u w:val="single"/>
                  <w:b/>
                  <w:sz w:val="13"/>
                </w:rPr>
                <w:t>Primary</w:t>
              </w:r>
            </w:hyperlink>
            <w:r>
              <w:t xml:space="preserve">  |  </w:t>
            </w:r>
            <w:hyperlink r:id="rId67">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Pin the exact benchmark version</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R24</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OpenAI API pricing</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Provider metadata</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20">
              <w:r>
                <w:rPr>
                  <w:rFonts w:ascii="Arial" w:hAnsi="Arial"/>
                  <w:color w:val="167C80"/>
                  <w:u w:val="single"/>
                  <w:b/>
                  <w:sz w:val="13"/>
                </w:rPr>
                <w:t>Primary</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Live official page; snapshot</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R25</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Anthropic pricing</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Provider metadata</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21">
              <w:r>
                <w:rPr>
                  <w:rFonts w:ascii="Arial" w:hAnsi="Arial"/>
                  <w:color w:val="167C80"/>
                  <w:u w:val="single"/>
                  <w:b/>
                  <w:sz w:val="13"/>
                </w:rPr>
                <w:t>Primary</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Live official page; snapshot</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R26</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Anthropic model overview</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Capabilities / limits</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68">
              <w:r>
                <w:rPr>
                  <w:rFonts w:ascii="Arial" w:hAnsi="Arial"/>
                  <w:color w:val="167C80"/>
                  <w:u w:val="single"/>
                  <w:b/>
                  <w:sz w:val="13"/>
                </w:rPr>
                <w:t>Primary</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Live official page; snapshot</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R27</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Gemini API pricing</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Provider metadata</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22">
              <w:r>
                <w:rPr>
                  <w:rFonts w:ascii="Arial" w:hAnsi="Arial"/>
                  <w:color w:val="167C80"/>
                  <w:u w:val="single"/>
                  <w:b/>
                  <w:sz w:val="13"/>
                </w:rPr>
                <w:t>Primary</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Live official page; snapshot</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R28</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OpenRouter Models API</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Cross-provider discovery</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23">
              <w:r>
                <w:rPr>
                  <w:rFonts w:ascii="Arial" w:hAnsi="Arial"/>
                  <w:color w:val="167C80"/>
                  <w:u w:val="single"/>
                  <w:b/>
                  <w:sz w:val="13"/>
                </w:rPr>
                <w:t>Primary</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Gateway source; validate directly</w:t>
            </w:r>
          </w:p>
        </w:tc>
      </w:tr>
      <w:tr>
        <w:trPr>
          <w:cantSplit/>
        </w:trPr>
        <w:tc>
          <w:tcPr>
            <w:tcW w:type="dxa" w:w="691"/>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R29</w:t>
            </w:r>
          </w:p>
        </w:tc>
        <w:tc>
          <w:tcPr>
            <w:tcW w:type="dxa" w:w="2592"/>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Chen et al. (2023), FrugalGPT</w:t>
            </w:r>
          </w:p>
        </w:tc>
        <w:tc>
          <w:tcPr>
            <w:tcW w:type="dxa" w:w="180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Cascade</w:t>
            </w:r>
          </w:p>
        </w:tc>
        <w:tc>
          <w:tcPr>
            <w:tcW w:type="dxa" w:w="2620"/>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41">
              <w:r>
                <w:rPr>
                  <w:rFonts w:ascii="Arial" w:hAnsi="Arial"/>
                  <w:color w:val="167C80"/>
                  <w:u w:val="single"/>
                  <w:b/>
                  <w:sz w:val="13"/>
                </w:rPr>
                <w:t>Primary</w:t>
              </w:r>
            </w:hyperlink>
            <w:r>
              <w:t xml:space="preserve">  |  </w:t>
            </w:r>
            <w:hyperlink r:id="rId69">
              <w:r>
                <w:rPr>
                  <w:rFonts w:ascii="Arial" w:hAnsi="Arial"/>
                  <w:color w:val="167C80"/>
                  <w:u w:val="single"/>
                  <w:b/>
                  <w:sz w:val="13"/>
                </w:rPr>
                <w:t>Code/data</w:t>
              </w:r>
            </w:hyperlink>
          </w:p>
        </w:tc>
        <w:tc>
          <w:tcPr>
            <w:tcW w:type="dxa" w:w="1843"/>
            <w:shd w:fill="FFFFFF"/>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Apache-2.0 code</w:t>
            </w:r>
          </w:p>
        </w:tc>
      </w:tr>
      <w:tr>
        <w:trPr>
          <w:cantSplit/>
        </w:trPr>
        <w:tc>
          <w:tcPr>
            <w:tcW w:type="dxa" w:w="691"/>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color w:val="263238"/>
                <w:sz w:val="14"/>
              </w:rPr>
              <w:t>R30</w:t>
            </w:r>
          </w:p>
        </w:tc>
        <w:tc>
          <w:tcPr>
            <w:tcW w:type="dxa" w:w="2592"/>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Madaan et al. (2023), AutoMix</w:t>
            </w:r>
          </w:p>
        </w:tc>
        <w:tc>
          <w:tcPr>
            <w:tcW w:type="dxa" w:w="180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Verification cascade</w:t>
            </w:r>
          </w:p>
        </w:tc>
        <w:tc>
          <w:tcPr>
            <w:tcW w:type="dxa" w:w="2620"/>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hyperlink r:id="rId70">
              <w:r>
                <w:rPr>
                  <w:rFonts w:ascii="Arial" w:hAnsi="Arial"/>
                  <w:color w:val="167C80"/>
                  <w:u w:val="single"/>
                  <w:b/>
                  <w:sz w:val="13"/>
                </w:rPr>
                <w:t>Primary</w:t>
              </w:r>
            </w:hyperlink>
            <w:r>
              <w:t xml:space="preserve">  |  </w:t>
            </w:r>
            <w:hyperlink r:id="rId42">
              <w:r>
                <w:rPr>
                  <w:rFonts w:ascii="Arial" w:hAnsi="Arial"/>
                  <w:color w:val="167C80"/>
                  <w:u w:val="single"/>
                  <w:b/>
                  <w:sz w:val="13"/>
                </w:rPr>
                <w:t>Code/data</w:t>
              </w:r>
            </w:hyperlink>
          </w:p>
        </w:tc>
        <w:tc>
          <w:tcPr>
            <w:tcW w:type="dxa" w:w="1843"/>
            <w:shd w:fill="F5F7F8"/>
            <w:tcMar>
              <w:top w:w="60" w:type="dxa"/>
              <w:start w:w="65" w:type="dxa"/>
              <w:bottom w:w="60" w:type="dxa"/>
              <w:end w:w="65" w:type="dxa"/>
            </w:tcMar>
            <w:tcBorders>
              <w:top w:val="single" w:sz="2" w:color="D8DEE2"/>
              <w:left w:val="single" w:sz="2" w:color="D8DEE2"/>
              <w:bottom w:val="single" w:sz="2" w:color="D8DEE2"/>
              <w:right w:val="single" w:sz="2" w:color="D8DEE2"/>
            </w:tcBorders>
          </w:tcPr>
          <w:p>
            <w:r>
              <w:rPr>
                <w:rFonts w:ascii="Arial" w:hAnsi="Arial" w:eastAsia="Arial"/>
                <w:b w:val="0"/>
                <w:color w:val="263238"/>
                <w:sz w:val="14"/>
              </w:rPr>
              <w:t>Apache-2.0 code</w:t>
            </w:r>
          </w:p>
        </w:tc>
      </w:tr>
      <w:tr>
        <w:tc>
          <w:tcPr>
            <w:tcW w:type="dxa" w:w="2033"/>
          </w:tcPr>
          <w:p>
            <w:r>
              <w:t>R31 [Reviewed 2]</w:t>
            </w:r>
          </w:p>
        </w:tc>
        <w:tc>
          <w:tcPr>
            <w:tcW w:type="dxa" w:w="2033"/>
          </w:tcPr>
          <w:p>
            <w:r>
              <w:t>Dekoninck, Baader and Vechev (ICML 2025), A Unified Approach to Routing and Cascading for LLMs</w:t>
            </w:r>
          </w:p>
        </w:tc>
        <w:tc>
          <w:tcPr>
            <w:tcW w:type="dxa" w:w="2033"/>
          </w:tcPr>
          <w:p>
            <w:r>
              <w:t>Known-optimal cascade routing; REQUIRED baseline</w:t>
            </w:r>
          </w:p>
        </w:tc>
        <w:tc>
          <w:tcPr>
            <w:tcW w:type="dxa" w:w="2033"/>
          </w:tcPr>
          <w:p>
            <w:r>
              <w:t>Primary | Code/data (arXiv:2410.10347)</w:t>
            </w:r>
          </w:p>
        </w:tc>
        <w:tc>
          <w:tcPr>
            <w:tcW w:type="dxa" w:w="2033"/>
          </w:tcPr>
          <w:p>
            <w:r>
              <w:t>Preempts RQ5 with an optimality proof; must be cited and compared</w:t>
            </w:r>
          </w:p>
        </w:tc>
      </w:tr>
      <w:tr>
        <w:tc>
          <w:tcPr>
            <w:tcW w:type="dxa" w:w="2033"/>
          </w:tcPr>
          <w:p>
            <w:r>
              <w:t>R32 [Reviewed 2]</w:t>
            </w:r>
          </w:p>
        </w:tc>
        <w:tc>
          <w:tcPr>
            <w:tcW w:type="dxa" w:w="2033"/>
          </w:tcPr>
          <w:p>
            <w:r>
              <w:t>Bouchard (2026), Is Escalation Worth It? A Decision-Theoretic Characterization of LLM Cascades</w:t>
            </w:r>
          </w:p>
        </w:tc>
        <w:tc>
          <w:tcPr>
            <w:tcW w:type="dxa" w:w="2033"/>
          </w:tcPr>
          <w:p>
            <w:r>
              <w:t>Analytic escalation frontier and shadow prices</w:t>
            </w:r>
          </w:p>
        </w:tc>
        <w:tc>
          <w:tcPr>
            <w:tcW w:type="dxa" w:w="2033"/>
          </w:tcPr>
          <w:p>
            <w:r>
              <w:t>Primary (arXiv:2605.06350)</w:t>
            </w:r>
          </w:p>
        </w:tc>
        <w:tc>
          <w:tcPr>
            <w:tcW w:type="dxa" w:w="2033"/>
          </w:tcPr>
          <w:p>
            <w:r>
              <w:t>Supplies the net-value condition H5 left undefined</w:t>
            </w:r>
          </w:p>
        </w:tc>
      </w:tr>
      <w:tr>
        <w:tc>
          <w:tcPr>
            <w:tcW w:type="dxa" w:w="2033"/>
          </w:tcPr>
          <w:p>
            <w:r>
              <w:t>R33 [Reviewed 2]</w:t>
            </w:r>
          </w:p>
        </w:tc>
        <w:tc>
          <w:tcPr>
            <w:tcW w:type="dxa" w:w="2033"/>
          </w:tcPr>
          <w:p>
            <w:r>
              <w:t>Guo, Wu and Yiu (2026), RouteNLP: Closed-Loop LLM Routing with Conformal Cascading</w:t>
            </w:r>
          </w:p>
        </w:tc>
        <w:tc>
          <w:tcPr>
            <w:tcW w:type="dxa" w:w="2033"/>
          </w:tcPr>
          <w:p>
            <w:r>
              <w:t>Nearest prior work to the risk-controlled routing claim</w:t>
            </w:r>
          </w:p>
        </w:tc>
        <w:tc>
          <w:tcPr>
            <w:tcW w:type="dxa" w:w="2033"/>
          </w:tcPr>
          <w:p>
            <w:r>
              <w:t>Primary (arXiv:2604.23577)</w:t>
            </w:r>
          </w:p>
        </w:tc>
        <w:tc>
          <w:tcPr>
            <w:tcW w:type="dxa" w:w="2033"/>
          </w:tcPr>
          <w:p>
            <w:r>
              <w:t>Conformal threshold initialisation; marginal guarantee only, no post-selection treatment</w:t>
            </w:r>
          </w:p>
        </w:tc>
      </w:tr>
      <w:tr>
        <w:tc>
          <w:tcPr>
            <w:tcW w:type="dxa" w:w="2033"/>
          </w:tcPr>
          <w:p>
            <w:r>
              <w:t>R34 [Reviewed 2]</w:t>
            </w:r>
          </w:p>
        </w:tc>
        <w:tc>
          <w:tcPr>
            <w:tcW w:type="dxa" w:w="2033"/>
          </w:tcPr>
          <w:p>
            <w:r>
              <w:t>Pona, Kazemi, Hosseini, Du, Watson, Simeone and Paoletti (2026), Calibrate-Then-Delegate</w:t>
            </w:r>
          </w:p>
        </w:tc>
        <w:tc>
          <w:tcPr>
            <w:tcW w:type="dxa" w:w="2033"/>
          </w:tcPr>
          <w:p>
            <w:r>
              <w:t>Finite-sample risk AND budget guarantees for cascades via multiple hypothesis testing</w:t>
            </w:r>
          </w:p>
        </w:tc>
        <w:tc>
          <w:tcPr>
            <w:tcW w:type="dxa" w:w="2033"/>
          </w:tcPr>
          <w:p>
            <w:r>
              <w:t>Primary (arXiv:2604.14251)</w:t>
            </w:r>
          </w:p>
        </w:tc>
        <w:tc>
          <w:tcPr>
            <w:tcW w:type="dxa" w:w="2033"/>
          </w:tcPr>
          <w:p>
            <w:r>
              <w:t>Uses the same LTT machinery this protocol now adopts</w:t>
            </w:r>
          </w:p>
        </w:tc>
      </w:tr>
      <w:tr>
        <w:tc>
          <w:tcPr>
            <w:tcW w:type="dxa" w:w="2033"/>
          </w:tcPr>
          <w:p>
            <w:r>
              <w:t>R35 [Reviewed 2]</w:t>
            </w:r>
          </w:p>
        </w:tc>
        <w:tc>
          <w:tcPr>
            <w:tcW w:type="dxa" w:w="2033"/>
          </w:tcPr>
          <w:p>
            <w:r>
              <w:t>Frick, Chen, Tennyson, Li et al. (2025), Prompt-to-Leaderboard (P2L)</w:t>
            </w:r>
          </w:p>
        </w:tc>
        <w:tc>
          <w:tcPr>
            <w:tcW w:type="dxa" w:w="2033"/>
          </w:tcPr>
          <w:p>
            <w:r>
              <w:t>Per-prompt model quality vector with cost-constrained routing</w:t>
            </w:r>
          </w:p>
        </w:tc>
        <w:tc>
          <w:tcPr>
            <w:tcW w:type="dxa" w:w="2033"/>
          </w:tcPr>
          <w:p>
            <w:r>
              <w:t>Primary | Code (arXiv:2502.14855)</w:t>
            </w:r>
          </w:p>
        </w:tc>
        <w:tc>
          <w:tcPr>
            <w:tcW w:type="dxa" w:w="2033"/>
          </w:tcPr>
          <w:p>
            <w:r>
              <w:t>Closest published analogue to the Phase 7 predictor</w:t>
            </w:r>
          </w:p>
        </w:tc>
      </w:tr>
      <w:tr>
        <w:tc>
          <w:tcPr>
            <w:tcW w:type="dxa" w:w="2033"/>
          </w:tcPr>
          <w:p>
            <w:r>
              <w:t>R36 [Reviewed 2]</w:t>
            </w:r>
          </w:p>
        </w:tc>
        <w:tc>
          <w:tcPr>
            <w:tcW w:type="dxa" w:w="2033"/>
          </w:tcPr>
          <w:p>
            <w:r>
              <w:t>RouterEval (2025), A Comprehensive Benchmark for Routing LLMs</w:t>
            </w:r>
          </w:p>
        </w:tc>
        <w:tc>
          <w:tcPr>
            <w:tcW w:type="dxa" w:w="2033"/>
          </w:tcPr>
          <w:p>
            <w:r>
              <w:t>200M+ performance records; oracle gap evidence</w:t>
            </w:r>
          </w:p>
        </w:tc>
        <w:tc>
          <w:tcPr>
            <w:tcW w:type="dxa" w:w="2033"/>
          </w:tcPr>
          <w:p>
            <w:r>
              <w:t>Primary | Code/data (arXiv:2503.10657)</w:t>
            </w:r>
          </w:p>
        </w:tc>
        <w:tc>
          <w:tcPr>
            <w:tcW w:type="dxa" w:w="2033"/>
          </w:tcPr>
          <w:p>
            <w:r>
              <w:t>Large-scale evidence that most routers fall well short of oracle</w:t>
            </w:r>
          </w:p>
        </w:tc>
      </w:tr>
      <w:tr>
        <w:tc>
          <w:tcPr>
            <w:tcW w:type="dxa" w:w="2033"/>
          </w:tcPr>
          <w:p>
            <w:r>
              <w:t>R37 [Reviewed 2]</w:t>
            </w:r>
          </w:p>
        </w:tc>
        <w:tc>
          <w:tcPr>
            <w:tcW w:type="dxa" w:w="2033"/>
          </w:tcPr>
          <w:p>
            <w:r>
              <w:t>RouterArena (2025), An Open Platform for Comprehensive Comparison of LLM Routers</w:t>
            </w:r>
          </w:p>
        </w:tc>
        <w:tc>
          <w:tcPr>
            <w:tcW w:type="dxa" w:w="2033"/>
          </w:tcPr>
          <w:p>
            <w:r>
              <w:t>Standardised router comparison, overhead and robustness</w:t>
            </w:r>
          </w:p>
        </w:tc>
        <w:tc>
          <w:tcPr>
            <w:tcW w:type="dxa" w:w="2033"/>
          </w:tcPr>
          <w:p>
            <w:r>
              <w:t>Primary (arXiv:2510.00202)</w:t>
            </w:r>
          </w:p>
        </w:tc>
        <w:tc>
          <w:tcPr>
            <w:tcW w:type="dxa" w:w="2033"/>
          </w:tcPr>
          <w:p>
            <w:r>
              <w:t>Evaluation-protocol comparator</w:t>
            </w:r>
          </w:p>
        </w:tc>
      </w:tr>
      <w:tr>
        <w:tc>
          <w:tcPr>
            <w:tcW w:type="dxa" w:w="2033"/>
          </w:tcPr>
          <w:p>
            <w:r>
              <w:t>R38 [Reviewed 2]</w:t>
            </w:r>
          </w:p>
        </w:tc>
        <w:tc>
          <w:tcPr>
            <w:tcW w:type="dxa" w:w="2033"/>
          </w:tcPr>
          <w:p>
            <w:r>
              <w:t>Moslem and Kelleher (2026), Dynamic Model Routing and Cascading for Efficient LLM Inference: A Survey</w:t>
            </w:r>
          </w:p>
        </w:tc>
        <w:tc>
          <w:tcPr>
            <w:tcW w:type="dxa" w:w="2033"/>
          </w:tcPr>
          <w:p>
            <w:r>
              <w:t>Field taxonomy and open problems</w:t>
            </w:r>
          </w:p>
        </w:tc>
        <w:tc>
          <w:tcPr>
            <w:tcW w:type="dxa" w:w="2033"/>
          </w:tcPr>
          <w:p>
            <w:r>
              <w:t>Primary (arXiv:2603.04445)</w:t>
            </w:r>
          </w:p>
        </w:tc>
        <w:tc>
          <w:tcPr>
            <w:tcW w:type="dxa" w:w="2033"/>
          </w:tcPr>
          <w:p>
            <w:r>
              <w:t>The protocol previously cited no survey</w:t>
            </w:r>
          </w:p>
        </w:tc>
      </w:tr>
    </w:tbl>
    <w:p>
      <w:pPr>
        <w:spacing w:after="0"/>
      </w:pPr>
    </w:p>
    <w:p>
      <w:pPr>
        <w:pStyle w:val="Heading2"/>
      </w:pPr>
      <w:r>
        <w:t>F. Provider snapshot protocol</w:t>
      </w:r>
    </w:p>
    <w:p>
      <w:pPr>
        <w:pStyle w:val="ListBullet"/>
        <w:spacing w:after="36" w:line="245" w:lineRule="auto"/>
        <w:ind w:left="317" w:hanging="173"/>
      </w:pPr>
      <w:r>
        <w:rPr>
          <w:rFonts w:ascii="Arial" w:hAnsi="Arial" w:eastAsia="Arial"/>
          <w:sz w:val="18"/>
        </w:rPr>
        <w:t>Do not hard-code prices from this document. Retrieve them from official provider documentation immediately before each run.</w:t>
      </w:r>
    </w:p>
    <w:p>
      <w:pPr>
        <w:pStyle w:val="ListBullet"/>
        <w:spacing w:after="36" w:line="245" w:lineRule="auto"/>
        <w:ind w:left="317" w:hanging="173"/>
      </w:pPr>
      <w:r>
        <w:rPr>
          <w:rFonts w:ascii="Arial" w:hAnsi="Arial" w:eastAsia="Arial"/>
          <w:sz w:val="18"/>
        </w:rPr>
        <w:t>Store provider, model name, immutable version or alias, endpoint, context/output limits, modalities, tool support, pricing dimensions, cache pricing, batch pricing, and effective/retrieved timestamps.</w:t>
      </w:r>
    </w:p>
    <w:p>
      <w:pPr>
        <w:pStyle w:val="ListBullet"/>
        <w:spacing w:after="36" w:line="245" w:lineRule="auto"/>
        <w:ind w:left="317" w:hanging="173"/>
      </w:pPr>
      <w:r>
        <w:rPr>
          <w:rFonts w:ascii="Arial" w:hAnsi="Arial" w:eastAsia="Arial"/>
          <w:sz w:val="18"/>
        </w:rPr>
        <w:t>Record whether the call used a direct provider, a gateway, or an aggregator. For gateways, record the actual provider and fallback selected.</w:t>
      </w:r>
    </w:p>
    <w:p>
      <w:pPr>
        <w:pStyle w:val="ListBullet"/>
        <w:spacing w:after="36" w:line="245" w:lineRule="auto"/>
        <w:ind w:left="317" w:hanging="173"/>
      </w:pPr>
      <w:r>
        <w:rPr>
          <w:rFonts w:ascii="Arial" w:hAnsi="Arial" w:eastAsia="Arial"/>
          <w:sz w:val="18"/>
        </w:rPr>
        <w:t>Store the raw metadata response or page snapshot where terms permit, plus a normalized JSON record and checksum.</w:t>
      </w:r>
    </w:p>
    <w:p>
      <w:pPr>
        <w:pStyle w:val="ListBullet"/>
        <w:spacing w:after="36" w:line="245" w:lineRule="auto"/>
        <w:ind w:left="317" w:hanging="173"/>
      </w:pPr>
      <w:r>
        <w:rPr>
          <w:rFonts w:ascii="Arial" w:hAnsi="Arial" w:eastAsia="Arial"/>
          <w:sz w:val="18"/>
        </w:rPr>
        <w:t>Issue a new registry version when any cost, limit, availability, or behavior-critical field changes.</w:t>
      </w:r>
    </w:p>
    <w:p>
      <w:r>
        <w:br w:type="page"/>
      </w:r>
    </w:p>
    <w:p>
      <w:pPr>
        <w:pStyle w:val="Heading1"/>
      </w:pPr>
      <w:r>
        <w:t>Future-only improvement register - do not implement in the first study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2263A"/>
            <w:tcMar>
              <w:top w:w="85" w:type="dxa"/>
              <w:start w:w="85" w:type="dxa"/>
              <w:bottom w:w="85" w:type="dxa"/>
              <w:end w:w="85" w:type="dxa"/>
            </w:tcMar>
            <w:vAlign w:val="center"/>
          </w:tcPr>
          <w:p>
            <w:pPr>
              <w:jc w:val="left"/>
            </w:pPr>
            <w:r>
              <w:rPr>
                <w:rFonts w:ascii="Arial" w:hAnsi="Arial" w:eastAsia="Arial"/>
                <w:b/>
                <w:color w:val="FFFFFF"/>
                <w:sz w:val="14"/>
              </w:rPr>
              <w:t>Future extension</w:t>
            </w:r>
          </w:p>
        </w:tc>
        <w:tc>
          <w:tcPr>
            <w:tcW w:type="dxa" w:w="2592"/>
            <w:shd w:fill="12263A"/>
            <w:tcMar>
              <w:top w:w="85" w:type="dxa"/>
              <w:start w:w="85" w:type="dxa"/>
              <w:bottom w:w="85" w:type="dxa"/>
              <w:end w:w="85" w:type="dxa"/>
            </w:tcMar>
            <w:vAlign w:val="center"/>
          </w:tcPr>
          <w:p>
            <w:pPr>
              <w:jc w:val="left"/>
            </w:pPr>
            <w:r>
              <w:rPr>
                <w:rFonts w:ascii="Arial" w:hAnsi="Arial" w:eastAsia="Arial"/>
                <w:b/>
                <w:color w:val="FFFFFF"/>
                <w:sz w:val="14"/>
              </w:rPr>
              <w:t>Why it may help</w:t>
            </w:r>
          </w:p>
        </w:tc>
        <w:tc>
          <w:tcPr>
            <w:tcW w:type="dxa" w:w="3384"/>
            <w:shd w:fill="12263A"/>
            <w:tcMar>
              <w:top w:w="85" w:type="dxa"/>
              <w:start w:w="85" w:type="dxa"/>
              <w:bottom w:w="85" w:type="dxa"/>
              <w:end w:w="85" w:type="dxa"/>
            </w:tcMar>
            <w:vAlign w:val="center"/>
          </w:tcPr>
          <w:p>
            <w:pPr>
              <w:jc w:val="left"/>
            </w:pPr>
            <w:r>
              <w:rPr>
                <w:rFonts w:ascii="Arial" w:hAnsi="Arial" w:eastAsia="Arial"/>
                <w:b/>
                <w:color w:val="FFFFFF"/>
                <w:sz w:val="14"/>
              </w:rPr>
              <w:t>Why it is postponed</w:t>
            </w:r>
          </w:p>
        </w:tc>
        <w:tc>
          <w:tcPr>
            <w:tcW w:type="dxa" w:w="1584"/>
            <w:shd w:fill="12263A"/>
            <w:tcMar>
              <w:top w:w="85" w:type="dxa"/>
              <w:start w:w="85" w:type="dxa"/>
              <w:bottom w:w="85" w:type="dxa"/>
              <w:end w:w="85" w:type="dxa"/>
            </w:tcMar>
            <w:vAlign w:val="center"/>
          </w:tcPr>
          <w:p>
            <w:pPr>
              <w:jc w:val="left"/>
            </w:pPr>
            <w:r>
              <w:rPr>
                <w:rFonts w:ascii="Arial" w:hAnsi="Arial" w:eastAsia="Arial"/>
                <w:b/>
                <w:color w:val="FFFFFF"/>
                <w:sz w:val="14"/>
              </w:rPr>
              <w:t>Primary future source</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Agent-step routing</w:t>
            </w:r>
          </w:p>
        </w:tc>
        <w:tc>
          <w:tcPr>
            <w:tcW w:type="dxa" w:w="259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Select different models for changing steps in coding/research agents.</w:t>
            </w:r>
          </w:p>
        </w:tc>
        <w:tc>
          <w:tcPr>
            <w:tcW w:type="dxa" w:w="33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Model choice changes later context; evaluation is combinatorial and requires live trajectory testing.</w:t>
            </w:r>
          </w:p>
        </w:tc>
        <w:tc>
          <w:tcPr>
            <w:tcW w:type="dxa" w:w="15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TwinRouterBench [R9]</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Contextual-bandit learning</w:t>
            </w:r>
          </w:p>
        </w:tc>
        <w:tc>
          <w:tcPr>
            <w:tcW w:type="dxa" w:w="259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Adapt to changing model quality and user distribution.</w:t>
            </w:r>
          </w:p>
        </w:tc>
        <w:tc>
          <w:tcPr>
            <w:tcW w:type="dxa" w:w="33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Production feedback is selective and vulnerable to poisoning; needs propensity logging and safe exploration.</w:t>
            </w:r>
          </w:p>
        </w:tc>
        <w:tc>
          <w:tcPr>
            <w:tcW w:type="dxa" w:w="15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OrcaRouter / bandit literature</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Adaptive model entrance exam</w:t>
            </w:r>
          </w:p>
        </w:tc>
        <w:tc>
          <w:tcPr>
            <w:tcW w:type="dxa" w:w="259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Calibrate new models with fewer informative benchmark items.</w:t>
            </w:r>
          </w:p>
        </w:tc>
        <w:tc>
          <w:tcPr>
            <w:tcW w:type="dxa" w:w="33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Requires a stable calibrated item bank and adequate IRT parameter quality.</w:t>
            </w:r>
          </w:p>
        </w:tc>
        <w:tc>
          <w:tcPr>
            <w:tcW w:type="dxa" w:w="15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ATLAS / tinyBenchmarks</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High-dimensional MIRT</w:t>
            </w:r>
          </w:p>
        </w:tc>
        <w:tc>
          <w:tcPr>
            <w:tcW w:type="dxa" w:w="259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Richer model capability vectors and interpretability.</w:t>
            </w:r>
          </w:p>
        </w:tc>
        <w:tc>
          <w:tcPr>
            <w:tcW w:type="dxa" w:w="33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Too many latent dimensions can be unidentifiable with a small solver population.</w:t>
            </w:r>
          </w:p>
        </w:tc>
        <w:tc>
          <w:tcPr>
            <w:tcW w:type="dxa" w:w="15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IRT-Router plus psychometric extensions</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Shift-robust risk control (weighted conformal, DRO) [Reviewed 2]</w:t>
            </w:r>
          </w:p>
        </w:tc>
        <w:tc>
          <w:tcPr>
            <w:tcW w:type="dxa" w:w="259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Extends a valid guarantee beyond the exchangeable ID test to covariate-shifted traffic. [Reviewed 2]</w:t>
            </w:r>
          </w:p>
        </w:tc>
        <w:tc>
          <w:tcPr>
            <w:tcW w:type="dxa" w:w="33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Requires an estimated likelihood ratio or a stated divergence radius, plus larger calibration sets. Policy-level LTT on the ID partition is IN SCOPE for the first study and is no longer listed here - the v1.1 register contradicted Phase 8 by postponing the protocol's own centrepiece. [Reviewed 2]</w:t>
            </w:r>
          </w:p>
        </w:tc>
        <w:tc>
          <w:tcPr>
            <w:tcW w:type="dxa" w:w="15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Conformal shift literature; Learn-Then-Test extensions [Reviewed 2]</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Multimodal routing</w:t>
            </w:r>
          </w:p>
        </w:tc>
        <w:tc>
          <w:tcPr>
            <w:tcW w:type="dxa" w:w="259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Route text, image, audio, video, or time-series requests.</w:t>
            </w:r>
          </w:p>
        </w:tc>
        <w:tc>
          <w:tcPr>
            <w:tcW w:type="dxa" w:w="33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New modalities need different features, graders, costs, and privacy controls.</w:t>
            </w:r>
          </w:p>
        </w:tc>
        <w:tc>
          <w:tcPr>
            <w:tcW w:type="dxa" w:w="15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xRouteBench / TSRouter</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Personalized routing</w:t>
            </w:r>
          </w:p>
        </w:tc>
        <w:tc>
          <w:tcPr>
            <w:tcW w:type="dxa" w:w="259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Optimize for user preferences and history.</w:t>
            </w:r>
          </w:p>
        </w:tc>
        <w:tc>
          <w:tcPr>
            <w:tcW w:type="dxa" w:w="33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Creates privacy, fairness, cold-start, and cross-user leakage risks.</w:t>
            </w:r>
          </w:p>
        </w:tc>
        <w:tc>
          <w:tcPr>
            <w:tcW w:type="dxa" w:w="15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LLMRouter personalized routing</w:t>
            </w:r>
          </w:p>
        </w:tc>
      </w:tr>
      <w:tr>
        <w:trPr>
          <w:cantSplit/>
          <w:trHeight w:hRule="atLeast"/>
        </w:trPr>
        <w:tc>
          <w:tcPr>
            <w:tcW w:type="dxa" w:w="194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Activation-based probes</w:t>
            </w:r>
          </w:p>
        </w:tc>
        <w:tc>
          <w:tcPr>
            <w:tcW w:type="dxa" w:w="259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Improve pre-generation prediction for local/open models.</w:t>
            </w:r>
          </w:p>
        </w:tc>
        <w:tc>
          <w:tcPr>
            <w:tcW w:type="dxa" w:w="33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Not available consistently for closed APIs and may add serving coupling.</w:t>
            </w:r>
          </w:p>
        </w:tc>
        <w:tc>
          <w:tcPr>
            <w:tcW w:type="dxa" w:w="158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Prefill-activation routing research</w:t>
            </w:r>
          </w:p>
        </w:tc>
      </w:tr>
      <w:tr>
        <w:trPr>
          <w:cantSplit/>
          <w:trHeight w:hRule="atLeast"/>
        </w:trPr>
        <w:tc>
          <w:tcPr>
            <w:tcW w:type="dxa" w:w="194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4"/>
              </w:rPr>
              <w:t>Reasoning-protocol routing</w:t>
            </w:r>
          </w:p>
        </w:tc>
        <w:tc>
          <w:tcPr>
            <w:tcW w:type="dxa" w:w="259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Choose direct solve, self-review, planner-executor, or debate.</w:t>
            </w:r>
          </w:p>
        </w:tc>
        <w:tc>
          <w:tcPr>
            <w:tcW w:type="dxa" w:w="33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Protocol counterfactuals are expensive and can create long-horizon confounding.</w:t>
            </w:r>
          </w:p>
        </w:tc>
        <w:tc>
          <w:tcPr>
            <w:tcW w:type="dxa" w:w="158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4"/>
              </w:rPr>
              <w:t>Protocol-routing literature</w:t>
            </w:r>
          </w:p>
        </w:tc>
      </w:tr>
      <w:tr>
        <w:tc>
          <w:tcPr>
            <w:tcW w:type="dxa" w:w="2541"/>
          </w:tcPr>
          <w:p>
            <w:r>
              <w:t>Formal verification of the budget firewall [Reviewed 2]</w:t>
            </w:r>
          </w:p>
        </w:tc>
        <w:tc>
          <w:tcPr>
            <w:tcW w:type="dxa" w:w="2541"/>
          </w:tcPr>
          <w:p>
            <w:r>
              <w:t>The worst-case spend bound is the strongest security claim; machine-checking it would make it a theorem rather than a test result. [Reviewed 2]</w:t>
            </w:r>
          </w:p>
        </w:tc>
        <w:tc>
          <w:tcPr>
            <w:tcW w:type="dxa" w:w="2541"/>
          </w:tcPr>
          <w:p>
            <w:r>
              <w:t>Property-based testing is sufficient for the first paper; full verification is a separate effort. [Reviewed 2]</w:t>
            </w:r>
          </w:p>
        </w:tc>
        <w:tc>
          <w:tcPr>
            <w:tcW w:type="dxa" w:w="2541"/>
          </w:tcPr>
          <w:p>
            <w:r>
              <w:t>Property-based testing / model checking literature [Reviewed 2]</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9720"/>
            <w:shd w:fill="F3EFF8"/>
            <w:tcBorders>
              <w:top w:val="single" w:sz="8" w:color="6C5A8C"/>
              <w:left w:val="single" w:sz="18" w:color="6C5A8C"/>
              <w:bottom w:val="single" w:sz="8" w:color="6C5A8C"/>
              <w:right w:val="single" w:sz="8" w:color="6C5A8C"/>
            </w:tcBorders>
            <w:tcMar>
              <w:top w:w="110" w:type="dxa"/>
              <w:start w:w="145" w:type="dxa"/>
              <w:bottom w:w="110" w:type="dxa"/>
              <w:end w:w="145" w:type="dxa"/>
            </w:tcMar>
          </w:tcPr>
          <w:p>
            <w:pPr>
              <w:spacing w:after="40"/>
            </w:pPr>
            <w:r>
              <w:rPr>
                <w:rFonts w:ascii="Arial" w:hAnsi="Arial" w:eastAsia="Arial"/>
                <w:b/>
                <w:color w:val="6C5A8C"/>
                <w:sz w:val="19"/>
              </w:rPr>
              <w:t>Future-work rule</w:t>
            </w:r>
          </w:p>
          <w:p>
            <w:pPr>
              <w:spacing w:after="0"/>
            </w:pPr>
            <w:r>
              <w:rPr>
                <w:rFonts w:ascii="Arial" w:hAnsi="Arial" w:eastAsia="Arial"/>
                <w:color w:val="263238"/>
                <w:sz w:val="17"/>
              </w:rPr>
              <w:t>A future feature becomes eligible only after the current router has a stable baseline, a reproducible outcome tensor, calibrated probabilities, clear marginal value, and a new protocol version. Future work must never be quietly added to the confirmatory experiment after test results are visible.</w:t>
            </w:r>
          </w:p>
        </w:tc>
      </w:tr>
    </w:tbl>
    <w:p>
      <w:pPr>
        <w:spacing w:after="0"/>
      </w:pPr>
    </w:p>
    <w:p>
      <w:pPr>
        <w:pStyle w:val="Heading1"/>
      </w:pPr>
      <w:r>
        <w:t>Research-paper structure generated by this protocol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2263A"/>
            <w:tcMar>
              <w:top w:w="85" w:type="dxa"/>
              <w:start w:w="85" w:type="dxa"/>
              <w:bottom w:w="85" w:type="dxa"/>
              <w:end w:w="85" w:type="dxa"/>
            </w:tcMar>
            <w:vAlign w:val="center"/>
          </w:tcPr>
          <w:p>
            <w:pPr>
              <w:jc w:val="left"/>
            </w:pPr>
            <w:r>
              <w:rPr>
                <w:rFonts w:ascii="Arial" w:hAnsi="Arial" w:eastAsia="Arial"/>
                <w:b/>
                <w:color w:val="FFFFFF"/>
                <w:sz w:val="16"/>
              </w:rPr>
              <w:t>Paper section</w:t>
            </w:r>
          </w:p>
        </w:tc>
        <w:tc>
          <w:tcPr>
            <w:tcW w:type="dxa" w:w="7272"/>
            <w:shd w:fill="12263A"/>
            <w:tcMar>
              <w:top w:w="85" w:type="dxa"/>
              <w:start w:w="85" w:type="dxa"/>
              <w:bottom w:w="85" w:type="dxa"/>
              <w:end w:w="85" w:type="dxa"/>
            </w:tcMar>
            <w:vAlign w:val="center"/>
          </w:tcPr>
          <w:p>
            <w:pPr>
              <w:jc w:val="left"/>
            </w:pPr>
            <w:r>
              <w:rPr>
                <w:rFonts w:ascii="Arial" w:hAnsi="Arial" w:eastAsia="Arial"/>
                <w:b/>
                <w:color w:val="FFFFFF"/>
                <w:sz w:val="16"/>
              </w:rPr>
              <w:t>Evidence source</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Title and abstract</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Final RQ/H results and operating point.</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1. Introduction</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Motivation, limitations of task-only/easy-hard routing, contributions.</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2. Related work</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RouterBench, LLMRouterBench, RouterEval [R36], RouterArena [R37], RouteLLM, Routoo, Easy2Hard, IRT-Router, R2-Router [R8], cascade routing [R31], escalation theory [R32], conformal cascading [R33], Calibrate-Then-Delegate [R34], P2L [R35], the 2026 survey [R38], and routing security. [Reviewed 2]</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3. Problem formulation</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Configuration-level decision rule, constraints, total cost, three difficulty definitions.</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4. Data and evaluation</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Source registry, outcome tensor, graders, split methodology, leakage controls.</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5. Method</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r>
              <w:t>Policy-level Learn-Then-Test calibration (loss on the selected arm, FWER over the lambda grid); per-arm CRC as the negative control; multi-head predictor; domain-gated verifier; bounded-cost OOD fallback; independent budget firewall. [Reviewed 2]</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6. Experimental setup</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Model pool, datasets, baselines, metrics, statistical plan, compute and API budget.</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7. Results</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E1-E8. Headline figures: (R1) selected-arm risk, per-arm vs policy-level, across noise levels; (R2) naive vs split-repeat oracle on real data; (R3) cost saving as a function of price ratio rho; (R4) cost-quality-latency frontier against all baselines including cascade routing and best-of-N at matched spend. [Reviewed 2]</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8. Error analysis and security</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Proven worst-case per-tenant spend bound (primary); adaptive-attack ASR as a curve over attacker budget (secondary); the OOD-to-strongest exploit reported as a cautionary design result; OOD and temporal-shift generalisation reported as measurements without guarantee language. [Reviewed 2]</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9. Limitations and ethics</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English-only; single-turn; objectively gradable tasks only; price-vector dependence of every cost number; contamination bounded rather than eliminated; the guarantee valid only under exchangeability and only until providers change models; share-alike propagation constraining the released tensor. [Reviewed 2]</w:t>
            </w:r>
          </w:p>
        </w:tc>
      </w:tr>
      <w:tr>
        <w:trPr>
          <w:cantSplit/>
          <w:trHeight w:hRule="atLeast"/>
        </w:trPr>
        <w:tc>
          <w:tcPr>
            <w:tcW w:type="dxa" w:w="223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10. Conclusion</w:t>
            </w:r>
          </w:p>
        </w:tc>
        <w:tc>
          <w:tcPr>
            <w:tcW w:type="dxa" w:w="7272"/>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Supported claims only; future improvements kept separate.</w:t>
            </w:r>
          </w:p>
        </w:tc>
      </w:tr>
      <w:tr>
        <w:trPr>
          <w:cantSplit/>
          <w:trHeight w:hRule="atLeast"/>
        </w:trPr>
        <w:tc>
          <w:tcPr>
            <w:tcW w:type="dxa" w:w="223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color w:val="263238"/>
                <w:sz w:val="16"/>
              </w:rPr>
              <w:t>Appendix</w:t>
            </w:r>
          </w:p>
        </w:tc>
        <w:tc>
          <w:tcPr>
            <w:tcW w:type="dxa" w:w="7272"/>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6"/>
              </w:rPr>
              <w:t>Schemas, hyperparameters, prompts, grader validation, full curves, license table, reproducibility commands.</w:t>
            </w:r>
          </w:p>
        </w:tc>
      </w:tr>
    </w:tbl>
    <w:p>
      <w:pPr>
        <w:spacing w:after="0"/>
      </w:pPr>
    </w:p>
    <w:p>
      <w:pPr>
        <w:pStyle w:val="Heading1"/>
      </w:pPr>
      <w:r>
        <w:t>Final pre-paper and pre-release checklist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04"/>
            <w:shd w:fill="12263A"/>
            <w:tcMar>
              <w:top w:w="85" w:type="dxa"/>
              <w:start w:w="85" w:type="dxa"/>
              <w:bottom w:w="85" w:type="dxa"/>
              <w:end w:w="85" w:type="dxa"/>
            </w:tcMar>
            <w:vAlign w:val="center"/>
          </w:tcPr>
          <w:p>
            <w:pPr>
              <w:jc w:val="left"/>
            </w:pPr>
            <w:r>
              <w:rPr>
                <w:rFonts w:ascii="Arial" w:hAnsi="Arial" w:eastAsia="Arial"/>
                <w:b/>
                <w:color w:val="FFFFFF"/>
                <w:sz w:val="15"/>
              </w:rPr>
              <w:t>#</w:t>
            </w:r>
          </w:p>
        </w:tc>
        <w:tc>
          <w:tcPr>
            <w:tcW w:type="dxa" w:w="5976"/>
            <w:shd w:fill="12263A"/>
            <w:tcMar>
              <w:top w:w="85" w:type="dxa"/>
              <w:start w:w="85" w:type="dxa"/>
              <w:bottom w:w="85" w:type="dxa"/>
              <w:end w:w="85" w:type="dxa"/>
            </w:tcMar>
            <w:vAlign w:val="center"/>
          </w:tcPr>
          <w:p>
            <w:pPr>
              <w:jc w:val="left"/>
            </w:pPr>
            <w:r>
              <w:rPr>
                <w:rFonts w:ascii="Arial" w:hAnsi="Arial" w:eastAsia="Arial"/>
                <w:b/>
                <w:color w:val="FFFFFF"/>
                <w:sz w:val="15"/>
              </w:rPr>
              <w:t>Requirement</w:t>
            </w:r>
          </w:p>
        </w:tc>
        <w:tc>
          <w:tcPr>
            <w:tcW w:type="dxa" w:w="2923"/>
            <w:shd w:fill="12263A"/>
            <w:tcMar>
              <w:top w:w="85" w:type="dxa"/>
              <w:start w:w="85" w:type="dxa"/>
              <w:bottom w:w="85" w:type="dxa"/>
              <w:end w:w="85" w:type="dxa"/>
            </w:tcMar>
            <w:vAlign w:val="center"/>
          </w:tcPr>
          <w:p>
            <w:pPr>
              <w:jc w:val="left"/>
            </w:pPr>
            <w:r>
              <w:rPr>
                <w:rFonts w:ascii="Arial" w:hAnsi="Arial" w:eastAsia="Arial"/>
                <w:b/>
                <w:color w:val="FFFFFF"/>
                <w:sz w:val="15"/>
              </w:rPr>
              <w:t>Completion evidence</w:t>
            </w:r>
          </w:p>
        </w:tc>
      </w:tr>
      <w:tr>
        <w:trPr>
          <w:cantSplit/>
          <w:trHeight w:hRule="atLeast"/>
        </w:trPr>
        <w:tc>
          <w:tcPr>
            <w:tcW w:type="dxa" w:w="6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1.</w:t>
            </w:r>
          </w:p>
        </w:tc>
        <w:tc>
          <w:tcPr>
            <w:tcW w:type="dxa" w:w="597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Protocol frozen before final-test access, with exactly ONE primary endpoint definition, a declared alpha hierarchy, a declared missingness rule, a costed budget and a power-derived N. [Reviewed 2]</w:t>
            </w:r>
          </w:p>
        </w:tc>
        <w:tc>
          <w:tcPr>
            <w:tcW w:type="dxa" w:w="2923"/>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Signed PROTOCOL.md in git; grep confirms no competing margin definition survives. [Reviewed 2]</w:t>
            </w:r>
          </w:p>
        </w:tc>
      </w:tr>
      <w:tr>
        <w:trPr>
          <w:cantSplit/>
          <w:trHeight w:hRule="atLeast"/>
        </w:trPr>
        <w:tc>
          <w:tcPr>
            <w:tcW w:type="dxa" w:w="6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2.</w:t>
            </w:r>
          </w:p>
        </w:tc>
        <w:tc>
          <w:tcPr>
            <w:tcW w:type="dxa" w:w="597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All sources pinned and licensed for intended use, with a RELEASE allowlist distinct from the use allowlist and share-alike propagation analysed. [Reviewed 2]</w:t>
            </w:r>
          </w:p>
        </w:tc>
        <w:tc>
          <w:tcPr>
            <w:tcW w:type="dxa" w:w="2923"/>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3.</w:t>
            </w:r>
          </w:p>
        </w:tc>
        <w:tc>
          <w:tcPr>
            <w:tcW w:type="dxa" w:w="597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Dedup thresholds audit-calibrated with reported precision/recall; residual near-duplicate rate reported as a CI upper bound (not 'zero'); repeats item-grouped; encoder source-probe AUC reported. [Reviewed 2]</w:t>
            </w:r>
          </w:p>
        </w:tc>
        <w:tc>
          <w:tcPr>
            <w:tcW w:type="dxa" w:w="2923"/>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4.</w:t>
            </w:r>
          </w:p>
        </w:tc>
        <w:tc>
          <w:tcPr>
            <w:tcW w:type="dxa" w:w="597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Grader gold/negative controls passed in pinned environments.</w:t>
            </w:r>
          </w:p>
        </w:tc>
        <w:tc>
          <w:tcPr>
            <w:tcW w:type="dxa" w:w="2923"/>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5.</w:t>
            </w:r>
          </w:p>
        </w:tc>
        <w:tc>
          <w:tcPr>
            <w:tcW w:type="dxa" w:w="597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Always Cheap, Best Single, task-only, share-matched random, cascade routing [R31], best-of-N at matched spend, per-configuration-constant control, and BOTH oracle estimators reported. [Reviewed 2]</w:t>
            </w:r>
          </w:p>
        </w:tc>
        <w:tc>
          <w:tcPr>
            <w:tcW w:type="dxa" w:w="2923"/>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6.</w:t>
            </w:r>
          </w:p>
        </w:tc>
        <w:tc>
          <w:tcPr>
            <w:tcW w:type="dxa" w:w="597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Difficulty retained only if its ablation passes.</w:t>
            </w:r>
          </w:p>
        </w:tc>
        <w:tc>
          <w:tcPr>
            <w:tcW w:type="dxa" w:w="2923"/>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7.</w:t>
            </w:r>
          </w:p>
        </w:tc>
        <w:tc>
          <w:tcPr>
            <w:tcW w:type="dxa" w:w="597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Risk calibrated at POLICY level on CAL-B and reported on the SELECTED arm jointly with coverage; per-arm conformal control reported alongside. [Reviewed 2]</w:t>
            </w:r>
          </w:p>
        </w:tc>
        <w:tc>
          <w:tcPr>
            <w:tcW w:type="dxa" w:w="2923"/>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8.</w:t>
            </w:r>
          </w:p>
        </w:tc>
        <w:tc>
          <w:tcPr>
            <w:tcW w:type="dxa" w:w="597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OOD and new-model-family results reported.</w:t>
            </w:r>
          </w:p>
        </w:tc>
        <w:tc>
          <w:tcPr>
            <w:tcW w:type="dxa" w:w="2923"/>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9.</w:t>
            </w:r>
          </w:p>
        </w:tc>
        <w:tc>
          <w:tcPr>
            <w:tcW w:type="dxa" w:w="597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Total cost includes router, generation, verification, tools, retries, failures, and local compute.</w:t>
            </w:r>
          </w:p>
        </w:tc>
        <w:tc>
          <w:tcPr>
            <w:tcW w:type="dxa" w:w="2923"/>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10.</w:t>
            </w:r>
          </w:p>
        </w:tc>
        <w:tc>
          <w:tcPr>
            <w:tcW w:type="dxa" w:w="597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Budget firewall and retry ceilings tested independently of the learned router.</w:t>
            </w:r>
          </w:p>
        </w:tc>
        <w:tc>
          <w:tcPr>
            <w:tcW w:type="dxa" w:w="2923"/>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11.</w:t>
            </w:r>
          </w:p>
        </w:tc>
        <w:tc>
          <w:tcPr>
            <w:tcW w:type="dxa" w:w="597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Adaptive, defence-in-the-loop adversarial tests and privacy/logging tests passed. [Reviewed 2]</w:t>
            </w:r>
          </w:p>
        </w:tc>
        <w:tc>
          <w:tcPr>
            <w:tcW w:type="dxa" w:w="2923"/>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r>
              <w:t>ASR reported as a curve over attacker query budget; proven worst-case per-tenant spend bound recorded; zero firewall breaches. No fixed block-rate target is claimed. [Reviewed 2]</w:t>
            </w:r>
          </w:p>
        </w:tc>
      </w:tr>
      <w:tr>
        <w:trPr>
          <w:cantSplit/>
          <w:trHeight w:hRule="atLeast"/>
        </w:trPr>
        <w:tc>
          <w:tcPr>
            <w:tcW w:type="dxa" w:w="6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12.</w:t>
            </w:r>
          </w:p>
        </w:tc>
        <w:tc>
          <w:tcPr>
            <w:tcW w:type="dxa" w:w="597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Every figure/table regenerates from a versioned experiment ID.</w:t>
            </w:r>
          </w:p>
        </w:tc>
        <w:tc>
          <w:tcPr>
            <w:tcW w:type="dxa" w:w="2923"/>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13.</w:t>
            </w:r>
          </w:p>
        </w:tc>
        <w:tc>
          <w:tcPr>
            <w:tcW w:type="dxa" w:w="5976"/>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Negative results and residual limitations are included in the manuscript.</w:t>
            </w:r>
          </w:p>
        </w:tc>
        <w:tc>
          <w:tcPr>
            <w:tcW w:type="dxa" w:w="2923"/>
            <w:tcMar>
              <w:top w:w="75" w:type="dxa"/>
              <w:start w:w="80" w:type="dxa"/>
              <w:bottom w:w="75" w:type="dxa"/>
              <w:end w:w="80" w:type="dxa"/>
            </w:tcMar>
            <w:shd w:fill="FFFFFF"/>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rPr>
          <w:cantSplit/>
          <w:trHeight w:hRule="atLeast"/>
        </w:trPr>
        <w:tc>
          <w:tcPr>
            <w:tcW w:type="dxa" w:w="604"/>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14.</w:t>
            </w:r>
          </w:p>
        </w:tc>
        <w:tc>
          <w:tcPr>
            <w:tcW w:type="dxa" w:w="5976"/>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Production feedback is quarantined and cannot modify the live router directly.</w:t>
            </w:r>
          </w:p>
        </w:tc>
        <w:tc>
          <w:tcPr>
            <w:tcW w:type="dxa" w:w="2923"/>
            <w:tcMar>
              <w:top w:w="75" w:type="dxa"/>
              <w:start w:w="80" w:type="dxa"/>
              <w:bottom w:w="75" w:type="dxa"/>
              <w:end w:w="80" w:type="dxa"/>
            </w:tcMar>
            <w:shd w:fill="F5F7F8"/>
            <w:tcBorders>
              <w:top w:val="single" w:sz="2" w:color="D8DEE2"/>
              <w:left w:val="single" w:sz="2" w:color="D8DEE2"/>
              <w:bottom w:val="single" w:sz="2" w:color="D8DEE2"/>
              <w:right w:val="single" w:sz="2" w:color="D8DEE2"/>
            </w:tcBorders>
          </w:tcPr>
          <w:p>
            <w:pPr>
              <w:spacing w:after="0"/>
            </w:pPr>
            <w:r>
              <w:rPr>
                <w:rFonts w:ascii="Arial" w:hAnsi="Arial" w:eastAsia="Arial"/>
                <w:b w:val="0"/>
                <w:color w:val="263238"/>
                <w:sz w:val="15"/>
              </w:rPr>
              <w:t>Owner / evidence: ____________________</w:t>
            </w:r>
          </w:p>
        </w:tc>
      </w:tr>
      <w:tr>
        <w:tc>
          <w:tcPr>
            <w:tcW w:type="dxa" w:w="3389"/>
          </w:tcPr>
          <w:p>
            <w:r>
              <w:t>15. [Reviewed 2]</w:t>
            </w:r>
          </w:p>
        </w:tc>
        <w:tc>
          <w:tcPr>
            <w:tcW w:type="dxa" w:w="3389"/>
          </w:tcPr>
          <w:p>
            <w:r>
              <w:t>Primary cost endpoint tested as a ratio of totals by split-group cluster bootstrap, not by a median-shift test. [Reviewed 2]</w:t>
            </w:r>
          </w:p>
        </w:tc>
        <w:tc>
          <w:tcPr>
            <w:tcW w:type="dxa" w:w="3389"/>
          </w:tcPr>
          <w:p>
            <w:r>
              <w:t>Owner / evidence: ____________________</w:t>
            </w:r>
          </w:p>
        </w:tc>
      </w:tr>
      <w:tr>
        <w:tc>
          <w:tcPr>
            <w:tcW w:type="dxa" w:w="3389"/>
          </w:tcPr>
          <w:p>
            <w:r>
              <w:t>16. [Reviewed 2]</w:t>
            </w:r>
          </w:p>
        </w:tc>
        <w:tc>
          <w:tcPr>
            <w:tcW w:type="dxa" w:w="3389"/>
          </w:tcPr>
          <w:p>
            <w:r>
              <w:t>Savings reported as a curve over the price ratio rho, plus one price-free metric. [Reviewed 2]</w:t>
            </w:r>
          </w:p>
        </w:tc>
        <w:tc>
          <w:tcPr>
            <w:tcW w:type="dxa" w:w="3389"/>
          </w:tcPr>
          <w:p>
            <w:r>
              <w:t>Owner / evidence: ____________________</w:t>
            </w:r>
          </w:p>
        </w:tc>
      </w:tr>
      <w:tr>
        <w:tc>
          <w:tcPr>
            <w:tcW w:type="dxa" w:w="3389"/>
          </w:tcPr>
          <w:p>
            <w:r>
              <w:t>17. [Reviewed 2]</w:t>
            </w:r>
          </w:p>
        </w:tc>
        <w:tc>
          <w:tcPr>
            <w:tcW w:type="dxa" w:w="3389"/>
          </w:tcPr>
          <w:p>
            <w:r>
              <w:t>Shuffled-label negative control returns chance performance. [Reviewed 2]</w:t>
            </w:r>
          </w:p>
        </w:tc>
        <w:tc>
          <w:tcPr>
            <w:tcW w:type="dxa" w:w="3389"/>
          </w:tcPr>
          <w:p>
            <w:r>
              <w:t>Owner / evidence: ____________________</w:t>
            </w:r>
          </w:p>
        </w:tc>
      </w:tr>
      <w:tr>
        <w:tc>
          <w:tcPr>
            <w:tcW w:type="dxa" w:w="3389"/>
          </w:tcPr>
          <w:p>
            <w:r>
              <w:t>18. [Reviewed 2]</w:t>
            </w:r>
          </w:p>
        </w:tc>
        <w:tc>
          <w:tcPr>
            <w:tcW w:type="dxa" w:w="3389"/>
          </w:tcPr>
          <w:p>
            <w:r>
              <w:t>Every artifact cleared against the RELEASE allowlist before publication. [Reviewed 2]</w:t>
            </w:r>
          </w:p>
        </w:tc>
        <w:tc>
          <w:tcPr>
            <w:tcW w:type="dxa" w:w="3389"/>
          </w:tcPr>
          <w:p>
            <w:r>
              <w:t>Owner / evidence: ____________________</w:t>
            </w:r>
          </w:p>
        </w:tc>
      </w:tr>
      <w:tr>
        <w:tc>
          <w:tcPr>
            <w:tcW w:type="dxa" w:w="3389"/>
          </w:tcPr>
          <w:p>
            <w:r>
              <w:t>19. [Reviewed 2]</w:t>
            </w:r>
          </w:p>
        </w:tc>
        <w:tc>
          <w:tcPr>
            <w:tcW w:type="dxa" w:w="3389"/>
          </w:tcPr>
          <w:p>
            <w:r>
              <w:t>No guarantee language appears in any off-distribution result. [Reviewed 2]</w:t>
            </w:r>
          </w:p>
        </w:tc>
        <w:tc>
          <w:tcPr>
            <w:tcW w:type="dxa" w:w="3389"/>
          </w:tcPr>
          <w:p>
            <w:r>
              <w:t>Owner / evidence: ____________________</w:t>
            </w:r>
          </w:p>
        </w:tc>
      </w:tr>
    </w:tbl>
    <w:p>
      <w:pPr>
        <w:spacing w:after="0"/>
      </w:pPr>
    </w:p>
    <w:p>
      <w:pPr>
        <w:pStyle w:val="Heading1"/>
      </w:pPr>
      <w:r>
        <w:t>Conclusion</w:t>
      </w:r>
    </w:p>
    <w:p>
      <w:pPr>
        <w:keepNext w:val="0"/>
        <w:spacing w:after="80"/>
      </w:pPr>
      <w:r>
        <w:rPr>
          <w:rFonts w:ascii="Arial" w:hAnsi="Arial" w:eastAsia="Arial"/>
        </w:rPr>
        <w:t>The first scientifically defensible router is not the largest architecture. It is the smallest system that proves item-level, model-specific selection improves a frozen cost-quality objective; bounds its risk on the configuration it actually selects rather than on one it did not choose; survives leakage and adaptive security tests; and can be reproduced from pinned sources. [Reviewed 2] The second audit changed what this protocol treats as evidence: an ex-post oracle and a pooled ROC-AUC are not evidence of routing value, a per-arm conformal bound is not evidence about the deployed policy, a static-attack block rate is not evidence of security, and a single cost percentage is a statement about a price list rather than about a method. This protocol therefore treats every sophisticated component - especially difficulty, calibration, and the security filter - as a hypothesis to test with an estimator that cannot be inflated by noise. The resulting workflow creates both a deployable research prototype and a clean evidence trail for a paper.</w:t>
      </w:r>
    </w:p>
    <w:p>
      <w:r>
        <w:br w:type="page"/>
      </w:r>
    </w:p>
    <w:p>
      <w:pPr>
        <w:pStyle w:val="Heading1"/>
      </w:pPr>
      <w:r>
        <w:t>Selected references</w:t>
      </w:r>
    </w:p>
    <w:p>
      <w:pPr>
        <w:spacing w:after="60"/>
        <w:ind w:left="403" w:hanging="403"/>
      </w:pPr>
      <w:r>
        <w:rPr>
          <w:rFonts w:ascii="Arial" w:hAnsi="Arial" w:eastAsia="Arial"/>
          <w:b/>
          <w:color w:val="12263A"/>
          <w:sz w:val="16"/>
        </w:rPr>
        <w:t xml:space="preserve">[R1] </w:t>
      </w:r>
      <w:r>
        <w:rPr>
          <w:rFonts w:ascii="Arial" w:hAnsi="Arial" w:eastAsia="Arial"/>
          <w:sz w:val="16"/>
        </w:rPr>
        <w:t xml:space="preserve">Tao Feng et al. LLMRouter: Unified Infrastructure for Developing, Evaluating, and Deploying LLM Routers. arXiv:2608.06867, 2026. </w:t>
      </w:r>
      <w:hyperlink r:id="rId13">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[R2] </w:t>
      </w:r>
      <w:r>
        <w:rPr>
          <w:rFonts w:ascii="Arial" w:hAnsi="Arial" w:eastAsia="Arial"/>
          <w:sz w:val="16"/>
        </w:rPr>
        <w:t xml:space="preserve">Hao Li et al. LLMRouterBench: A Massive Benchmark and Unified Framework for LLM Routing. arXiv:2601.07206, 2026. </w:t>
      </w:r>
      <w:hyperlink r:id="rId19">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[R3] </w:t>
      </w:r>
      <w:r>
        <w:rPr>
          <w:rFonts w:ascii="Arial" w:hAnsi="Arial" w:eastAsia="Arial"/>
          <w:sz w:val="16"/>
        </w:rPr>
        <w:t xml:space="preserve">Qitian Jason Hu et al. RouterBench: A Benchmark for Multi-LLM Routing System. arXiv:2403.12031, 2024. </w:t>
      </w:r>
      <w:hyperlink r:id="rId48">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[R4] </w:t>
      </w:r>
      <w:r>
        <w:rPr>
          <w:rFonts w:ascii="Arial" w:hAnsi="Arial" w:eastAsia="Arial"/>
          <w:sz w:val="16"/>
        </w:rPr>
        <w:t xml:space="preserve">Mucong Ding et al. Easy2Hard-Bench: Standardized Difficulty Labels for Profiling LLM Performance and Generalization. NeurIPS Datasets and Benchmarks, 2024; arXiv revision 2025. </w:t>
      </w:r>
      <w:hyperlink r:id="rId35">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[R5] </w:t>
      </w:r>
      <w:r>
        <w:rPr>
          <w:rFonts w:ascii="Arial" w:hAnsi="Arial" w:eastAsia="Arial"/>
          <w:sz w:val="16"/>
        </w:rPr>
        <w:t xml:space="preserve">Wei Song et al. IRT-Router: Effective and Interpretable Multi-LLM Routing via Item Response Theory. ACL 2025, pp. 15629-15644. </w:t>
      </w:r>
      <w:hyperlink r:id="rId38">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[R6] </w:t>
      </w:r>
      <w:r>
        <w:rPr>
          <w:rFonts w:ascii="Arial" w:hAnsi="Arial" w:eastAsia="Arial"/>
          <w:sz w:val="16"/>
        </w:rPr>
        <w:t xml:space="preserve">Isaac Ong et al. RouteLLM: Learning to Route LLMs with Preference Data. arXiv:2406.18665, 2024/2025. </w:t>
      </w:r>
      <w:hyperlink r:id="rId54">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[R7] </w:t>
      </w:r>
      <w:r>
        <w:rPr>
          <w:rFonts w:ascii="Arial" w:hAnsi="Arial" w:eastAsia="Arial"/>
          <w:sz w:val="16"/>
        </w:rPr>
        <w:t xml:space="preserve">Alireza Mohammadshahi, Arshad Rafiq Shaikh, and Majid Yazdani. Routoo: Learning to Route to Large Language Models Effectively. arXiv:2401.13979, 2024. </w:t>
      </w:r>
      <w:hyperlink r:id="rId34">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[R8] </w:t>
      </w:r>
      <w:r>
        <w:rPr>
          <w:rFonts w:ascii="Arial" w:hAnsi="Arial" w:eastAsia="Arial"/>
          <w:sz w:val="16"/>
        </w:rPr>
        <w:t xml:space="preserve">Jiaqi Xue, Qian Lou, Jiarong Xing, and Heng Huang. R2-Router: A New Paradigm for LLM Routing with Reasoning. ICML 2026; arXiv:2602.02823. </w:t>
      </w:r>
      <w:hyperlink r:id="rId49">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[R9] </w:t>
      </w:r>
      <w:r>
        <w:rPr>
          <w:rFonts w:ascii="Arial" w:hAnsi="Arial" w:eastAsia="Arial"/>
          <w:sz w:val="16"/>
        </w:rPr>
        <w:t xml:space="preserve">Pei Yang et al. TwinRouterBench: Fast Static and Live Dynamic Evaluation for Realistic Agentic LLM Routing. arXiv:2605.18859, 2026. </w:t>
      </w:r>
      <w:hyperlink r:id="rId55">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[R10] </w:t>
      </w:r>
      <w:r>
        <w:rPr>
          <w:rFonts w:ascii="Arial" w:hAnsi="Arial" w:eastAsia="Arial"/>
          <w:sz w:val="16"/>
        </w:rPr>
        <w:t xml:space="preserve">Haochun Tang et al. Route to Rome Attack: Directing LLM Routers to Expensive Models via Adversarial Suffix Optimization. ACL 2026; arXiv:2604.15022. </w:t>
      </w:r>
      <w:hyperlink r:id="rId56">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[R11] </w:t>
      </w:r>
      <w:r>
        <w:rPr>
          <w:rFonts w:ascii="Arial" w:hAnsi="Arial" w:eastAsia="Arial"/>
          <w:sz w:val="16"/>
        </w:rPr>
        <w:t xml:space="preserve">Avital Shafran, Roei Schuster, Thomas Ristenpart, and Vitaly Shmatikov. Rerouting LLM Routers. arXiv:2501.01818, 2025. </w:t>
      </w:r>
      <w:hyperlink r:id="rId45">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[R29] </w:t>
      </w:r>
      <w:r>
        <w:rPr>
          <w:rFonts w:ascii="Arial" w:hAnsi="Arial" w:eastAsia="Arial"/>
          <w:sz w:val="16"/>
        </w:rPr>
        <w:t xml:space="preserve">Lingjiao Chen, Matei Zaharia, and James Zou. FrugalGPT: How to Use Large Language Models While Reducing Cost and Improving Performance. arXiv:2305.05176, 2023. </w:t>
      </w:r>
      <w:hyperlink r:id="rId41">
        <w:r>
          <w:rPr>
            <w:rFonts w:ascii="Arial" w:hAnsi="Arial"/>
            <w:color w:val="167C80"/>
            <w:u w:val="single"/>
            <w:sz w:val="16"/>
          </w:rPr>
          <w:t>Access</w:t>
        </w:r>
      </w:hyperlink>
    </w:p>
    <w:p>
      <w:pPr>
        <w:spacing w:after="60"/>
        <w:ind w:left="403" w:hanging="403"/>
      </w:pPr>
      <w:r>
        <w:rPr>
          <w:rFonts w:ascii="Arial" w:hAnsi="Arial" w:eastAsia="Arial"/>
          <w:b/>
          <w:color w:val="12263A"/>
          <w:sz w:val="16"/>
        </w:rPr>
        <w:t xml:space="preserve">[R30] </w:t>
      </w:r>
      <w:r>
        <w:rPr>
          <w:rFonts w:ascii="Arial" w:hAnsi="Arial" w:eastAsia="Arial"/>
          <w:sz w:val="16"/>
        </w:rPr>
        <w:t xml:space="preserve">Aman Madaan et al. AutoMix: Automatically Mixing Language Models. arXiv:2310.12963, 2023. </w:t>
      </w:r>
      <w:hyperlink r:id="rId70">
        <w:r>
          <w:rPr>
            <w:rFonts w:ascii="Arial" w:hAnsi="Arial"/>
            <w:color w:val="167C80"/>
            <w:u w:val="single"/>
            <w:sz w:val="16"/>
          </w:rPr>
          <w:t>Access</w:t>
        </w:r>
      </w:hyperlink>
    </w:p>
    <w:p>
      <w:pPr>
        <w:spacing w:after="60"/>
        <w:ind w:left="403" w:hanging="403"/>
      </w:pPr>
      <w:r>
        <w:rPr>
          <w:rFonts w:ascii="Arial" w:hAnsi="Arial" w:eastAsia="Arial"/>
          <w:b/>
          <w:color w:val="12263A"/>
          <w:sz w:val="16"/>
        </w:rPr>
        <w:t>[R31] Jasper Dekoninck, Maximilian Baader, and Martin Vechev. A Unified Approach to Routing and Cascading for LLMs. ICML 2025; arXiv:2410.10347. Code: github.com/eth-sri/cascade-routing. [Reviewed 2]</w:t>
      </w:r>
    </w:p>
    <w:p>
      <w:pPr>
        <w:spacing w:after="60"/>
        <w:ind w:left="403" w:hanging="403"/>
      </w:pPr>
      <w:r>
        <w:rPr>
          <w:rFonts w:ascii="Arial" w:hAnsi="Arial" w:eastAsia="Arial"/>
          <w:b/>
          <w:color w:val="12263A"/>
          <w:sz w:val="16"/>
        </w:rPr>
        <w:t>[R32] Dylan Bouchard. Is Escalation Worth It? A Decision-Theoretic Characterization of LLM Cascades. arXiv:2605.06350, 2026. [Reviewed 2]</w:t>
      </w:r>
    </w:p>
    <w:p>
      <w:pPr>
        <w:spacing w:after="60"/>
        <w:ind w:left="403" w:hanging="403"/>
      </w:pPr>
      <w:r>
        <w:rPr>
          <w:rFonts w:ascii="Arial" w:hAnsi="Arial" w:eastAsia="Arial"/>
          <w:b/>
          <w:color w:val="12263A"/>
          <w:sz w:val="16"/>
        </w:rPr>
        <w:t>[R33] Dongxin Guo, Jikun Wu, and Siu Ming Yiu. RouteNLP: Closed-Loop LLM Routing with Conformal Cascading and Distillation Co-Optimization. arXiv:2604.23577, 2026. [Reviewed 2]</w:t>
      </w:r>
    </w:p>
    <w:p>
      <w:pPr>
        <w:spacing w:after="60"/>
        <w:ind w:left="403" w:hanging="403"/>
      </w:pPr>
      <w:r>
        <w:rPr>
          <w:rFonts w:ascii="Arial" w:hAnsi="Arial" w:eastAsia="Arial"/>
          <w:b/>
          <w:color w:val="12263A"/>
          <w:sz w:val="16"/>
        </w:rPr>
        <w:t>[R34] Edoardo Pona, Milad Kazemi, Mehran Hosseini, Yali Du, David Watson, Osvaldo Simeone, and Nicola Paoletti. Calibrate-Then-Delegate: Safety Monitoring with Risk and Budget Guarantees via Model Cascades. arXiv:2604.14251, 2026. [Reviewed 2]</w:t>
      </w:r>
    </w:p>
    <w:p>
      <w:pPr>
        <w:spacing w:after="60"/>
        <w:ind w:left="403" w:hanging="403"/>
      </w:pPr>
      <w:r>
        <w:rPr>
          <w:rFonts w:ascii="Arial" w:hAnsi="Arial" w:eastAsia="Arial"/>
          <w:b/>
          <w:color w:val="12263A"/>
          <w:sz w:val="16"/>
        </w:rPr>
        <w:t>[R35] Evan Frick, Connor Chen, Joseph Tennyson, Tianle Li, et al. Prompt-to-Leaderboard. arXiv:2502.14855, 2025. Code: github.com/lmarena/p2l. [Reviewed 2]</w:t>
      </w:r>
    </w:p>
    <w:p>
      <w:pPr>
        <w:spacing w:after="60"/>
        <w:ind w:left="403" w:hanging="403"/>
      </w:pPr>
      <w:r>
        <w:rPr>
          <w:rFonts w:ascii="Arial" w:hAnsi="Arial" w:eastAsia="Arial"/>
          <w:b/>
          <w:color w:val="12263A"/>
          <w:sz w:val="16"/>
        </w:rPr>
        <w:t>[R36] RouterEval: A Comprehensive Benchmark for Routing LLMs to Explore Model-level Scaling Up in LLMs. arXiv:2503.10657, 2025. Code: github.com/MilkThink-Lab/RouterEval. [Reviewed 2]</w:t>
      </w:r>
    </w:p>
    <w:p>
      <w:pPr>
        <w:spacing w:after="60"/>
        <w:ind w:left="403" w:hanging="403"/>
      </w:pPr>
      <w:r>
        <w:rPr>
          <w:rFonts w:ascii="Arial" w:hAnsi="Arial" w:eastAsia="Arial"/>
          <w:b/>
          <w:color w:val="12263A"/>
          <w:sz w:val="16"/>
        </w:rPr>
        <w:t>[R37] RouterArena: An Open Platform for Comprehensive Comparison of LLM Routers. arXiv:2510.00202, 2025. [Reviewed 2]</w:t>
      </w:r>
    </w:p>
    <w:p>
      <w:pPr>
        <w:spacing w:after="60"/>
        <w:ind w:left="403" w:hanging="403"/>
      </w:pPr>
      <w:r>
        <w:rPr>
          <w:rFonts w:ascii="Arial" w:hAnsi="Arial" w:eastAsia="Arial"/>
          <w:b/>
          <w:color w:val="12263A"/>
          <w:sz w:val="16"/>
        </w:rPr>
        <w:t>[R38] Yasmin Moslem and John D. Kelleher. Dynamic Model Routing and Cascading for Efficient LLM Inference: A Survey. arXiv:2603.04445, 2026. [Reviewed 2]</w:t>
      </w:r>
    </w:p>
    <w:p>
      <w:pPr>
        <w:spacing w:after="60"/>
        <w:ind w:left="403" w:hanging="403"/>
      </w:pPr>
      <w:r>
        <w:rPr>
          <w:rFonts w:ascii="Arial" w:hAnsi="Arial" w:eastAsia="Arial"/>
          <w:b/>
          <w:color w:val="12263A"/>
          <w:sz w:val="16"/>
        </w:rPr>
        <w:t>Second-audit verification note [Reviewed 2]. Every reference [R1]-[R30] carried over from v1.1 was independently checked against its primary source on August 19, 2026; all resolve to real papers, including the 2026 entries [R1] arXiv:2608.06867, [R2] arXiv:2601.07206, [R8] arXiv:2602.02823, [R9] arXiv:2605.18859 and [R10] arXiv:2604.15022. References [R31]-[R38] were added because they directly bear on claims this protocol makes and were absent from v1.1.</w:t>
      </w:r>
    </w:p>
    <w:tbl>
      <w:tblPr>
        <w:tblW w:type="auto" w:w="0"/>
        <w:jc w:val="center"/>
        <w:tblLayout w:type="fixed"/>
        <w:tblLook w:firstColumn="1" w:firstRow="1" w:lastColumn="0" w:lastRow="0" w:noHBand="0" w:noVBand="1" w:val="04A0"/>
      </w:tblPr>
      <w:tblGrid>
        <w:gridCol w:w="10166"/>
      </w:tblGrid>
      <w:tr>
        <w:trPr>
          <w:cantSplit/>
        </w:trPr>
        <w:tc>
          <w:tcPr>
            <w:tcW w:type="dxa" w:w="9720"/>
            <w:shd w:fill="FFF8E7"/>
            <w:tcBorders>
              <w:top w:val="single" w:sz="8" w:color="C7942E"/>
              <w:left w:val="single" w:sz="18" w:color="C7942E"/>
              <w:bottom w:val="single" w:sz="8" w:color="C7942E"/>
              <w:right w:val="single" w:sz="8" w:color="C7942E"/>
            </w:tcBorders>
            <w:tcMar>
              <w:top w:w="110" w:type="dxa"/>
              <w:start w:w="145" w:type="dxa"/>
              <w:bottom w:w="110" w:type="dxa"/>
              <w:end w:w="145" w:type="dxa"/>
            </w:tcMar>
          </w:tcPr>
          <w:p>
            <w:pPr>
              <w:spacing w:after="40"/>
            </w:pPr>
            <w:r>
              <w:rPr>
                <w:rFonts w:ascii="Arial" w:hAnsi="Arial" w:eastAsia="Arial"/>
                <w:b/>
                <w:color w:val="C7942E"/>
                <w:sz w:val="19"/>
              </w:rPr>
              <w:t>Reference-date note</w:t>
            </w:r>
          </w:p>
          <w:p>
            <w:pPr>
              <w:spacing w:after="0"/>
            </w:pPr>
            <w:r>
              <w:rPr>
                <w:rFonts w:ascii="Arial" w:hAnsi="Arial" w:eastAsia="Arial"/>
                <w:color w:val="263238"/>
                <w:sz w:val="17"/>
              </w:rPr>
              <w:t>Links and source descriptions in this protocol were checked on August 18, 2026. Repositories, dataset cards, provider pricing, and terms can change; the experiment must snapshot the exact versions actually used.</w:t>
            </w:r>
          </w:p>
        </w:tc>
      </w:tr>
    </w:tbl>
    <w:p>
      <w:pPr>
        <w:spacing w:after="0"/>
      </w:pPr>
    </w:p>
    <w:sectPr w:rsidR="00FC693F" w:rsidRPr="0006063C" w:rsidSect="00034616">
      <w:headerReference w:type="default" r:id="rId9"/>
      <w:footerReference w:type="default" r:id="rId10"/>
      <w:pgSz w:w="12240" w:h="15840"/>
      <w:pgMar w:top="893" w:right="1037" w:bottom="893"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7B878D"/>
        <w:sz w:val="16"/>
      </w:rPr>
      <w:t xml:space="preserve">Page </w:t>
    </w:r>
    <w:r>
      <w:rPr>
        <w:rFonts w:ascii="Arial" w:hAnsi="Arial" w:eastAsia="Arial"/>
        <w:color w:val="7B878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7B878D"/>
        <w:sz w:val="15"/>
      </w:rPr>
      <w:t>Multi-LLM Router Research Protocol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9" w:lineRule="auto"/>
    </w:pPr>
    <w:rPr>
      <w:rFonts w:ascii="Arial" w:hAnsi="Arial"/>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2263A"/>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C79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226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i/>
      <w:iCs/>
      <w:color w:val="167C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jc w:val="center"/>
    </w:pPr>
    <w:rPr>
      <w:rFonts w:ascii="Arial" w:hAnsi="Arial"/>
      <w:i/>
      <w:color w:val="4D596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608.06867" TargetMode="External"/><Relationship Id="rId14" Type="http://schemas.openxmlformats.org/officeDocument/2006/relationships/hyperlink" Target="https://github.com/ulab-uiuc/LLMRouter" TargetMode="External"/><Relationship Id="rId15" Type="http://schemas.openxmlformats.org/officeDocument/2006/relationships/hyperlink" Target="https://github.com/ynulihao/LLMRouterBench" TargetMode="External"/><Relationship Id="rId16" Type="http://schemas.openxmlformats.org/officeDocument/2006/relationships/hyperlink" Target="https://github.com/withmartian/routerbench" TargetMode="External"/><Relationship Id="rId17" Type="http://schemas.openxmlformats.org/officeDocument/2006/relationships/hyperlink" Target="https://huggingface.co/datasets/furonghuang-lab/Easy2Hard-Bench" TargetMode="External"/><Relationship Id="rId18" Type="http://schemas.openxmlformats.org/officeDocument/2006/relationships/hyperlink" Target="https://huggingface.co/datasets/Idavidrein/gpqa" TargetMode="External"/><Relationship Id="rId19" Type="http://schemas.openxmlformats.org/officeDocument/2006/relationships/hyperlink" Target="https://arxiv.org/abs/2601.07206" TargetMode="External"/><Relationship Id="rId20" Type="http://schemas.openxmlformats.org/officeDocument/2006/relationships/hyperlink" Target="https://developers.openai.com/api/docs/pricing" TargetMode="External"/><Relationship Id="rId21" Type="http://schemas.openxmlformats.org/officeDocument/2006/relationships/hyperlink" Target="https://docs.anthropic.com/en/docs/about-claude/pricing" TargetMode="External"/><Relationship Id="rId22" Type="http://schemas.openxmlformats.org/officeDocument/2006/relationships/hyperlink" Target="https://ai.google.dev/gemini-api/docs/pricing" TargetMode="External"/><Relationship Id="rId23" Type="http://schemas.openxmlformats.org/officeDocument/2006/relationships/hyperlink" Target="https://openrouter.ai/docs/api/api-reference/models/list-all-models-and-their-properties" TargetMode="External"/><Relationship Id="rId24" Type="http://schemas.openxmlformats.org/officeDocument/2006/relationships/hyperlink" Target="https://huggingface.co/datasets/withmartian/routerbench" TargetMode="External"/><Relationship Id="rId25" Type="http://schemas.openxmlformats.org/officeDocument/2006/relationships/hyperlink" Target="https://huggingface.co/datasets/TIGER-Lab/MMLU-Pro" TargetMode="External"/><Relationship Id="rId26" Type="http://schemas.openxmlformats.org/officeDocument/2006/relationships/hyperlink" Target="https://github.com/livecodebench/livecodebench" TargetMode="External"/><Relationship Id="rId27" Type="http://schemas.openxmlformats.org/officeDocument/2006/relationships/hyperlink" Target="https://huggingface.co/datasets/princeton-nlp/SWE-bench_Verified" TargetMode="External"/><Relationship Id="rId28" Type="http://schemas.openxmlformats.org/officeDocument/2006/relationships/image" Target="media/image3.png"/><Relationship Id="rId29" Type="http://schemas.openxmlformats.org/officeDocument/2006/relationships/hyperlink" Target="https://github.com/ynulihao/LLMRouterBench/tree/main/evaluation" TargetMode="External"/><Relationship Id="rId30" Type="http://schemas.openxmlformats.org/officeDocument/2006/relationships/hyperlink" Target="https://github.com/SWE-bench/SWE-bench" TargetMode="External"/><Relationship Id="rId31" Type="http://schemas.openxmlformats.org/officeDocument/2006/relationships/hyperlink" Target="https://github.com/ShishirPatil/gorilla/tree/main/berkeley-function-call-leaderboard" TargetMode="External"/><Relationship Id="rId32" Type="http://schemas.openxmlformats.org/officeDocument/2006/relationships/hyperlink" Target="https://github.com/google-research/google-research/tree/master/instruction_following_eval" TargetMode="External"/><Relationship Id="rId33" Type="http://schemas.openxmlformats.org/officeDocument/2006/relationships/hyperlink" Target="https://github.com/lm-sys/RouteLLM" TargetMode="External"/><Relationship Id="rId34" Type="http://schemas.openxmlformats.org/officeDocument/2006/relationships/hyperlink" Target="https://arxiv.org/abs/2401.13979" TargetMode="External"/><Relationship Id="rId35" Type="http://schemas.openxmlformats.org/officeDocument/2006/relationships/hyperlink" Target="https://arxiv.org/abs/2409.18433" TargetMode="External"/><Relationship Id="rId36" Type="http://schemas.openxmlformats.org/officeDocument/2006/relationships/hyperlink" Target="https://github.com/Mercidaiha/IRT-Router" TargetMode="External"/><Relationship Id="rId37" Type="http://schemas.openxmlformats.org/officeDocument/2006/relationships/image" Target="media/image4.png"/><Relationship Id="rId38" Type="http://schemas.openxmlformats.org/officeDocument/2006/relationships/hyperlink" Target="https://aclanthology.org/2025.acl-long.761/" TargetMode="External"/><Relationship Id="rId39" Type="http://schemas.openxmlformats.org/officeDocument/2006/relationships/hyperlink" Target="https://github.com/UCF-ML-Research/R2-Router" TargetMode="External"/><Relationship Id="rId40" Type="http://schemas.openxmlformats.org/officeDocument/2006/relationships/hyperlink" Target="https://scikit-learn.org/stable/modules/calibration.html" TargetMode="External"/><Relationship Id="rId41" Type="http://schemas.openxmlformats.org/officeDocument/2006/relationships/hyperlink" Target="https://arxiv.org/abs/2305.05176" TargetMode="External"/><Relationship Id="rId42" Type="http://schemas.openxmlformats.org/officeDocument/2006/relationships/hyperlink" Target="https://github.com/automix-llm/automix" TargetMode="External"/><Relationship Id="rId43" Type="http://schemas.openxmlformats.org/officeDocument/2006/relationships/hyperlink" Target="https://github.com/SWE-bench/SWE-bench/blob/main/docs/guides/evaluation.md" TargetMode="External"/><Relationship Id="rId44" Type="http://schemas.openxmlformats.org/officeDocument/2006/relationships/hyperlink" Target="https://github.com/thcxiker/R2A-Attack" TargetMode="External"/><Relationship Id="rId45" Type="http://schemas.openxmlformats.org/officeDocument/2006/relationships/hyperlink" Target="https://arxiv.org/abs/2501.01818" TargetMode="External"/><Relationship Id="rId46" Type="http://schemas.openxmlformats.org/officeDocument/2006/relationships/hyperlink" Target="https://genai.owasp.org/llmrisk/llm01-prompt-injection/" TargetMode="External"/><Relationship Id="rId47" Type="http://schemas.openxmlformats.org/officeDocument/2006/relationships/hyperlink" Target="https://genai.owasp.org/llmrisk/llm102025-unbounded-consumption/" TargetMode="External"/><Relationship Id="rId48" Type="http://schemas.openxmlformats.org/officeDocument/2006/relationships/hyperlink" Target="https://arxiv.org/abs/2403.12031" TargetMode="External"/><Relationship Id="rId49" Type="http://schemas.openxmlformats.org/officeDocument/2006/relationships/hyperlink" Target="https://arxiv.org/abs/2602.02823" TargetMode="External"/><Relationship Id="rId50" Type="http://schemas.openxmlformats.org/officeDocument/2006/relationships/hyperlink" Target="https://genai.owasp.org/initiatives/top-10-for-llm-and-genai/" TargetMode="External"/><Relationship Id="rId51" Type="http://schemas.openxmlformats.org/officeDocument/2006/relationships/hyperlink" Target="https://github.com/CommonstackAI/TwinRouterBench" TargetMode="External"/><Relationship Id="rId52" Type="http://schemas.openxmlformats.org/officeDocument/2006/relationships/image" Target="media/image5.png"/><Relationship Id="rId53" Type="http://schemas.openxmlformats.org/officeDocument/2006/relationships/image" Target="media/image6.png"/><Relationship Id="rId54" Type="http://schemas.openxmlformats.org/officeDocument/2006/relationships/hyperlink" Target="https://arxiv.org/abs/2406.18665" TargetMode="External"/><Relationship Id="rId55" Type="http://schemas.openxmlformats.org/officeDocument/2006/relationships/hyperlink" Target="https://arxiv.org/abs/2605.18859" TargetMode="External"/><Relationship Id="rId56" Type="http://schemas.openxmlformats.org/officeDocument/2006/relationships/hyperlink" Target="https://arxiv.org/abs/2604.15022" TargetMode="External"/><Relationship Id="rId57" Type="http://schemas.openxmlformats.org/officeDocument/2006/relationships/hyperlink" Target="https://github.com/TIGER-AI-Lab/MMLU-Pro" TargetMode="External"/><Relationship Id="rId58" Type="http://schemas.openxmlformats.org/officeDocument/2006/relationships/hyperlink" Target="https://github.com/idavidrein/gpqa" TargetMode="External"/><Relationship Id="rId59" Type="http://schemas.openxmlformats.org/officeDocument/2006/relationships/hyperlink" Target="https://github.com/livebench/livebench" TargetMode="External"/><Relationship Id="rId60" Type="http://schemas.openxmlformats.org/officeDocument/2006/relationships/hyperlink" Target="https://huggingface.co/livebench" TargetMode="External"/><Relationship Id="rId61" Type="http://schemas.openxmlformats.org/officeDocument/2006/relationships/hyperlink" Target="https://livecodebench.github.io/" TargetMode="External"/><Relationship Id="rId62" Type="http://schemas.openxmlformats.org/officeDocument/2006/relationships/hyperlink" Target="https://huggingface.co/datasets/google/IFEval" TargetMode="External"/><Relationship Id="rId63" Type="http://schemas.openxmlformats.org/officeDocument/2006/relationships/hyperlink" Target="https://huggingface.co/datasets/gorilla-llm/Berkeley-Function-Calling-Leaderboard" TargetMode="External"/><Relationship Id="rId64" Type="http://schemas.openxmlformats.org/officeDocument/2006/relationships/hyperlink" Target="https://github.com/centerforaisafety/hle" TargetMode="External"/><Relationship Id="rId65" Type="http://schemas.openxmlformats.org/officeDocument/2006/relationships/hyperlink" Target="https://huggingface.co/datasets/cais/hle" TargetMode="External"/><Relationship Id="rId66" Type="http://schemas.openxmlformats.org/officeDocument/2006/relationships/hyperlink" Target="https://github.com/sierra-research/tau2-bench" TargetMode="External"/><Relationship Id="rId67" Type="http://schemas.openxmlformats.org/officeDocument/2006/relationships/hyperlink" Target="https://taubench.com/" TargetMode="External"/><Relationship Id="rId68" Type="http://schemas.openxmlformats.org/officeDocument/2006/relationships/hyperlink" Target="https://docs.anthropic.com/en/docs/about-claude/models/overview" TargetMode="External"/><Relationship Id="rId69" Type="http://schemas.openxmlformats.org/officeDocument/2006/relationships/hyperlink" Target="https://github.com/stanford-futuredata/Frugalgpt" TargetMode="External"/><Relationship Id="rId70" Type="http://schemas.openxmlformats.org/officeDocument/2006/relationships/hyperlink" Target="https://arxiv.org/abs/2310.129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Protocol and Experimental Development Plan for a Multi-LLM Router</dc:title>
  <dc:subject>Scientific experiment plan for capability-, difficulty-, and cost-aware LLM routing</dc:subject>
  <dc:creator>OpenAI</dc:creator>
  <cp:keywords>LLM routing, model routing, difficulty, benchmarks, cost optimization, research protocol</cp:keywords>
  <dc:description>Prepared as a research and implementation planning artifact.</dc:description>
  <cp:lastModifiedBy/>
  <cp:revision>1</cp:revision>
  <dcterms:created xsi:type="dcterms:W3CDTF">2013-12-23T23:15:00Z</dcterms:created>
  <dcterms:modified xsi:type="dcterms:W3CDTF">2013-12-23T23:15:00Z</dcterms:modified>
  <cp:category/>
</cp:coreProperties>
</file>