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0C395" w14:textId="77777777" w:rsidR="002B2C7C" w:rsidRPr="004426DB" w:rsidRDefault="00D60C41" w:rsidP="005E5337">
      <w:pPr>
        <w:jc w:val="right"/>
      </w:pPr>
      <w:r>
        <w:rPr>
          <w:noProof/>
          <w:sz w:val="52"/>
          <w:lang w:eastAsia="zh-CN"/>
        </w:rPr>
        <w:drawing>
          <wp:inline distT="0" distB="0" distL="0" distR="0" wp14:anchorId="11617141" wp14:editId="624274A5">
            <wp:extent cx="4181475" cy="2009775"/>
            <wp:effectExtent l="19050" t="0" r="9525" b="0"/>
            <wp:docPr id="1" name="Picture 0" descr="AND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DS_logo.jpg"/>
                    <pic:cNvPicPr>
                      <a:picLocks noChangeAspect="1" noChangeArrowheads="1"/>
                    </pic:cNvPicPr>
                  </pic:nvPicPr>
                  <pic:blipFill>
                    <a:blip r:embed="rId9" cstate="print"/>
                    <a:srcRect/>
                    <a:stretch>
                      <a:fillRect/>
                    </a:stretch>
                  </pic:blipFill>
                  <pic:spPr bwMode="auto">
                    <a:xfrm>
                      <a:off x="0" y="0"/>
                      <a:ext cx="4181475" cy="2009775"/>
                    </a:xfrm>
                    <a:prstGeom prst="rect">
                      <a:avLst/>
                    </a:prstGeom>
                    <a:noFill/>
                    <a:ln w="9525">
                      <a:noFill/>
                      <a:miter lim="800000"/>
                      <a:headEnd/>
                      <a:tailEnd/>
                    </a:ln>
                  </pic:spPr>
                </pic:pic>
              </a:graphicData>
            </a:graphic>
          </wp:inline>
        </w:drawing>
      </w:r>
    </w:p>
    <w:p w14:paraId="3D9BF59C" w14:textId="77777777" w:rsidR="002B2C7C" w:rsidRPr="004426DB" w:rsidRDefault="002B2C7C" w:rsidP="005E5337">
      <w:pPr>
        <w:rPr>
          <w:b/>
          <w:sz w:val="56"/>
        </w:rPr>
      </w:pPr>
    </w:p>
    <w:p w14:paraId="232A2A48" w14:textId="77777777" w:rsidR="002B2C7C" w:rsidRPr="005E5337" w:rsidRDefault="0012640D" w:rsidP="005E5337">
      <w:pPr>
        <w:jc w:val="right"/>
        <w:rPr>
          <w:b/>
          <w:i/>
          <w:sz w:val="44"/>
          <w:szCs w:val="44"/>
        </w:rPr>
      </w:pPr>
      <w:r>
        <w:rPr>
          <w:b/>
          <w:i/>
          <w:sz w:val="44"/>
          <w:szCs w:val="44"/>
        </w:rPr>
        <w:t>Cite</w:t>
      </w:r>
      <w:r w:rsidR="002B2C7C" w:rsidRPr="005E5337">
        <w:rPr>
          <w:b/>
          <w:i/>
          <w:sz w:val="44"/>
          <w:szCs w:val="44"/>
        </w:rPr>
        <w:t xml:space="preserve"> My Data</w:t>
      </w:r>
      <w:r>
        <w:rPr>
          <w:b/>
          <w:i/>
          <w:sz w:val="44"/>
          <w:szCs w:val="44"/>
        </w:rPr>
        <w:t xml:space="preserve"> </w:t>
      </w:r>
    </w:p>
    <w:p w14:paraId="23A4C002" w14:textId="77777777" w:rsidR="002B2C7C" w:rsidRPr="005E5337" w:rsidRDefault="002B2C7C" w:rsidP="005E5337">
      <w:pPr>
        <w:jc w:val="right"/>
        <w:rPr>
          <w:b/>
          <w:sz w:val="44"/>
          <w:szCs w:val="44"/>
        </w:rPr>
      </w:pPr>
      <w:r w:rsidRPr="005E5337">
        <w:rPr>
          <w:b/>
          <w:sz w:val="44"/>
          <w:szCs w:val="44"/>
        </w:rPr>
        <w:t xml:space="preserve">ANDS </w:t>
      </w:r>
      <w:r w:rsidR="0012640D">
        <w:rPr>
          <w:b/>
          <w:sz w:val="44"/>
          <w:szCs w:val="44"/>
        </w:rPr>
        <w:t>DOI</w:t>
      </w:r>
      <w:r w:rsidRPr="005E5337">
        <w:rPr>
          <w:b/>
          <w:sz w:val="44"/>
          <w:szCs w:val="44"/>
        </w:rPr>
        <w:t xml:space="preserve"> Web Service</w:t>
      </w:r>
    </w:p>
    <w:p w14:paraId="0266DAE1" w14:textId="77777777" w:rsidR="002B2C7C" w:rsidRDefault="002B2C7C" w:rsidP="005E5337"/>
    <w:p w14:paraId="3EE7AE86" w14:textId="77777777" w:rsidR="002B2C7C" w:rsidRDefault="002B2C7C" w:rsidP="005E5337"/>
    <w:p w14:paraId="591F1AC7" w14:textId="77777777" w:rsidR="002B2C7C" w:rsidRDefault="002B2C7C" w:rsidP="005E5337"/>
    <w:p w14:paraId="19533BCE" w14:textId="77777777" w:rsidR="002B2C7C" w:rsidRDefault="002B2C7C" w:rsidP="00BC490B">
      <w:pPr>
        <w:jc w:val="right"/>
        <w:rPr>
          <w:b/>
          <w:sz w:val="56"/>
          <w:szCs w:val="56"/>
        </w:rPr>
      </w:pPr>
      <w:r w:rsidRPr="00BC490B">
        <w:rPr>
          <w:b/>
          <w:sz w:val="56"/>
          <w:szCs w:val="56"/>
        </w:rPr>
        <w:t>Participant Agreement</w:t>
      </w:r>
    </w:p>
    <w:p w14:paraId="292A1CD0" w14:textId="77777777" w:rsidR="002B2C7C" w:rsidRDefault="002B2C7C" w:rsidP="005E5337"/>
    <w:p w14:paraId="4FA01C45" w14:textId="77777777" w:rsidR="002B2C7C" w:rsidRDefault="002B2C7C" w:rsidP="005E5337"/>
    <w:p w14:paraId="4C69728F" w14:textId="77777777" w:rsidR="002B2C7C" w:rsidRDefault="002B2C7C" w:rsidP="005E5337"/>
    <w:p w14:paraId="045CBC95" w14:textId="77777777" w:rsidR="002B2C7C" w:rsidRPr="004426DB" w:rsidRDefault="002B2C7C" w:rsidP="00116616">
      <w:pPr>
        <w:ind w:left="720"/>
        <w:jc w:val="right"/>
        <w:rPr>
          <w:sz w:val="52"/>
        </w:rPr>
      </w:pPr>
    </w:p>
    <w:p w14:paraId="74BB516E" w14:textId="77777777" w:rsidR="002B2C7C" w:rsidRDefault="002B2C7C" w:rsidP="005E5337"/>
    <w:p w14:paraId="512FD6BB" w14:textId="77777777" w:rsidR="002B2C7C" w:rsidRDefault="00D53341" w:rsidP="00116616">
      <w:pPr>
        <w:jc w:val="right"/>
        <w:rPr>
          <w:b/>
          <w:sz w:val="28"/>
          <w:szCs w:val="28"/>
        </w:rPr>
      </w:pPr>
      <w:r>
        <w:rPr>
          <w:b/>
          <w:sz w:val="28"/>
          <w:szCs w:val="28"/>
        </w:rPr>
        <w:t>07</w:t>
      </w:r>
      <w:r w:rsidR="00711FC1">
        <w:rPr>
          <w:b/>
          <w:sz w:val="28"/>
          <w:szCs w:val="28"/>
        </w:rPr>
        <w:t xml:space="preserve"> January 2015</w:t>
      </w:r>
    </w:p>
    <w:p w14:paraId="334DA1D2" w14:textId="77777777" w:rsidR="002B2C7C" w:rsidRDefault="002B2C7C" w:rsidP="005E5337">
      <w:pPr>
        <w:rPr>
          <w:b/>
          <w:sz w:val="28"/>
          <w:szCs w:val="28"/>
        </w:rPr>
      </w:pPr>
    </w:p>
    <w:p w14:paraId="4445BF9E" w14:textId="77777777" w:rsidR="00BE4C7A" w:rsidRDefault="002B2C7C" w:rsidP="00116616">
      <w:pPr>
        <w:ind w:left="2880"/>
        <w:jc w:val="right"/>
      </w:pPr>
      <w:r w:rsidRPr="00727E8B">
        <w:rPr>
          <w:b/>
          <w:i/>
          <w:color w:val="0A450A"/>
          <w:lang w:eastAsia="en-AU"/>
        </w:rPr>
        <w:t>More researchers</w:t>
      </w:r>
      <w:r>
        <w:rPr>
          <w:b/>
          <w:i/>
          <w:color w:val="0A450A"/>
          <w:lang w:eastAsia="en-AU"/>
        </w:rPr>
        <w:t xml:space="preserve"> sharing and re-using data more often</w:t>
      </w:r>
    </w:p>
    <w:p w14:paraId="42D4F16E" w14:textId="77777777" w:rsidR="002B2C7C" w:rsidRDefault="00BE4C7A" w:rsidP="00BE4C7A">
      <w:pPr>
        <w:ind w:left="2880"/>
        <w:jc w:val="right"/>
        <w:rPr>
          <w:b/>
          <w:sz w:val="28"/>
          <w:szCs w:val="28"/>
        </w:rPr>
        <w:sectPr w:rsidR="002B2C7C" w:rsidSect="004D6B5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r>
        <w:br w:type="page"/>
      </w:r>
    </w:p>
    <w:p w14:paraId="7E3EEB6A" w14:textId="77777777" w:rsidR="002B2C7C" w:rsidRDefault="002B2C7C" w:rsidP="007635AD">
      <w:pPr>
        <w:pStyle w:val="ANDSHeading1"/>
        <w:numPr>
          <w:ilvl w:val="0"/>
          <w:numId w:val="11"/>
        </w:numPr>
        <w:spacing w:after="200"/>
        <w:ind w:left="357" w:hanging="357"/>
      </w:pPr>
      <w:r>
        <w:lastRenderedPageBreak/>
        <w:t>Purpose</w:t>
      </w:r>
    </w:p>
    <w:p w14:paraId="4EDA3545" w14:textId="455082A8" w:rsidR="00B76888" w:rsidRDefault="002B2C7C" w:rsidP="007635AD">
      <w:pPr>
        <w:spacing w:line="360" w:lineRule="auto"/>
      </w:pPr>
      <w:r w:rsidRPr="00B76888">
        <w:t xml:space="preserve">This agreement describes the responsibilities of </w:t>
      </w:r>
      <w:r w:rsidR="00630FD0" w:rsidRPr="00B76888">
        <w:t xml:space="preserve">Monash University (ABN 12 377 614 012) of Wellington Road, Clayton, Victoria, represented by </w:t>
      </w:r>
      <w:r w:rsidR="0010073F" w:rsidRPr="00B76888">
        <w:t>the Australian National Data Service (</w:t>
      </w:r>
      <w:r w:rsidRPr="00F254E9">
        <w:rPr>
          <w:b/>
        </w:rPr>
        <w:t>ANDS</w:t>
      </w:r>
      <w:r w:rsidR="0010073F" w:rsidRPr="00B76888">
        <w:t>)</w:t>
      </w:r>
      <w:r w:rsidRPr="00B76888">
        <w:t xml:space="preserve"> and </w:t>
      </w:r>
      <w:r w:rsidR="00136CB8" w:rsidRPr="00B76888">
        <w:t xml:space="preserve">the </w:t>
      </w:r>
      <w:r w:rsidRPr="00B76888">
        <w:t>participant</w:t>
      </w:r>
      <w:r w:rsidR="00136CB8" w:rsidRPr="00B76888">
        <w:t xml:space="preserve"> named in </w:t>
      </w:r>
      <w:r w:rsidR="004C4B04" w:rsidRPr="00B76888">
        <w:t xml:space="preserve">Item 1 of </w:t>
      </w:r>
      <w:r w:rsidR="00136CB8" w:rsidRPr="00B76888">
        <w:t>the Schedule (</w:t>
      </w:r>
      <w:r w:rsidR="000265BB" w:rsidRPr="00F254E9">
        <w:rPr>
          <w:b/>
        </w:rPr>
        <w:t>Participant</w:t>
      </w:r>
      <w:r w:rsidR="00136CB8" w:rsidRPr="00B76888">
        <w:t xml:space="preserve">) </w:t>
      </w:r>
      <w:r w:rsidR="002242BE" w:rsidRPr="00B76888">
        <w:t>in</w:t>
      </w:r>
      <w:r w:rsidR="000A330B" w:rsidRPr="00B76888">
        <w:t xml:space="preserve"> </w:t>
      </w:r>
      <w:r w:rsidR="00136CB8" w:rsidRPr="00B76888">
        <w:t xml:space="preserve">relation to </w:t>
      </w:r>
      <w:r w:rsidR="000A330B" w:rsidRPr="00B76888">
        <w:t>the</w:t>
      </w:r>
      <w:r w:rsidR="00A74BA7">
        <w:t xml:space="preserve"> provision and use of </w:t>
      </w:r>
      <w:r w:rsidR="009C3368" w:rsidRPr="00B76888">
        <w:t>ANDS</w:t>
      </w:r>
      <w:r w:rsidR="00A74BA7">
        <w:t xml:space="preserve"> supplied Digital Object Identifiers (DOIs) through the ANDS DOI Web Service. This service forms part of the ANDS</w:t>
      </w:r>
      <w:r w:rsidR="009C3368" w:rsidRPr="00B76888">
        <w:t xml:space="preserve"> </w:t>
      </w:r>
      <w:r w:rsidR="000A330B" w:rsidRPr="00B76888">
        <w:t>Cite</w:t>
      </w:r>
      <w:r w:rsidR="006845CB" w:rsidRPr="00B76888">
        <w:t xml:space="preserve"> </w:t>
      </w:r>
      <w:r w:rsidR="000A330B" w:rsidRPr="00B76888">
        <w:t xml:space="preserve">My Data </w:t>
      </w:r>
      <w:r w:rsidR="00A74BA7">
        <w:t>product.</w:t>
      </w:r>
    </w:p>
    <w:p w14:paraId="243A8A56" w14:textId="77777777" w:rsidR="002B2C7C" w:rsidRPr="00C45F10" w:rsidRDefault="002B2C7C" w:rsidP="00C45F10">
      <w:pPr>
        <w:pStyle w:val="ANDSHeading1"/>
        <w:numPr>
          <w:ilvl w:val="0"/>
          <w:numId w:val="11"/>
        </w:numPr>
        <w:spacing w:after="200"/>
        <w:ind w:left="357" w:hanging="357"/>
      </w:pPr>
      <w:r>
        <w:t>Background</w:t>
      </w:r>
    </w:p>
    <w:p w14:paraId="74D9B8CA" w14:textId="77777777" w:rsidR="00970EFB" w:rsidRDefault="00BC49CC" w:rsidP="009B732F">
      <w:pPr>
        <w:spacing w:line="360" w:lineRule="auto"/>
      </w:pPr>
      <w:r>
        <w:t xml:space="preserve">The </w:t>
      </w:r>
      <w:r w:rsidRPr="00E914FE">
        <w:t xml:space="preserve">ANDS </w:t>
      </w:r>
      <w:r w:rsidR="00D73F75" w:rsidRPr="00D53341">
        <w:rPr>
          <w:i/>
        </w:rPr>
        <w:t>Cite My Data</w:t>
      </w:r>
      <w:r w:rsidR="00064D04">
        <w:t xml:space="preserve"> service is available as </w:t>
      </w:r>
    </w:p>
    <w:p w14:paraId="5F931C62" w14:textId="77777777" w:rsidR="00970EFB" w:rsidRDefault="00064D04" w:rsidP="00D53341">
      <w:pPr>
        <w:pStyle w:val="ListParagraph"/>
        <w:numPr>
          <w:ilvl w:val="1"/>
          <w:numId w:val="11"/>
        </w:numPr>
        <w:spacing w:line="360" w:lineRule="auto"/>
      </w:pPr>
      <w:r>
        <w:t xml:space="preserve">a </w:t>
      </w:r>
      <w:r w:rsidR="00B577A1">
        <w:t>W</w:t>
      </w:r>
      <w:r>
        <w:t>eb</w:t>
      </w:r>
      <w:r w:rsidR="00B577A1">
        <w:t xml:space="preserve"> S</w:t>
      </w:r>
      <w:r>
        <w:t>ervice (machine to machine service) for automated minting</w:t>
      </w:r>
      <w:r w:rsidR="00B577A1">
        <w:t xml:space="preserve"> and updating,</w:t>
      </w:r>
      <w:r>
        <w:t xml:space="preserve"> and </w:t>
      </w:r>
    </w:p>
    <w:p w14:paraId="29B4D74F" w14:textId="77777777" w:rsidR="00970EFB" w:rsidRDefault="00064D04" w:rsidP="00D53341">
      <w:pPr>
        <w:pStyle w:val="ListParagraph"/>
        <w:numPr>
          <w:ilvl w:val="1"/>
          <w:numId w:val="11"/>
        </w:numPr>
        <w:spacing w:line="360" w:lineRule="auto"/>
      </w:pPr>
      <w:proofErr w:type="gramStart"/>
      <w:r>
        <w:t>as</w:t>
      </w:r>
      <w:proofErr w:type="gramEnd"/>
      <w:r>
        <w:t xml:space="preserve"> a web</w:t>
      </w:r>
      <w:r w:rsidR="00B577A1">
        <w:t xml:space="preserve"> </w:t>
      </w:r>
      <w:r w:rsidR="00970EFB">
        <w:t xml:space="preserve">browser </w:t>
      </w:r>
      <w:r>
        <w:t xml:space="preserve">interface </w:t>
      </w:r>
      <w:r w:rsidR="00970EFB">
        <w:t xml:space="preserve">(GUI) </w:t>
      </w:r>
      <w:r>
        <w:t>for manual minting</w:t>
      </w:r>
      <w:r w:rsidR="00B577A1">
        <w:t xml:space="preserve"> and updating</w:t>
      </w:r>
      <w:r>
        <w:t xml:space="preserve">. </w:t>
      </w:r>
    </w:p>
    <w:p w14:paraId="19B4C745" w14:textId="77777777" w:rsidR="00BC49CC" w:rsidRDefault="00064D04" w:rsidP="00970EFB">
      <w:pPr>
        <w:spacing w:line="360" w:lineRule="auto"/>
      </w:pPr>
      <w:r>
        <w:t xml:space="preserve">The </w:t>
      </w:r>
      <w:r w:rsidR="00BC49CC">
        <w:t>DOI</w:t>
      </w:r>
      <w:r w:rsidR="00BC49CC" w:rsidRPr="00E914FE">
        <w:t xml:space="preserve"> Web Service</w:t>
      </w:r>
      <w:r w:rsidR="00BC49CC">
        <w:t xml:space="preserve"> allows trusted software applications to mint and manage</w:t>
      </w:r>
      <w:r w:rsidR="00BC49CC" w:rsidRPr="00C97A79">
        <w:t xml:space="preserve"> </w:t>
      </w:r>
      <w:r w:rsidR="00BC49CC">
        <w:t>Digital Object</w:t>
      </w:r>
      <w:r w:rsidR="00BC49CC" w:rsidRPr="00C97A79">
        <w:t xml:space="preserve"> </w:t>
      </w:r>
      <w:r w:rsidR="00BC49CC">
        <w:t>I</w:t>
      </w:r>
      <w:r w:rsidR="00BC49CC" w:rsidRPr="00C97A79">
        <w:t>dentifiers</w:t>
      </w:r>
      <w:r w:rsidR="00BC49CC">
        <w:t xml:space="preserve"> assigned to the </w:t>
      </w:r>
      <w:proofErr w:type="spellStart"/>
      <w:r w:rsidR="00BC49CC">
        <w:t>DataCite</w:t>
      </w:r>
      <w:proofErr w:type="spellEnd"/>
      <w:r w:rsidR="00BC49CC">
        <w:t xml:space="preserve"> initiative. It is designed for integration with external applications</w:t>
      </w:r>
      <w:r w:rsidR="00970EFB">
        <w:t xml:space="preserve"> such as data repositories</w:t>
      </w:r>
      <w:r w:rsidR="00BC49CC">
        <w:t>. Requests and responses are processed via HTTP operations.</w:t>
      </w:r>
    </w:p>
    <w:p w14:paraId="474D662D" w14:textId="77777777" w:rsidR="00970EFB" w:rsidRDefault="00970EFB" w:rsidP="00970EFB">
      <w:pPr>
        <w:spacing w:line="360" w:lineRule="auto"/>
      </w:pPr>
      <w:r>
        <w:t>The web browser interface allows administrators from the Participant organisation to manually mint and update DOIs.</w:t>
      </w:r>
    </w:p>
    <w:p w14:paraId="7F55AA74" w14:textId="255E603A" w:rsidR="009B732F" w:rsidRDefault="00BC49CC" w:rsidP="009B732F">
      <w:pPr>
        <w:spacing w:line="360" w:lineRule="auto"/>
      </w:pPr>
      <w:r>
        <w:t xml:space="preserve">Users of the ANDS </w:t>
      </w:r>
      <w:r w:rsidRPr="009B732F">
        <w:rPr>
          <w:i/>
        </w:rPr>
        <w:t xml:space="preserve">Cite My Data </w:t>
      </w:r>
      <w:r>
        <w:t>product should understand that</w:t>
      </w:r>
      <w:r w:rsidRPr="00424286">
        <w:t xml:space="preserve"> </w:t>
      </w:r>
      <w:r w:rsidRPr="007078AD">
        <w:t xml:space="preserve">ANDS does not manage </w:t>
      </w:r>
      <w:r>
        <w:t>Digital Object</w:t>
      </w:r>
      <w:r w:rsidRPr="007078AD">
        <w:t xml:space="preserve"> </w:t>
      </w:r>
      <w:r>
        <w:t>I</w:t>
      </w:r>
      <w:r w:rsidRPr="007078AD">
        <w:t>dentifiers</w:t>
      </w:r>
      <w:r>
        <w:t>; ANDS only provides the infrastructure that allows minting and updating of Digital Object Identifiers in the global DOI infrastructure. Processes and policies need to be put in place by those utilising the product to ensure that appropriate maintenance p</w:t>
      </w:r>
      <w:r w:rsidR="009B732F">
        <w:t xml:space="preserve">ractices underpin persistence. </w:t>
      </w:r>
    </w:p>
    <w:p w14:paraId="147929BE" w14:textId="02F8CCA9" w:rsidR="00BC49CC" w:rsidRDefault="00BC49CC" w:rsidP="005C672A">
      <w:pPr>
        <w:spacing w:line="360" w:lineRule="auto"/>
      </w:pPr>
      <w:r>
        <w:t xml:space="preserve">Users of the </w:t>
      </w:r>
      <w:r>
        <w:t xml:space="preserve">service are </w:t>
      </w:r>
      <w:proofErr w:type="gramStart"/>
      <w:r w:rsidR="005C672A">
        <w:t xml:space="preserve">expected </w:t>
      </w:r>
      <w:r w:rsidR="00064D04">
        <w:t xml:space="preserve"> </w:t>
      </w:r>
      <w:r>
        <w:t>to</w:t>
      </w:r>
      <w:proofErr w:type="gramEnd"/>
      <w:r>
        <w:t xml:space="preserve"> have automated methods to both mint and update identifiers</w:t>
      </w:r>
      <w:r w:rsidR="00970EFB">
        <w:t xml:space="preserve"> so that minting and updating are an integrated part of their data repository’s workflow</w:t>
      </w:r>
      <w:r>
        <w:t>.</w:t>
      </w:r>
    </w:p>
    <w:p w14:paraId="07430C68" w14:textId="77777777" w:rsidR="00BC49CC" w:rsidRDefault="00BC49CC" w:rsidP="009B732F">
      <w:pPr>
        <w:spacing w:line="360" w:lineRule="auto"/>
        <w:rPr>
          <w:rStyle w:val="Hyperlink"/>
        </w:rPr>
      </w:pPr>
      <w:r>
        <w:t xml:space="preserve">Before entering into this agreement, ANDS recommends that you read the ANDS </w:t>
      </w:r>
      <w:r w:rsidRPr="009B732F">
        <w:rPr>
          <w:i/>
        </w:rPr>
        <w:t>Cite My Data</w:t>
      </w:r>
      <w:r>
        <w:t xml:space="preserve"> Policy Statement available from </w:t>
      </w:r>
      <w:hyperlink r:id="rId16" w:history="1">
        <w:r w:rsidR="00C72B91" w:rsidRPr="00111BD6">
          <w:rPr>
            <w:rStyle w:val="Hyperlink"/>
          </w:rPr>
          <w:t>http://ands.org.au/services/cmd-policy.html</w:t>
        </w:r>
      </w:hyperlink>
    </w:p>
    <w:p w14:paraId="3F1F8046" w14:textId="77777777" w:rsidR="007635AD" w:rsidRDefault="007635AD" w:rsidP="009B732F">
      <w:pPr>
        <w:spacing w:line="360" w:lineRule="auto"/>
        <w:rPr>
          <w:rStyle w:val="Hyperlink"/>
        </w:rPr>
      </w:pPr>
    </w:p>
    <w:p w14:paraId="3688DD44" w14:textId="77777777" w:rsidR="007635AD" w:rsidRDefault="007635AD" w:rsidP="009B732F">
      <w:pPr>
        <w:spacing w:line="360" w:lineRule="auto"/>
        <w:rPr>
          <w:rStyle w:val="Hyperlink"/>
        </w:rPr>
      </w:pPr>
    </w:p>
    <w:p w14:paraId="3B9D3965" w14:textId="77777777" w:rsidR="007635AD" w:rsidRDefault="007635AD" w:rsidP="009B732F">
      <w:pPr>
        <w:spacing w:line="360" w:lineRule="auto"/>
        <w:rPr>
          <w:rStyle w:val="Hyperlink"/>
        </w:rPr>
      </w:pPr>
    </w:p>
    <w:p w14:paraId="19AF9A4E" w14:textId="77777777" w:rsidR="007635AD" w:rsidRDefault="007635AD" w:rsidP="009B732F">
      <w:pPr>
        <w:spacing w:line="360" w:lineRule="auto"/>
      </w:pPr>
    </w:p>
    <w:p w14:paraId="5134A9CF" w14:textId="77777777" w:rsidR="002B2C7C" w:rsidRDefault="002B2C7C" w:rsidP="00434B0A">
      <w:pPr>
        <w:pStyle w:val="ANDSHeading1"/>
        <w:numPr>
          <w:ilvl w:val="0"/>
          <w:numId w:val="11"/>
        </w:numPr>
        <w:spacing w:after="200"/>
        <w:ind w:left="357" w:hanging="357"/>
      </w:pPr>
      <w:r>
        <w:lastRenderedPageBreak/>
        <w:t>ANDS Responsibilities</w:t>
      </w:r>
    </w:p>
    <w:p w14:paraId="6C63454F" w14:textId="77777777" w:rsidR="002B2C7C" w:rsidRDefault="006845CB" w:rsidP="00C97A79">
      <w:pPr>
        <w:pStyle w:val="ListParagraph"/>
        <w:spacing w:line="360" w:lineRule="auto"/>
        <w:ind w:left="0"/>
      </w:pPr>
      <w:r>
        <w:t>ANDS will endeavour to</w:t>
      </w:r>
      <w:r w:rsidR="002B2C7C">
        <w:t>:</w:t>
      </w:r>
    </w:p>
    <w:p w14:paraId="3766E31B" w14:textId="77777777" w:rsidR="001B003E" w:rsidRDefault="00F254E9" w:rsidP="001B003E">
      <w:pPr>
        <w:pStyle w:val="ListParagraph"/>
        <w:numPr>
          <w:ilvl w:val="0"/>
          <w:numId w:val="13"/>
        </w:numPr>
        <w:autoSpaceDE w:val="0"/>
        <w:autoSpaceDN w:val="0"/>
        <w:adjustRightInd w:val="0"/>
        <w:spacing w:after="0" w:line="240" w:lineRule="auto"/>
      </w:pPr>
      <w:r>
        <w:t>P</w:t>
      </w:r>
      <w:r w:rsidR="002B2C7C" w:rsidRPr="00046F14">
        <w:t>rovide a high availability service</w:t>
      </w:r>
      <w:r w:rsidR="00175BB6">
        <w:t xml:space="preserve"> for minting and updating DOIs</w:t>
      </w:r>
      <w:r w:rsidR="002B2C7C">
        <w:t>.</w:t>
      </w:r>
      <w:r w:rsidR="001B003E">
        <w:br/>
      </w:r>
    </w:p>
    <w:p w14:paraId="012362F2" w14:textId="77777777" w:rsidR="00CF7098" w:rsidRDefault="001B003E" w:rsidP="001B003E">
      <w:pPr>
        <w:pStyle w:val="ListParagraph"/>
        <w:numPr>
          <w:ilvl w:val="0"/>
          <w:numId w:val="13"/>
        </w:numPr>
        <w:autoSpaceDE w:val="0"/>
        <w:autoSpaceDN w:val="0"/>
        <w:adjustRightInd w:val="0"/>
        <w:spacing w:after="0" w:line="240" w:lineRule="auto"/>
      </w:pPr>
      <w:r>
        <w:t>Ensure ANDS</w:t>
      </w:r>
      <w:r w:rsidR="00175BB6">
        <w:t>-</w:t>
      </w:r>
      <w:r>
        <w:t xml:space="preserve">minted DOIs are forwarded to the global </w:t>
      </w:r>
      <w:proofErr w:type="spellStart"/>
      <w:r>
        <w:t>DataCite</w:t>
      </w:r>
      <w:proofErr w:type="spellEnd"/>
      <w:r>
        <w:t xml:space="preserve"> and DOI infrastructure</w:t>
      </w:r>
      <w:r w:rsidR="00175BB6">
        <w:t xml:space="preserve"> for resolution</w:t>
      </w:r>
      <w:r>
        <w:t>.</w:t>
      </w:r>
      <w:r>
        <w:br/>
      </w:r>
    </w:p>
    <w:p w14:paraId="4597931D" w14:textId="77777777" w:rsidR="00CF7098" w:rsidRPr="007635AD" w:rsidRDefault="001B003E" w:rsidP="00046F14">
      <w:pPr>
        <w:pStyle w:val="ListParagraph"/>
        <w:numPr>
          <w:ilvl w:val="0"/>
          <w:numId w:val="13"/>
        </w:numPr>
        <w:autoSpaceDE w:val="0"/>
        <w:autoSpaceDN w:val="0"/>
        <w:adjustRightInd w:val="0"/>
        <w:spacing w:after="0" w:line="240" w:lineRule="auto"/>
        <w:rPr>
          <w:rStyle w:val="Hyperlink"/>
          <w:color w:val="auto"/>
          <w:u w:val="none"/>
        </w:rPr>
      </w:pPr>
      <w:r>
        <w:t>P</w:t>
      </w:r>
      <w:r w:rsidRPr="00172F7F">
        <w:t xml:space="preserve">rovide documentation on any new features or changes to this service via </w:t>
      </w:r>
      <w:hyperlink r:id="rId17" w:history="1">
        <w:r w:rsidRPr="00172F7F">
          <w:rPr>
            <w:rStyle w:val="Hyperlink"/>
          </w:rPr>
          <w:t>http://ands.org.au/resource/techdocs.html</w:t>
        </w:r>
      </w:hyperlink>
    </w:p>
    <w:p w14:paraId="00BF682C" w14:textId="77777777" w:rsidR="007635AD" w:rsidRDefault="007635AD" w:rsidP="00046F14">
      <w:pPr>
        <w:pStyle w:val="ListParagraph"/>
        <w:numPr>
          <w:ilvl w:val="0"/>
          <w:numId w:val="13"/>
        </w:numPr>
        <w:autoSpaceDE w:val="0"/>
        <w:autoSpaceDN w:val="0"/>
        <w:adjustRightInd w:val="0"/>
        <w:spacing w:after="0" w:line="240" w:lineRule="auto"/>
      </w:pPr>
    </w:p>
    <w:p w14:paraId="62F39806" w14:textId="77777777" w:rsidR="002B2C7C" w:rsidRDefault="002B2C7C" w:rsidP="00F254E9">
      <w:pPr>
        <w:pStyle w:val="ANDSHeading1"/>
        <w:keepNext/>
        <w:numPr>
          <w:ilvl w:val="0"/>
          <w:numId w:val="11"/>
        </w:numPr>
        <w:spacing w:after="200"/>
        <w:ind w:left="357" w:hanging="357"/>
      </w:pPr>
      <w:r>
        <w:t>Participant Responsibilities</w:t>
      </w:r>
    </w:p>
    <w:p w14:paraId="361C1757" w14:textId="77777777" w:rsidR="002B2C7C" w:rsidRDefault="00136CB8" w:rsidP="007635AD">
      <w:pPr>
        <w:spacing w:after="0" w:line="360" w:lineRule="auto"/>
      </w:pPr>
      <w:r>
        <w:t>The Participant</w:t>
      </w:r>
      <w:r w:rsidR="002B2C7C">
        <w:t xml:space="preserve"> </w:t>
      </w:r>
      <w:r w:rsidR="00C47FB0">
        <w:t xml:space="preserve">agrees </w:t>
      </w:r>
      <w:r w:rsidR="002B2C7C">
        <w:t xml:space="preserve">that: </w:t>
      </w:r>
    </w:p>
    <w:p w14:paraId="6EB8336D" w14:textId="77777777" w:rsidR="002B2C7C" w:rsidRDefault="002B2C7C" w:rsidP="007635AD">
      <w:pPr>
        <w:spacing w:after="0" w:line="360" w:lineRule="auto"/>
      </w:pPr>
    </w:p>
    <w:p w14:paraId="2B99E019" w14:textId="77777777" w:rsidR="002D1B4D" w:rsidRDefault="002D1B4D" w:rsidP="007635AD">
      <w:pPr>
        <w:pStyle w:val="ListParagraph"/>
        <w:numPr>
          <w:ilvl w:val="0"/>
          <w:numId w:val="14"/>
        </w:numPr>
        <w:spacing w:after="0" w:line="360" w:lineRule="auto"/>
      </w:pPr>
      <w:r>
        <w:t>It is</w:t>
      </w:r>
      <w:r w:rsidRPr="00180F31">
        <w:t xml:space="preserve"> part of the </w:t>
      </w:r>
      <w:r>
        <w:t xml:space="preserve">Australian higher education sector, </w:t>
      </w:r>
      <w:r w:rsidRPr="00180F31">
        <w:t>public</w:t>
      </w:r>
      <w:r>
        <w:t>ly–funded data collection or cultural collections sector.</w:t>
      </w:r>
    </w:p>
    <w:p w14:paraId="4936F087" w14:textId="77777777" w:rsidR="002D1B4D" w:rsidRPr="00CC2B6E" w:rsidRDefault="00711FC1" w:rsidP="007635AD">
      <w:pPr>
        <w:pStyle w:val="ListParagraph"/>
        <w:numPr>
          <w:ilvl w:val="0"/>
          <w:numId w:val="14"/>
        </w:numPr>
        <w:spacing w:after="0" w:line="360" w:lineRule="auto"/>
        <w:rPr>
          <w:rFonts w:asciiTheme="minorHAnsi" w:hAnsiTheme="minorHAnsi"/>
        </w:rPr>
      </w:pPr>
      <w:r>
        <w:rPr>
          <w:rFonts w:asciiTheme="minorHAnsi" w:hAnsiTheme="minorHAnsi"/>
        </w:rPr>
        <w:t>The objects</w:t>
      </w:r>
      <w:r w:rsidR="002D1B4D" w:rsidRPr="00CC2B6E">
        <w:rPr>
          <w:rFonts w:asciiTheme="minorHAnsi" w:hAnsiTheme="minorHAnsi"/>
        </w:rPr>
        <w:t xml:space="preserve"> it is identifying (i.e., allocating DOIs to) are a citable, enduring part of the scholarly record.</w:t>
      </w:r>
    </w:p>
    <w:p w14:paraId="7D09E66A" w14:textId="77777777" w:rsidR="002D1B4D" w:rsidRPr="00CC2B6E" w:rsidRDefault="002D1B4D" w:rsidP="007635AD">
      <w:pPr>
        <w:pStyle w:val="ListParagraph"/>
        <w:numPr>
          <w:ilvl w:val="0"/>
          <w:numId w:val="14"/>
        </w:numPr>
        <w:spacing w:after="0" w:line="360" w:lineRule="auto"/>
        <w:rPr>
          <w:rFonts w:asciiTheme="minorHAnsi" w:hAnsiTheme="minorHAnsi"/>
        </w:rPr>
      </w:pPr>
      <w:r w:rsidRPr="00CC2B6E">
        <w:rPr>
          <w:rFonts w:asciiTheme="minorHAnsi" w:hAnsiTheme="minorHAnsi"/>
        </w:rPr>
        <w:t>The</w:t>
      </w:r>
      <w:r w:rsidR="00C64DFB" w:rsidRPr="00CC2B6E">
        <w:rPr>
          <w:rFonts w:asciiTheme="minorHAnsi" w:hAnsiTheme="minorHAnsi" w:cs="Arial"/>
          <w:color w:val="222222"/>
          <w:shd w:val="clear" w:color="auto" w:fill="FFFFFF"/>
        </w:rPr>
        <w:t xml:space="preserve"> obje</w:t>
      </w:r>
      <w:r w:rsidR="00C64DFB" w:rsidRPr="00CC2B6E">
        <w:rPr>
          <w:rFonts w:asciiTheme="minorHAnsi" w:hAnsiTheme="minorHAnsi" w:cs="Arial"/>
          <w:shd w:val="clear" w:color="auto" w:fill="FFFFFF"/>
        </w:rPr>
        <w:t>cts it is identifying (i.e., allocating DOIs to) are publicly</w:t>
      </w:r>
      <w:r w:rsidR="00C64DFB" w:rsidRPr="00CC2B6E">
        <w:rPr>
          <w:rStyle w:val="apple-converted-space"/>
          <w:rFonts w:asciiTheme="minorHAnsi" w:hAnsiTheme="minorHAnsi" w:cs="Arial"/>
          <w:shd w:val="clear" w:color="auto" w:fill="FFFFFF"/>
        </w:rPr>
        <w:t> </w:t>
      </w:r>
      <w:r w:rsidR="00C64DFB" w:rsidRPr="00CC2B6E">
        <w:rPr>
          <w:rFonts w:asciiTheme="minorHAnsi" w:hAnsiTheme="minorHAnsi" w:cs="Arial"/>
          <w:shd w:val="clear" w:color="auto" w:fill="FFFFFF"/>
        </w:rPr>
        <w:t>accessible</w:t>
      </w:r>
      <w:r w:rsidR="00C64DFB" w:rsidRPr="00CC2B6E">
        <w:rPr>
          <w:rStyle w:val="apple-converted-space"/>
          <w:rFonts w:asciiTheme="minorHAnsi" w:hAnsiTheme="minorHAnsi" w:cs="Arial"/>
          <w:shd w:val="clear" w:color="auto" w:fill="FFFFFF"/>
        </w:rPr>
        <w:t> </w:t>
      </w:r>
      <w:r w:rsidR="00C64DFB" w:rsidRPr="00CC2B6E">
        <w:rPr>
          <w:rFonts w:asciiTheme="minorHAnsi" w:hAnsiTheme="minorHAnsi" w:cs="Arial"/>
          <w:shd w:val="clear" w:color="auto" w:fill="FFFFFF"/>
        </w:rPr>
        <w:t>(or will be). Note this can include both open access (</w:t>
      </w:r>
      <w:hyperlink r:id="rId18" w:tgtFrame="_blank" w:history="1">
        <w:r w:rsidR="00C64DFB" w:rsidRPr="00CC2B6E">
          <w:rPr>
            <w:rStyle w:val="Hyperlink"/>
            <w:rFonts w:asciiTheme="minorHAnsi" w:hAnsiTheme="minorHAnsi" w:cs="Arial"/>
            <w:color w:val="1155CC"/>
            <w:shd w:val="clear" w:color="auto" w:fill="FFFFFF"/>
          </w:rPr>
          <w:t>example</w:t>
        </w:r>
      </w:hyperlink>
      <w:r w:rsidR="00B561FC" w:rsidRPr="00CC2B6E">
        <w:rPr>
          <w:rStyle w:val="FootnoteReference"/>
          <w:rFonts w:asciiTheme="minorHAnsi" w:hAnsiTheme="minorHAnsi"/>
          <w:color w:val="1155CC"/>
          <w:u w:val="single"/>
          <w:shd w:val="clear" w:color="auto" w:fill="FFFFFF"/>
        </w:rPr>
        <w:footnoteReference w:id="1"/>
      </w:r>
      <w:r w:rsidR="00C64DFB" w:rsidRPr="00CC2B6E">
        <w:rPr>
          <w:rFonts w:asciiTheme="minorHAnsi" w:hAnsiTheme="minorHAnsi" w:cs="Arial"/>
          <w:shd w:val="clear" w:color="auto" w:fill="FFFFFF"/>
        </w:rPr>
        <w:t xml:space="preserve">) and </w:t>
      </w:r>
      <w:r w:rsidR="00B561FC" w:rsidRPr="00CC2B6E">
        <w:rPr>
          <w:rFonts w:asciiTheme="minorHAnsi" w:hAnsiTheme="minorHAnsi" w:cs="Arial"/>
          <w:shd w:val="clear" w:color="auto" w:fill="FFFFFF"/>
        </w:rPr>
        <w:t xml:space="preserve">mediated, including restricted, </w:t>
      </w:r>
      <w:r w:rsidR="00C64DFB" w:rsidRPr="00CC2B6E">
        <w:rPr>
          <w:rFonts w:asciiTheme="minorHAnsi" w:hAnsiTheme="minorHAnsi" w:cs="Arial"/>
          <w:shd w:val="clear" w:color="auto" w:fill="FFFFFF"/>
        </w:rPr>
        <w:t>access (</w:t>
      </w:r>
      <w:hyperlink r:id="rId19" w:tgtFrame="_blank" w:history="1">
        <w:r w:rsidR="00C64DFB" w:rsidRPr="00CC2B6E">
          <w:rPr>
            <w:rStyle w:val="Hyperlink"/>
            <w:rFonts w:asciiTheme="minorHAnsi" w:hAnsiTheme="minorHAnsi" w:cs="Arial"/>
            <w:color w:val="1155CC"/>
            <w:shd w:val="clear" w:color="auto" w:fill="FFFFFF"/>
          </w:rPr>
          <w:t>example</w:t>
        </w:r>
      </w:hyperlink>
      <w:r w:rsidR="00CC2B6E" w:rsidRPr="00CC2B6E">
        <w:rPr>
          <w:rStyle w:val="FootnoteReference"/>
          <w:rFonts w:asciiTheme="minorHAnsi" w:hAnsiTheme="minorHAnsi"/>
          <w:color w:val="1155CC"/>
          <w:u w:val="single"/>
          <w:shd w:val="clear" w:color="auto" w:fill="FFFFFF"/>
        </w:rPr>
        <w:footnoteReference w:id="2"/>
      </w:r>
      <w:r w:rsidR="00C64DFB" w:rsidRPr="00CC2B6E">
        <w:rPr>
          <w:rFonts w:asciiTheme="minorHAnsi" w:hAnsiTheme="minorHAnsi" w:cs="Arial"/>
          <w:shd w:val="clear" w:color="auto" w:fill="FFFFFF"/>
        </w:rPr>
        <w:t>). The</w:t>
      </w:r>
      <w:r w:rsidR="00C64DFB" w:rsidRPr="00CC2B6E">
        <w:rPr>
          <w:rStyle w:val="apple-converted-space"/>
          <w:rFonts w:asciiTheme="minorHAnsi" w:hAnsiTheme="minorHAnsi" w:cs="Arial"/>
          <w:shd w:val="clear" w:color="auto" w:fill="FFFFFF"/>
        </w:rPr>
        <w:t> </w:t>
      </w:r>
      <w:r w:rsidR="00C64DFB" w:rsidRPr="00CC2B6E">
        <w:rPr>
          <w:rFonts w:asciiTheme="minorHAnsi" w:hAnsiTheme="minorHAnsi" w:cs="Arial"/>
          <w:shd w:val="clear" w:color="auto" w:fill="FFFFFF"/>
        </w:rPr>
        <w:t>Participant</w:t>
      </w:r>
      <w:r w:rsidR="00C64DFB" w:rsidRPr="00CC2B6E">
        <w:rPr>
          <w:rStyle w:val="apple-converted-space"/>
          <w:rFonts w:asciiTheme="minorHAnsi" w:hAnsiTheme="minorHAnsi" w:cs="Arial"/>
          <w:shd w:val="clear" w:color="auto" w:fill="FFFFFF"/>
        </w:rPr>
        <w:t> </w:t>
      </w:r>
      <w:r w:rsidR="00C64DFB" w:rsidRPr="00CC2B6E">
        <w:rPr>
          <w:rFonts w:asciiTheme="minorHAnsi" w:hAnsiTheme="minorHAnsi" w:cs="Arial"/>
          <w:shd w:val="clear" w:color="auto" w:fill="FFFFFF"/>
        </w:rPr>
        <w:t>also should have</w:t>
      </w:r>
      <w:r w:rsidR="00C64DFB" w:rsidRPr="00CC2B6E">
        <w:rPr>
          <w:rStyle w:val="apple-converted-space"/>
          <w:rFonts w:asciiTheme="minorHAnsi" w:hAnsiTheme="minorHAnsi" w:cs="Arial"/>
          <w:shd w:val="clear" w:color="auto" w:fill="FFFFFF"/>
        </w:rPr>
        <w:t> </w:t>
      </w:r>
      <w:r w:rsidR="00C64DFB" w:rsidRPr="00CC2B6E">
        <w:rPr>
          <w:rFonts w:asciiTheme="minorHAnsi" w:hAnsiTheme="minorHAnsi" w:cs="Arial"/>
          <w:shd w:val="clear" w:color="auto" w:fill="FFFFFF"/>
        </w:rPr>
        <w:t>data management systems to ensure continuity of access to the objects for a period of time appropriate to the scholarly record.</w:t>
      </w:r>
    </w:p>
    <w:p w14:paraId="517E420B" w14:textId="77777777" w:rsidR="002D1B4D" w:rsidRPr="00CC2B6E" w:rsidRDefault="002D1B4D" w:rsidP="007635AD">
      <w:pPr>
        <w:pStyle w:val="ListParagraph"/>
        <w:numPr>
          <w:ilvl w:val="0"/>
          <w:numId w:val="14"/>
        </w:numPr>
        <w:spacing w:after="0" w:line="360" w:lineRule="auto"/>
        <w:rPr>
          <w:rFonts w:asciiTheme="minorHAnsi" w:hAnsiTheme="minorHAnsi"/>
        </w:rPr>
      </w:pPr>
      <w:r w:rsidRPr="00CC2B6E">
        <w:rPr>
          <w:rFonts w:asciiTheme="minorHAnsi" w:hAnsiTheme="minorHAnsi"/>
        </w:rPr>
        <w:t xml:space="preserve">It is able to provide the </w:t>
      </w:r>
      <w:proofErr w:type="spellStart"/>
      <w:r w:rsidRPr="00CC2B6E">
        <w:rPr>
          <w:rFonts w:asciiTheme="minorHAnsi" w:hAnsiTheme="minorHAnsi"/>
        </w:rPr>
        <w:t>DataCite</w:t>
      </w:r>
      <w:proofErr w:type="spellEnd"/>
      <w:r w:rsidRPr="00CC2B6E">
        <w:rPr>
          <w:rFonts w:asciiTheme="minorHAnsi" w:hAnsiTheme="minorHAnsi"/>
        </w:rPr>
        <w:t xml:space="preserve"> mandatory metadata items</w:t>
      </w:r>
      <w:r w:rsidRPr="00CC2B6E">
        <w:rPr>
          <w:rStyle w:val="FootnoteReference"/>
          <w:rFonts w:asciiTheme="minorHAnsi" w:hAnsiTheme="minorHAnsi"/>
        </w:rPr>
        <w:footnoteReference w:id="3"/>
      </w:r>
      <w:r w:rsidRPr="00CC2B6E">
        <w:rPr>
          <w:rFonts w:asciiTheme="minorHAnsi" w:hAnsiTheme="minorHAnsi"/>
        </w:rPr>
        <w:t xml:space="preserve"> for each object.</w:t>
      </w:r>
    </w:p>
    <w:p w14:paraId="05FBE5DE" w14:textId="77777777" w:rsidR="002D1B4D" w:rsidRPr="00CC2B6E" w:rsidRDefault="002D1B4D" w:rsidP="007635AD">
      <w:pPr>
        <w:pStyle w:val="ListParagraph"/>
        <w:numPr>
          <w:ilvl w:val="0"/>
          <w:numId w:val="14"/>
        </w:numPr>
        <w:spacing w:after="0" w:line="360" w:lineRule="auto"/>
        <w:rPr>
          <w:rFonts w:asciiTheme="minorHAnsi" w:hAnsiTheme="minorHAnsi"/>
        </w:rPr>
      </w:pPr>
      <w:r w:rsidRPr="00CC2B6E">
        <w:rPr>
          <w:rFonts w:asciiTheme="minorHAnsi" w:hAnsiTheme="minorHAnsi"/>
        </w:rPr>
        <w:t>It will keep the internet location metadata up to date so that the international DOI system can resolve it persistently for a period of time appropriate to the scholarly record.</w:t>
      </w:r>
    </w:p>
    <w:p w14:paraId="545DF76F" w14:textId="77777777" w:rsidR="002D1B4D" w:rsidRPr="00CC2B6E" w:rsidRDefault="0049529B" w:rsidP="007635AD">
      <w:pPr>
        <w:pStyle w:val="ListParagraph"/>
        <w:numPr>
          <w:ilvl w:val="0"/>
          <w:numId w:val="14"/>
        </w:numPr>
        <w:spacing w:after="0" w:line="360" w:lineRule="auto"/>
        <w:rPr>
          <w:rFonts w:asciiTheme="minorHAnsi" w:hAnsiTheme="minorHAnsi"/>
        </w:rPr>
      </w:pPr>
      <w:r w:rsidRPr="00CC2B6E">
        <w:rPr>
          <w:rFonts w:asciiTheme="minorHAnsi" w:hAnsiTheme="minorHAnsi"/>
        </w:rPr>
        <w:t>It</w:t>
      </w:r>
      <w:r w:rsidR="002D1B4D" w:rsidRPr="00CC2B6E">
        <w:rPr>
          <w:rFonts w:asciiTheme="minorHAnsi" w:hAnsiTheme="minorHAnsi"/>
        </w:rPr>
        <w:t xml:space="preserve"> understand</w:t>
      </w:r>
      <w:r w:rsidRPr="00CC2B6E">
        <w:rPr>
          <w:rFonts w:asciiTheme="minorHAnsi" w:hAnsiTheme="minorHAnsi"/>
        </w:rPr>
        <w:t xml:space="preserve">s </w:t>
      </w:r>
      <w:r w:rsidR="002D1B4D" w:rsidRPr="00CC2B6E">
        <w:rPr>
          <w:rFonts w:asciiTheme="minorHAnsi" w:hAnsiTheme="minorHAnsi"/>
        </w:rPr>
        <w:t xml:space="preserve">that </w:t>
      </w:r>
      <w:proofErr w:type="spellStart"/>
      <w:r w:rsidR="002D1B4D" w:rsidRPr="00CC2B6E">
        <w:rPr>
          <w:rFonts w:asciiTheme="minorHAnsi" w:hAnsiTheme="minorHAnsi"/>
        </w:rPr>
        <w:t>DataCite</w:t>
      </w:r>
      <w:proofErr w:type="spellEnd"/>
      <w:r w:rsidR="002D1B4D" w:rsidRPr="00CC2B6E">
        <w:rPr>
          <w:rFonts w:asciiTheme="minorHAnsi" w:hAnsiTheme="minorHAnsi"/>
        </w:rPr>
        <w:t xml:space="preserve"> and DOI metadata is available to the general public and that confidential material should not be stored in these fields.  ANDS and </w:t>
      </w:r>
      <w:proofErr w:type="spellStart"/>
      <w:r w:rsidR="002D1B4D" w:rsidRPr="00CC2B6E">
        <w:rPr>
          <w:rFonts w:asciiTheme="minorHAnsi" w:hAnsiTheme="minorHAnsi"/>
        </w:rPr>
        <w:t>DataCite</w:t>
      </w:r>
      <w:proofErr w:type="spellEnd"/>
      <w:r w:rsidR="002D1B4D" w:rsidRPr="00CC2B6E">
        <w:rPr>
          <w:rFonts w:asciiTheme="minorHAnsi" w:hAnsiTheme="minorHAnsi"/>
        </w:rPr>
        <w:t xml:space="preserve"> will publish this information and actively syndicate it with 3</w:t>
      </w:r>
      <w:r w:rsidR="002D1B4D" w:rsidRPr="00CC2B6E">
        <w:rPr>
          <w:rFonts w:asciiTheme="minorHAnsi" w:hAnsiTheme="minorHAnsi"/>
          <w:vertAlign w:val="superscript"/>
        </w:rPr>
        <w:t>rd</w:t>
      </w:r>
      <w:r w:rsidR="002D1B4D" w:rsidRPr="00CC2B6E">
        <w:rPr>
          <w:rFonts w:asciiTheme="minorHAnsi" w:hAnsiTheme="minorHAnsi"/>
        </w:rPr>
        <w:t xml:space="preserve"> parties. </w:t>
      </w:r>
    </w:p>
    <w:p w14:paraId="3B1F5A42" w14:textId="77777777" w:rsidR="002D1B4D" w:rsidRDefault="0049529B" w:rsidP="007635AD">
      <w:pPr>
        <w:pStyle w:val="ListParagraph"/>
        <w:numPr>
          <w:ilvl w:val="0"/>
          <w:numId w:val="14"/>
        </w:numPr>
        <w:spacing w:after="0" w:line="360" w:lineRule="auto"/>
        <w:rPr>
          <w:rFonts w:asciiTheme="minorHAnsi" w:hAnsiTheme="minorHAnsi"/>
        </w:rPr>
      </w:pPr>
      <w:r w:rsidRPr="00CC2B6E">
        <w:rPr>
          <w:rFonts w:asciiTheme="minorHAnsi" w:hAnsiTheme="minorHAnsi"/>
        </w:rPr>
        <w:t>It</w:t>
      </w:r>
      <w:r w:rsidR="002D1B4D" w:rsidRPr="00CC2B6E">
        <w:rPr>
          <w:rFonts w:asciiTheme="minorHAnsi" w:hAnsiTheme="minorHAnsi"/>
        </w:rPr>
        <w:t xml:space="preserve"> will take responsibility for liaison with any party who h</w:t>
      </w:r>
      <w:r w:rsidRPr="00CC2B6E">
        <w:rPr>
          <w:rFonts w:asciiTheme="minorHAnsi" w:hAnsiTheme="minorHAnsi"/>
        </w:rPr>
        <w:t>as queries regarding the Participant’s</w:t>
      </w:r>
      <w:r w:rsidR="002D1B4D" w:rsidRPr="00CC2B6E">
        <w:rPr>
          <w:rFonts w:asciiTheme="minorHAnsi" w:hAnsiTheme="minorHAnsi"/>
        </w:rPr>
        <w:t xml:space="preserve"> objects an</w:t>
      </w:r>
      <w:r w:rsidRPr="00CC2B6E">
        <w:rPr>
          <w:rFonts w:asciiTheme="minorHAnsi" w:hAnsiTheme="minorHAnsi"/>
        </w:rPr>
        <w:t>d the DOIs that it</w:t>
      </w:r>
      <w:r w:rsidR="002D1B4D" w:rsidRPr="00CC2B6E">
        <w:rPr>
          <w:rFonts w:asciiTheme="minorHAnsi" w:hAnsiTheme="minorHAnsi"/>
        </w:rPr>
        <w:t xml:space="preserve"> mint</w:t>
      </w:r>
      <w:r w:rsidRPr="00CC2B6E">
        <w:rPr>
          <w:rFonts w:asciiTheme="minorHAnsi" w:hAnsiTheme="minorHAnsi"/>
        </w:rPr>
        <w:t>s</w:t>
      </w:r>
      <w:r w:rsidR="002D1B4D" w:rsidRPr="00CC2B6E">
        <w:rPr>
          <w:rFonts w:asciiTheme="minorHAnsi" w:hAnsiTheme="minorHAnsi"/>
        </w:rPr>
        <w:t xml:space="preserve">. ANDS </w:t>
      </w:r>
      <w:r w:rsidRPr="00CC2B6E">
        <w:rPr>
          <w:rFonts w:asciiTheme="minorHAnsi" w:hAnsiTheme="minorHAnsi"/>
        </w:rPr>
        <w:t xml:space="preserve">will </w:t>
      </w:r>
      <w:r w:rsidR="002D1B4D" w:rsidRPr="00CC2B6E">
        <w:rPr>
          <w:rFonts w:asciiTheme="minorHAnsi" w:hAnsiTheme="minorHAnsi"/>
        </w:rPr>
        <w:t xml:space="preserve">provide help desk services to </w:t>
      </w:r>
      <w:r w:rsidRPr="00CC2B6E">
        <w:rPr>
          <w:rFonts w:asciiTheme="minorHAnsi" w:hAnsiTheme="minorHAnsi"/>
        </w:rPr>
        <w:t xml:space="preserve">the </w:t>
      </w:r>
      <w:r w:rsidR="0095298E" w:rsidRPr="00CC2B6E">
        <w:rPr>
          <w:rFonts w:asciiTheme="minorHAnsi" w:hAnsiTheme="minorHAnsi"/>
        </w:rPr>
        <w:t xml:space="preserve">Participant </w:t>
      </w:r>
      <w:r w:rsidRPr="00CC2B6E">
        <w:rPr>
          <w:rFonts w:asciiTheme="minorHAnsi" w:hAnsiTheme="minorHAnsi"/>
        </w:rPr>
        <w:t>but not to the end-users of the Participant’s DOIs</w:t>
      </w:r>
      <w:r w:rsidR="002D1B4D" w:rsidRPr="00CC2B6E">
        <w:rPr>
          <w:rFonts w:asciiTheme="minorHAnsi" w:hAnsiTheme="minorHAnsi"/>
        </w:rPr>
        <w:t>.</w:t>
      </w:r>
    </w:p>
    <w:p w14:paraId="1DC87686" w14:textId="77777777" w:rsidR="007635AD" w:rsidRDefault="007635AD" w:rsidP="007635AD">
      <w:pPr>
        <w:spacing w:after="0" w:line="240" w:lineRule="auto"/>
        <w:rPr>
          <w:rFonts w:asciiTheme="minorHAnsi" w:hAnsiTheme="minorHAnsi"/>
        </w:rPr>
      </w:pPr>
    </w:p>
    <w:p w14:paraId="51FC6953" w14:textId="77777777" w:rsidR="007635AD" w:rsidRDefault="007635AD" w:rsidP="007635AD">
      <w:pPr>
        <w:pStyle w:val="ANDSHeading1"/>
        <w:keepNext/>
        <w:numPr>
          <w:ilvl w:val="0"/>
          <w:numId w:val="11"/>
        </w:numPr>
        <w:spacing w:after="200"/>
        <w:ind w:left="357" w:hanging="357"/>
      </w:pPr>
      <w:r>
        <w:lastRenderedPageBreak/>
        <w:t>Warranty and Liability</w:t>
      </w:r>
    </w:p>
    <w:p w14:paraId="31AE1959" w14:textId="7812512C" w:rsidR="009F230C" w:rsidRDefault="00F63A2A" w:rsidP="009F230C">
      <w:pPr>
        <w:pStyle w:val="ListParagraph"/>
        <w:keepLines/>
        <w:spacing w:line="360" w:lineRule="auto"/>
        <w:ind w:left="0"/>
      </w:pPr>
      <w:r>
        <w:t xml:space="preserve">ANDS provides the </w:t>
      </w:r>
      <w:r w:rsidRPr="009F230C">
        <w:rPr>
          <w:i/>
        </w:rPr>
        <w:t>Cite My Data</w:t>
      </w:r>
      <w:r>
        <w:t xml:space="preserve"> product wit</w:t>
      </w:r>
      <w:r w:rsidR="009F230C">
        <w:t xml:space="preserve">hout warranty or liability and </w:t>
      </w:r>
      <w:r>
        <w:t>does not accept responsibility</w:t>
      </w:r>
      <w:r w:rsidR="009F230C">
        <w:t xml:space="preserve"> for any loss or damage resulting from its use. </w:t>
      </w:r>
      <w:r w:rsidR="0023627D">
        <w:t xml:space="preserve">To the fullest extent permitted by law, </w:t>
      </w:r>
      <w:r w:rsidR="003803B0" w:rsidRPr="003803B0">
        <w:t>ANDS</w:t>
      </w:r>
      <w:r w:rsidR="00542DE4">
        <w:t>, its employees, contractors and agents</w:t>
      </w:r>
      <w:r w:rsidR="003803B0" w:rsidRPr="003803B0">
        <w:t xml:space="preserve"> hereby exclude any warranty</w:t>
      </w:r>
      <w:r w:rsidR="003803B0">
        <w:t>,</w:t>
      </w:r>
      <w:r w:rsidR="003803B0" w:rsidRPr="003803B0">
        <w:t xml:space="preserve"> either express or implied as to the merchantability, fitness for purpose, accuracy, currency or comprehensiveness of </w:t>
      </w:r>
      <w:r w:rsidR="00C47FB0">
        <w:t>any services forming part of, or p</w:t>
      </w:r>
      <w:r>
        <w:t>rovided in connection with, this agreement</w:t>
      </w:r>
      <w:r w:rsidR="009F230C">
        <w:t>, and limits its</w:t>
      </w:r>
      <w:r w:rsidR="0023627D">
        <w:t xml:space="preserve"> liability </w:t>
      </w:r>
      <w:r w:rsidR="003803B0" w:rsidRPr="003803B0">
        <w:t>under any condition or warranty which cannot be excluded legally to supplying the services again or paying the cost of having the services supplied again</w:t>
      </w:r>
      <w:r w:rsidR="007A6428">
        <w:t xml:space="preserve"> (</w:t>
      </w:r>
      <w:r w:rsidR="007A6428" w:rsidRPr="003803B0">
        <w:t>at the option of ANDS</w:t>
      </w:r>
      <w:r w:rsidR="007A6428">
        <w:t>)</w:t>
      </w:r>
      <w:r w:rsidR="003803B0" w:rsidRPr="003803B0">
        <w:t>.</w:t>
      </w:r>
      <w:r w:rsidR="009F230C">
        <w:br/>
      </w:r>
      <w:r w:rsidR="009F230C">
        <w:br/>
        <w:t xml:space="preserve">ANDS </w:t>
      </w:r>
      <w:r w:rsidR="009F230C">
        <w:rPr>
          <w:i/>
        </w:rPr>
        <w:t>Cite</w:t>
      </w:r>
      <w:r w:rsidR="009F230C" w:rsidRPr="00016333">
        <w:rPr>
          <w:i/>
        </w:rPr>
        <w:t xml:space="preserve"> My Data</w:t>
      </w:r>
      <w:r w:rsidR="009F230C">
        <w:t xml:space="preserve"> is underpinned and reliant on the </w:t>
      </w:r>
      <w:proofErr w:type="spellStart"/>
      <w:r w:rsidR="009F230C">
        <w:t>DataCite</w:t>
      </w:r>
      <w:proofErr w:type="spellEnd"/>
      <w:r w:rsidR="009F230C">
        <w:t xml:space="preserve"> services provided by </w:t>
      </w:r>
      <w:proofErr w:type="spellStart"/>
      <w:r w:rsidR="009F230C">
        <w:t>DataCite</w:t>
      </w:r>
      <w:proofErr w:type="spellEnd"/>
      <w:r w:rsidR="009F230C">
        <w:rPr>
          <w:rStyle w:val="FootnoteReference"/>
        </w:rPr>
        <w:footnoteReference w:id="4"/>
      </w:r>
      <w:r w:rsidR="009F230C">
        <w:t xml:space="preserve"> and the DOI services provided by the International DOI Foundation</w:t>
      </w:r>
      <w:r w:rsidR="009F230C">
        <w:rPr>
          <w:rStyle w:val="FootnoteReference"/>
        </w:rPr>
        <w:footnoteReference w:id="5"/>
      </w:r>
      <w:r w:rsidR="009F230C">
        <w:t xml:space="preserve">. ANDS cannot warrant the longevity or reliability of the </w:t>
      </w:r>
      <w:proofErr w:type="spellStart"/>
      <w:r w:rsidR="009F230C">
        <w:t>DataCite</w:t>
      </w:r>
      <w:proofErr w:type="spellEnd"/>
      <w:r w:rsidR="009F230C">
        <w:t xml:space="preserve"> or International DOI Foundation services.</w:t>
      </w:r>
    </w:p>
    <w:p w14:paraId="6B12814F" w14:textId="77777777" w:rsidR="007E1E2E" w:rsidRDefault="007E1E2E" w:rsidP="007E1E2E">
      <w:pPr>
        <w:pStyle w:val="ANDSHeading1"/>
        <w:numPr>
          <w:ilvl w:val="0"/>
          <w:numId w:val="11"/>
        </w:numPr>
      </w:pPr>
      <w:r>
        <w:t>Disclaimer of Endorsement</w:t>
      </w:r>
    </w:p>
    <w:p w14:paraId="3FF79D59" w14:textId="77777777" w:rsidR="007E1E2E" w:rsidRPr="007E1E2E" w:rsidRDefault="007E1E2E" w:rsidP="007635AD">
      <w:pPr>
        <w:spacing w:line="360" w:lineRule="auto"/>
      </w:pPr>
      <w:r w:rsidRPr="00A3469A">
        <w:t>Neither ANDS nor Monash University endorse or recommend any commercial products, processes or services described in this agreement.  Any addresses for third party internet site</w:t>
      </w:r>
      <w:r w:rsidR="000265BB" w:rsidRPr="00A3469A">
        <w:t xml:space="preserve">s are provided for the Participant’s </w:t>
      </w:r>
      <w:r w:rsidRPr="00A3469A">
        <w:t>convenience only.  ANDS and Monash University are not responsible for the availability of those internet sites and do not endorse or recommend the products, services or information described or offered on these other internet sites.</w:t>
      </w:r>
    </w:p>
    <w:p w14:paraId="195C3DAB" w14:textId="77777777" w:rsidR="0017403F" w:rsidRDefault="002B2C7C" w:rsidP="00A140DE">
      <w:pPr>
        <w:pStyle w:val="ANDSHeading1"/>
        <w:keepNext/>
        <w:numPr>
          <w:ilvl w:val="0"/>
          <w:numId w:val="11"/>
        </w:numPr>
        <w:ind w:left="357" w:hanging="357"/>
      </w:pPr>
      <w:r>
        <w:t>IP</w:t>
      </w:r>
    </w:p>
    <w:p w14:paraId="02B696E7" w14:textId="77777777" w:rsidR="0017403F" w:rsidRDefault="002B2C7C" w:rsidP="007635AD">
      <w:pPr>
        <w:spacing w:line="360" w:lineRule="auto"/>
      </w:pPr>
      <w:r w:rsidRPr="00A3469A">
        <w:t xml:space="preserve">The allocation of a </w:t>
      </w:r>
      <w:r w:rsidR="000A1E04" w:rsidRPr="00A3469A">
        <w:t>DOI</w:t>
      </w:r>
      <w:r w:rsidRPr="00A3469A">
        <w:t xml:space="preserve"> to research content does not include any transfer or assignment of ownership of any Intellectual Property right (IPR) </w:t>
      </w:r>
      <w:r w:rsidR="00262D4E" w:rsidRPr="00A3469A">
        <w:t>with regard to</w:t>
      </w:r>
      <w:r w:rsidRPr="00A3469A">
        <w:t xml:space="preserve"> that content. The metadata related to the </w:t>
      </w:r>
      <w:r w:rsidR="000A1E04" w:rsidRPr="00A3469A">
        <w:t>DOI</w:t>
      </w:r>
      <w:r w:rsidR="00AC089A" w:rsidRPr="00A3469A">
        <w:t xml:space="preserve"> </w:t>
      </w:r>
      <w:r w:rsidRPr="00A3469A">
        <w:t xml:space="preserve">is public information, and </w:t>
      </w:r>
      <w:r w:rsidR="003803B0" w:rsidRPr="00A3469A">
        <w:t xml:space="preserve">the Participant </w:t>
      </w:r>
      <w:r w:rsidRPr="00A3469A">
        <w:t>permit</w:t>
      </w:r>
      <w:r w:rsidR="003803B0" w:rsidRPr="00A3469A">
        <w:t>s</w:t>
      </w:r>
      <w:r w:rsidRPr="00A3469A">
        <w:t xml:space="preserve"> ANDS to use it in its systems and </w:t>
      </w:r>
      <w:r w:rsidR="00262D4E" w:rsidRPr="00A3469A">
        <w:t xml:space="preserve">to </w:t>
      </w:r>
      <w:r w:rsidRPr="00A3469A">
        <w:t xml:space="preserve">relay it throughout the </w:t>
      </w:r>
      <w:proofErr w:type="spellStart"/>
      <w:r w:rsidR="000A1E04" w:rsidRPr="00A3469A">
        <w:t>Data</w:t>
      </w:r>
      <w:r w:rsidR="000569C4">
        <w:t>C</w:t>
      </w:r>
      <w:r w:rsidR="000A1E04" w:rsidRPr="00A3469A">
        <w:t>ite</w:t>
      </w:r>
      <w:proofErr w:type="spellEnd"/>
      <w:r w:rsidR="000A1E04" w:rsidRPr="00A3469A">
        <w:t xml:space="preserve"> and </w:t>
      </w:r>
      <w:r w:rsidRPr="00A3469A">
        <w:t>global Handle system</w:t>
      </w:r>
      <w:r w:rsidR="000A1E04" w:rsidRPr="00A3469A">
        <w:t>s.</w:t>
      </w:r>
    </w:p>
    <w:p w14:paraId="75697597" w14:textId="77777777" w:rsidR="00C56784" w:rsidRDefault="00C56784" w:rsidP="007635AD">
      <w:pPr>
        <w:spacing w:line="360" w:lineRule="auto"/>
      </w:pPr>
    </w:p>
    <w:p w14:paraId="69D11AB6" w14:textId="77777777" w:rsidR="00C56784" w:rsidRDefault="00C56784" w:rsidP="007635AD">
      <w:pPr>
        <w:spacing w:line="360" w:lineRule="auto"/>
      </w:pPr>
    </w:p>
    <w:p w14:paraId="15FAB7DF" w14:textId="77777777" w:rsidR="00C56784" w:rsidRDefault="00C56784" w:rsidP="007635AD">
      <w:pPr>
        <w:spacing w:line="360" w:lineRule="auto"/>
      </w:pPr>
    </w:p>
    <w:p w14:paraId="4E6CB43C" w14:textId="77777777" w:rsidR="00C56784" w:rsidRPr="00A3469A" w:rsidRDefault="00C56784" w:rsidP="007635AD">
      <w:pPr>
        <w:spacing w:line="360" w:lineRule="auto"/>
      </w:pPr>
    </w:p>
    <w:p w14:paraId="31C7BDDD" w14:textId="77777777" w:rsidR="0017403F" w:rsidRPr="00262D4E" w:rsidRDefault="002B2C7C" w:rsidP="0017403F">
      <w:pPr>
        <w:pStyle w:val="ANDSHeading1"/>
        <w:numPr>
          <w:ilvl w:val="0"/>
          <w:numId w:val="11"/>
        </w:numPr>
        <w:spacing w:after="200"/>
      </w:pPr>
      <w:r>
        <w:rPr>
          <w:lang w:val="en-US"/>
        </w:rPr>
        <w:lastRenderedPageBreak/>
        <w:t>Duration</w:t>
      </w:r>
    </w:p>
    <w:p w14:paraId="56CB85A0" w14:textId="1DD01071" w:rsidR="004837FA" w:rsidRDefault="005011FF" w:rsidP="004837FA">
      <w:pPr>
        <w:pStyle w:val="ListParagraph"/>
        <w:keepLines/>
        <w:spacing w:line="360" w:lineRule="auto"/>
        <w:ind w:left="0"/>
        <w:rPr>
          <w:lang w:val="en-US"/>
        </w:rPr>
      </w:pPr>
      <w:r w:rsidRPr="00A3469A">
        <w:t xml:space="preserve"> </w:t>
      </w:r>
      <w:r w:rsidR="004837FA" w:rsidRPr="00262D4E">
        <w:rPr>
          <w:lang w:val="en-US"/>
        </w:rPr>
        <w:t>Th</w:t>
      </w:r>
      <w:r w:rsidR="004837FA">
        <w:rPr>
          <w:lang w:val="en-US"/>
        </w:rPr>
        <w:t>is</w:t>
      </w:r>
      <w:r w:rsidR="004837FA" w:rsidRPr="00262D4E">
        <w:rPr>
          <w:lang w:val="en-US"/>
        </w:rPr>
        <w:t xml:space="preserve"> Agreement </w:t>
      </w:r>
      <w:r w:rsidR="004837FA">
        <w:rPr>
          <w:lang w:val="en-US"/>
        </w:rPr>
        <w:t>will</w:t>
      </w:r>
      <w:r w:rsidR="004837FA" w:rsidRPr="00262D4E">
        <w:rPr>
          <w:lang w:val="en-US"/>
        </w:rPr>
        <w:t xml:space="preserve"> become effective at the date of signature and </w:t>
      </w:r>
      <w:r w:rsidR="004837FA">
        <w:rPr>
          <w:lang w:val="en-US"/>
        </w:rPr>
        <w:t>will</w:t>
      </w:r>
      <w:r w:rsidR="004837FA" w:rsidRPr="00262D4E">
        <w:rPr>
          <w:lang w:val="en-US"/>
        </w:rPr>
        <w:t xml:space="preserve"> continue until</w:t>
      </w:r>
      <w:r w:rsidR="004837FA">
        <w:rPr>
          <w:lang w:val="en-US"/>
        </w:rPr>
        <w:t xml:space="preserve"> </w:t>
      </w:r>
      <w:r w:rsidR="004837FA" w:rsidRPr="00262D4E">
        <w:rPr>
          <w:lang w:val="en-US"/>
        </w:rPr>
        <w:t>31st Dec</w:t>
      </w:r>
      <w:r w:rsidR="004837FA" w:rsidRPr="002A418F">
        <w:rPr>
          <w:lang w:val="en-US"/>
        </w:rPr>
        <w:t>ember 20</w:t>
      </w:r>
      <w:r w:rsidR="00711FC1">
        <w:rPr>
          <w:lang w:val="en-US"/>
        </w:rPr>
        <w:t>15</w:t>
      </w:r>
      <w:r w:rsidR="004837FA" w:rsidRPr="002A418F">
        <w:rPr>
          <w:lang w:val="en-US"/>
        </w:rPr>
        <w:t xml:space="preserve">. </w:t>
      </w:r>
      <w:r w:rsidR="004837FA">
        <w:rPr>
          <w:lang w:val="en-US"/>
        </w:rPr>
        <w:t xml:space="preserve">After 31 December </w:t>
      </w:r>
      <w:r w:rsidR="00CC66AB">
        <w:rPr>
          <w:lang w:val="en-US"/>
        </w:rPr>
        <w:t>201</w:t>
      </w:r>
      <w:r w:rsidR="00711FC1">
        <w:rPr>
          <w:lang w:val="en-US"/>
        </w:rPr>
        <w:t>5</w:t>
      </w:r>
      <w:r w:rsidR="004837FA">
        <w:rPr>
          <w:lang w:val="en-US"/>
        </w:rPr>
        <w:t xml:space="preserve"> this agreement will be automatically </w:t>
      </w:r>
      <w:r w:rsidR="004837FA" w:rsidRPr="002A418F">
        <w:rPr>
          <w:lang w:val="en-US"/>
        </w:rPr>
        <w:t>extended on an annual basis</w:t>
      </w:r>
      <w:r w:rsidR="004837FA">
        <w:rPr>
          <w:lang w:val="en-US"/>
        </w:rPr>
        <w:t xml:space="preserve"> </w:t>
      </w:r>
      <w:r w:rsidR="004837FA" w:rsidRPr="002A418F">
        <w:rPr>
          <w:lang w:val="en-US"/>
        </w:rPr>
        <w:t>unless terminated</w:t>
      </w:r>
      <w:r w:rsidR="004837FA">
        <w:rPr>
          <w:lang w:val="en-US"/>
        </w:rPr>
        <w:t>.</w:t>
      </w:r>
    </w:p>
    <w:p w14:paraId="58D240C3" w14:textId="77777777" w:rsidR="004837FA" w:rsidRDefault="004837FA" w:rsidP="004837FA">
      <w:pPr>
        <w:pStyle w:val="ListParagraph"/>
        <w:keepLines/>
        <w:spacing w:line="360" w:lineRule="auto"/>
        <w:ind w:left="0"/>
        <w:rPr>
          <w:lang w:val="en-US"/>
        </w:rPr>
      </w:pPr>
    </w:p>
    <w:p w14:paraId="150B596D" w14:textId="516EF501" w:rsidR="004837FA" w:rsidRDefault="004837FA" w:rsidP="005C672A">
      <w:pPr>
        <w:pStyle w:val="ListParagraph"/>
        <w:keepLines/>
        <w:spacing w:line="360" w:lineRule="auto"/>
        <w:ind w:left="0"/>
        <w:rPr>
          <w:lang w:val="en-US"/>
        </w:rPr>
      </w:pPr>
      <w:r>
        <w:rPr>
          <w:lang w:val="en-US"/>
        </w:rPr>
        <w:t xml:space="preserve">Either party may terminate this agreement by providing the other </w:t>
      </w:r>
      <w:r w:rsidR="005C672A">
        <w:rPr>
          <w:lang w:val="en-US"/>
        </w:rPr>
        <w:t xml:space="preserve">party with </w:t>
      </w:r>
      <w:r>
        <w:rPr>
          <w:lang w:val="en-US"/>
        </w:rPr>
        <w:t xml:space="preserve">3 </w:t>
      </w:r>
      <w:proofErr w:type="gramStart"/>
      <w:r>
        <w:rPr>
          <w:lang w:val="en-US"/>
        </w:rPr>
        <w:t>months'  notice</w:t>
      </w:r>
      <w:proofErr w:type="gramEnd"/>
      <w:r>
        <w:rPr>
          <w:lang w:val="en-US"/>
        </w:rPr>
        <w:t>, in writing, of an intention to do so.  T</w:t>
      </w:r>
      <w:r w:rsidRPr="002A418F">
        <w:rPr>
          <w:lang w:val="en-US"/>
        </w:rPr>
        <w:t xml:space="preserve">ermination </w:t>
      </w:r>
      <w:r>
        <w:rPr>
          <w:lang w:val="en-US"/>
        </w:rPr>
        <w:t xml:space="preserve">will </w:t>
      </w:r>
      <w:r w:rsidRPr="002A418F">
        <w:rPr>
          <w:lang w:val="en-US"/>
        </w:rPr>
        <w:t>be effective after the expiration of the 3month notice</w:t>
      </w:r>
      <w:r>
        <w:rPr>
          <w:lang w:val="en-US"/>
        </w:rPr>
        <w:t xml:space="preserve"> period</w:t>
      </w:r>
      <w:r w:rsidRPr="002A418F">
        <w:rPr>
          <w:lang w:val="en-US"/>
        </w:rPr>
        <w:t>.</w:t>
      </w:r>
      <w:bookmarkStart w:id="0" w:name="_GoBack"/>
      <w:bookmarkEnd w:id="0"/>
    </w:p>
    <w:p w14:paraId="125627A7" w14:textId="77777777" w:rsidR="000265BB" w:rsidRDefault="000265BB" w:rsidP="00DD64C0">
      <w:pPr>
        <w:pStyle w:val="ANDSHeading1"/>
        <w:keepNext/>
        <w:numPr>
          <w:ilvl w:val="0"/>
          <w:numId w:val="11"/>
        </w:numPr>
        <w:spacing w:after="200"/>
        <w:ind w:left="357" w:hanging="357"/>
      </w:pPr>
      <w:r>
        <w:t>Governing law</w:t>
      </w:r>
    </w:p>
    <w:p w14:paraId="4168D0C4" w14:textId="77777777" w:rsidR="005C672A" w:rsidRDefault="007F2766" w:rsidP="005C672A">
      <w:r w:rsidRPr="007F2766">
        <w:t xml:space="preserve">This </w:t>
      </w:r>
      <w:r>
        <w:t>a</w:t>
      </w:r>
      <w:r w:rsidRPr="007F2766">
        <w:t xml:space="preserve">greement is governed by and is to be construed in accordance with the laws of Victoria.  </w:t>
      </w:r>
      <w:r>
        <w:t>E</w:t>
      </w:r>
      <w:r w:rsidRPr="007F2766">
        <w:t xml:space="preserve">ach </w:t>
      </w:r>
      <w:r>
        <w:t>p</w:t>
      </w:r>
      <w:r w:rsidRPr="007F2766">
        <w:t>arty irrevocably and unconditionally submits to the non-exclusive jurisdiction of the courts of Victoria and waives any right to object to proceedings being brought in those courts.</w:t>
      </w:r>
    </w:p>
    <w:p w14:paraId="6179A090" w14:textId="77777777" w:rsidR="001155B6" w:rsidRPr="00EA58EF" w:rsidRDefault="001155B6" w:rsidP="001155B6">
      <w:pPr>
        <w:pStyle w:val="A-Head"/>
      </w:pPr>
      <w:r w:rsidRPr="00EA58EF">
        <w:rPr>
          <w:rFonts w:cs="Arial"/>
        </w:rPr>
        <w:t xml:space="preserve">EXECUTED </w:t>
      </w:r>
      <w:r w:rsidR="00B94D90">
        <w:rPr>
          <w:b w:val="0"/>
          <w:caps w:val="0"/>
        </w:rPr>
        <w:t>as an a</w:t>
      </w:r>
      <w:r w:rsidRPr="00EA58EF">
        <w:rPr>
          <w:b w:val="0"/>
          <w:caps w:val="0"/>
        </w:rPr>
        <w:t>greement</w:t>
      </w:r>
    </w:p>
    <w:p w14:paraId="1211A695" w14:textId="77777777" w:rsidR="001155B6" w:rsidRPr="00EA58EF" w:rsidRDefault="001155B6" w:rsidP="001155B6">
      <w:pPr>
        <w:tabs>
          <w:tab w:val="left" w:pos="3969"/>
          <w:tab w:val="left" w:leader="dot" w:pos="8504"/>
        </w:tabs>
        <w:spacing w:after="120"/>
      </w:pPr>
      <w:r w:rsidRPr="00EA58EF">
        <w:rPr>
          <w:caps/>
        </w:rPr>
        <w:t>Signed</w:t>
      </w:r>
      <w:r w:rsidRPr="00EA58EF">
        <w:t xml:space="preserve"> for and on behalf of </w:t>
      </w:r>
      <w:r w:rsidRPr="00EA58EF">
        <w:br/>
      </w:r>
      <w:r w:rsidR="00630FD0">
        <w:rPr>
          <w:b/>
          <w:caps/>
        </w:rPr>
        <w:t>Monash university</w:t>
      </w:r>
      <w:r>
        <w:rPr>
          <w:b/>
          <w:caps/>
        </w:rPr>
        <w:t xml:space="preserve"> </w:t>
      </w:r>
      <w:r w:rsidRPr="00EA58EF">
        <w:t xml:space="preserve">by its </w:t>
      </w:r>
      <w:r w:rsidRPr="00EA58EF">
        <w:br/>
        <w:t>Authorised Officer:</w:t>
      </w:r>
      <w:r w:rsidRPr="00EA58EF">
        <w:tab/>
      </w:r>
      <w:r w:rsidRPr="00EA58EF">
        <w:tab/>
      </w:r>
    </w:p>
    <w:p w14:paraId="4A3055AE" w14:textId="77777777" w:rsidR="001155B6" w:rsidRPr="00EA58EF" w:rsidRDefault="001155B6" w:rsidP="001155B6">
      <w:pPr>
        <w:tabs>
          <w:tab w:val="left" w:pos="3969"/>
          <w:tab w:val="left" w:leader="dot" w:pos="8504"/>
        </w:tabs>
        <w:spacing w:after="240"/>
        <w:rPr>
          <w:i/>
          <w:sz w:val="20"/>
        </w:rPr>
      </w:pPr>
      <w:r w:rsidRPr="00EA58EF">
        <w:rPr>
          <w:i/>
          <w:sz w:val="20"/>
        </w:rPr>
        <w:tab/>
        <w:t>(</w:t>
      </w:r>
      <w:proofErr w:type="gramStart"/>
      <w:r w:rsidRPr="00EA58EF">
        <w:rPr>
          <w:i/>
          <w:sz w:val="20"/>
        </w:rPr>
        <w:t>signature</w:t>
      </w:r>
      <w:proofErr w:type="gramEnd"/>
      <w:r w:rsidRPr="00EA58EF">
        <w:rPr>
          <w:i/>
          <w:sz w:val="20"/>
        </w:rPr>
        <w:t>)</w:t>
      </w:r>
    </w:p>
    <w:p w14:paraId="3B53CCDA" w14:textId="77777777" w:rsidR="001155B6" w:rsidRPr="00EA58EF" w:rsidRDefault="001155B6" w:rsidP="001155B6">
      <w:pPr>
        <w:tabs>
          <w:tab w:val="left" w:pos="3969"/>
          <w:tab w:val="left" w:leader="dot" w:pos="8504"/>
        </w:tabs>
        <w:spacing w:after="240"/>
      </w:pPr>
    </w:p>
    <w:p w14:paraId="18E69C77" w14:textId="77777777" w:rsidR="001155B6" w:rsidRPr="00EA58EF" w:rsidRDefault="001155B6" w:rsidP="001155B6">
      <w:pPr>
        <w:tabs>
          <w:tab w:val="left" w:pos="3969"/>
          <w:tab w:val="left" w:leader="dot" w:pos="8504"/>
        </w:tabs>
        <w:spacing w:after="120"/>
      </w:pPr>
      <w:r w:rsidRPr="00EA58EF">
        <w:tab/>
      </w:r>
      <w:r w:rsidRPr="00EA58EF">
        <w:tab/>
      </w:r>
    </w:p>
    <w:p w14:paraId="620D4FD4" w14:textId="77777777" w:rsidR="001155B6" w:rsidRPr="00EA58EF" w:rsidRDefault="001155B6" w:rsidP="001155B6">
      <w:pPr>
        <w:tabs>
          <w:tab w:val="left" w:pos="3969"/>
          <w:tab w:val="left" w:leader="dot" w:pos="8504"/>
        </w:tabs>
        <w:spacing w:after="240"/>
        <w:rPr>
          <w:i/>
          <w:sz w:val="20"/>
        </w:rPr>
      </w:pPr>
      <w:r w:rsidRPr="00EA58EF">
        <w:rPr>
          <w:i/>
          <w:sz w:val="20"/>
        </w:rPr>
        <w:tab/>
        <w:t>(</w:t>
      </w:r>
      <w:proofErr w:type="gramStart"/>
      <w:r w:rsidRPr="00EA58EF">
        <w:rPr>
          <w:i/>
          <w:sz w:val="20"/>
        </w:rPr>
        <w:t>name</w:t>
      </w:r>
      <w:proofErr w:type="gramEnd"/>
      <w:r w:rsidRPr="00EA58EF">
        <w:rPr>
          <w:i/>
          <w:sz w:val="20"/>
        </w:rPr>
        <w:t xml:space="preserve"> of authorised officer)</w:t>
      </w:r>
    </w:p>
    <w:p w14:paraId="33BC669C" w14:textId="77777777" w:rsidR="001155B6" w:rsidRPr="00EA58EF" w:rsidRDefault="001155B6" w:rsidP="001155B6">
      <w:pPr>
        <w:tabs>
          <w:tab w:val="left" w:pos="3969"/>
          <w:tab w:val="left" w:leader="dot" w:pos="8504"/>
        </w:tabs>
        <w:spacing w:after="120"/>
      </w:pPr>
    </w:p>
    <w:p w14:paraId="5DB94C68" w14:textId="77777777" w:rsidR="001155B6" w:rsidRPr="00EA58EF" w:rsidRDefault="001155B6" w:rsidP="001155B6">
      <w:pPr>
        <w:tabs>
          <w:tab w:val="left" w:pos="3969"/>
          <w:tab w:val="left" w:leader="dot" w:pos="8504"/>
        </w:tabs>
        <w:spacing w:after="120"/>
      </w:pPr>
      <w:r w:rsidRPr="00EA58EF">
        <w:tab/>
      </w:r>
      <w:r w:rsidRPr="00EA58EF">
        <w:tab/>
      </w:r>
    </w:p>
    <w:p w14:paraId="28B5148A" w14:textId="77777777" w:rsidR="009A7FED" w:rsidRDefault="009A7FED" w:rsidP="001155B6">
      <w:pPr>
        <w:tabs>
          <w:tab w:val="left" w:pos="3969"/>
          <w:tab w:val="left" w:leader="dot" w:pos="8504"/>
        </w:tabs>
        <w:spacing w:after="240"/>
        <w:rPr>
          <w:i/>
          <w:sz w:val="20"/>
        </w:rPr>
      </w:pPr>
    </w:p>
    <w:p w14:paraId="45E1B50B" w14:textId="77777777" w:rsidR="001155B6" w:rsidRPr="00EA58EF" w:rsidRDefault="001155B6" w:rsidP="001155B6">
      <w:pPr>
        <w:tabs>
          <w:tab w:val="left" w:pos="3969"/>
          <w:tab w:val="left" w:leader="dot" w:pos="8504"/>
        </w:tabs>
        <w:spacing w:after="240"/>
        <w:rPr>
          <w:i/>
          <w:sz w:val="20"/>
        </w:rPr>
      </w:pPr>
      <w:r w:rsidRPr="00EA58EF">
        <w:rPr>
          <w:i/>
          <w:sz w:val="20"/>
        </w:rPr>
        <w:tab/>
        <w:t>(</w:t>
      </w:r>
      <w:proofErr w:type="gramStart"/>
      <w:r w:rsidRPr="00EA58EF">
        <w:rPr>
          <w:i/>
          <w:sz w:val="20"/>
        </w:rPr>
        <w:t>date</w:t>
      </w:r>
      <w:proofErr w:type="gramEnd"/>
      <w:r w:rsidRPr="00EA58EF">
        <w:rPr>
          <w:i/>
          <w:sz w:val="20"/>
        </w:rPr>
        <w:t>)</w:t>
      </w:r>
    </w:p>
    <w:p w14:paraId="7EEB48B3" w14:textId="77777777" w:rsidR="001155B6" w:rsidRPr="00EA58EF" w:rsidRDefault="001155B6" w:rsidP="001155B6">
      <w:pPr>
        <w:tabs>
          <w:tab w:val="left" w:pos="3969"/>
          <w:tab w:val="left" w:leader="dot" w:pos="8504"/>
        </w:tabs>
        <w:spacing w:after="120"/>
      </w:pPr>
    </w:p>
    <w:p w14:paraId="2A3A1EF5" w14:textId="77777777" w:rsidR="005C672A" w:rsidRDefault="005C672A" w:rsidP="001155B6">
      <w:pPr>
        <w:tabs>
          <w:tab w:val="left" w:pos="3969"/>
          <w:tab w:val="left" w:leader="dot" w:pos="8504"/>
        </w:tabs>
        <w:spacing w:after="120"/>
        <w:rPr>
          <w:caps/>
        </w:rPr>
      </w:pPr>
    </w:p>
    <w:p w14:paraId="12C25401" w14:textId="77777777" w:rsidR="005C672A" w:rsidRDefault="005C672A" w:rsidP="001155B6">
      <w:pPr>
        <w:tabs>
          <w:tab w:val="left" w:pos="3969"/>
          <w:tab w:val="left" w:leader="dot" w:pos="8504"/>
        </w:tabs>
        <w:spacing w:after="120"/>
        <w:rPr>
          <w:caps/>
        </w:rPr>
      </w:pPr>
    </w:p>
    <w:p w14:paraId="441D6A47" w14:textId="77777777" w:rsidR="005C672A" w:rsidRDefault="005C672A" w:rsidP="001155B6">
      <w:pPr>
        <w:tabs>
          <w:tab w:val="left" w:pos="3969"/>
          <w:tab w:val="left" w:leader="dot" w:pos="8504"/>
        </w:tabs>
        <w:spacing w:after="120"/>
        <w:rPr>
          <w:caps/>
        </w:rPr>
      </w:pPr>
    </w:p>
    <w:p w14:paraId="3782FD4F" w14:textId="77777777" w:rsidR="005C672A" w:rsidRDefault="005C672A" w:rsidP="001155B6">
      <w:pPr>
        <w:tabs>
          <w:tab w:val="left" w:pos="3969"/>
          <w:tab w:val="left" w:leader="dot" w:pos="8504"/>
        </w:tabs>
        <w:spacing w:after="120"/>
        <w:rPr>
          <w:caps/>
        </w:rPr>
      </w:pPr>
    </w:p>
    <w:p w14:paraId="373C9F89" w14:textId="77777777" w:rsidR="005C672A" w:rsidRDefault="005C672A" w:rsidP="001155B6">
      <w:pPr>
        <w:tabs>
          <w:tab w:val="left" w:pos="3969"/>
          <w:tab w:val="left" w:leader="dot" w:pos="8504"/>
        </w:tabs>
        <w:spacing w:after="120"/>
        <w:rPr>
          <w:caps/>
        </w:rPr>
      </w:pPr>
    </w:p>
    <w:p w14:paraId="2BC10A76" w14:textId="77777777" w:rsidR="005C672A" w:rsidRDefault="005C672A" w:rsidP="001155B6">
      <w:pPr>
        <w:tabs>
          <w:tab w:val="left" w:pos="3969"/>
          <w:tab w:val="left" w:leader="dot" w:pos="8504"/>
        </w:tabs>
        <w:spacing w:after="120"/>
        <w:rPr>
          <w:caps/>
        </w:rPr>
      </w:pPr>
    </w:p>
    <w:p w14:paraId="2350F5D6" w14:textId="77777777" w:rsidR="001155B6" w:rsidRPr="00EA58EF" w:rsidRDefault="001155B6" w:rsidP="001155B6">
      <w:pPr>
        <w:tabs>
          <w:tab w:val="left" w:pos="3969"/>
          <w:tab w:val="left" w:leader="dot" w:pos="8504"/>
        </w:tabs>
        <w:spacing w:after="120"/>
      </w:pPr>
      <w:r w:rsidRPr="00EA58EF">
        <w:rPr>
          <w:caps/>
        </w:rPr>
        <w:lastRenderedPageBreak/>
        <w:t>Signed</w:t>
      </w:r>
      <w:r w:rsidRPr="00EA58EF">
        <w:t xml:space="preserve"> for and on behalf of</w:t>
      </w:r>
      <w:r>
        <w:t xml:space="preserve"> the</w:t>
      </w:r>
      <w:r w:rsidRPr="00EA58EF">
        <w:t xml:space="preserve"> </w:t>
      </w:r>
      <w:r w:rsidRPr="00EA58EF">
        <w:br/>
      </w:r>
      <w:r>
        <w:rPr>
          <w:b/>
          <w:caps/>
        </w:rPr>
        <w:t>PARTICIPANT</w:t>
      </w:r>
      <w:r w:rsidRPr="00EA58EF">
        <w:rPr>
          <w:b/>
          <w:caps/>
        </w:rPr>
        <w:t xml:space="preserve"> </w:t>
      </w:r>
      <w:r w:rsidRPr="00EA58EF">
        <w:t xml:space="preserve">by its </w:t>
      </w:r>
      <w:r w:rsidRPr="00EA58EF">
        <w:br/>
        <w:t>Authorised Officer:</w:t>
      </w:r>
      <w:r w:rsidRPr="00EA58EF">
        <w:tab/>
      </w:r>
      <w:r w:rsidRPr="00EA58EF">
        <w:tab/>
      </w:r>
    </w:p>
    <w:p w14:paraId="73F3E17D" w14:textId="77777777" w:rsidR="001155B6" w:rsidRPr="00EA58EF" w:rsidRDefault="001155B6" w:rsidP="001155B6">
      <w:pPr>
        <w:tabs>
          <w:tab w:val="left" w:pos="3969"/>
          <w:tab w:val="left" w:leader="dot" w:pos="8504"/>
        </w:tabs>
        <w:spacing w:after="240"/>
        <w:rPr>
          <w:i/>
          <w:sz w:val="20"/>
        </w:rPr>
      </w:pPr>
      <w:r w:rsidRPr="00EA58EF">
        <w:rPr>
          <w:i/>
          <w:sz w:val="20"/>
        </w:rPr>
        <w:tab/>
        <w:t>(</w:t>
      </w:r>
      <w:proofErr w:type="gramStart"/>
      <w:r w:rsidRPr="00EA58EF">
        <w:rPr>
          <w:i/>
          <w:sz w:val="20"/>
        </w:rPr>
        <w:t>signature</w:t>
      </w:r>
      <w:proofErr w:type="gramEnd"/>
      <w:r w:rsidRPr="00EA58EF">
        <w:rPr>
          <w:i/>
          <w:sz w:val="20"/>
        </w:rPr>
        <w:t>)</w:t>
      </w:r>
    </w:p>
    <w:p w14:paraId="6E1E74F0" w14:textId="77777777" w:rsidR="001155B6" w:rsidRPr="00EA58EF" w:rsidRDefault="001155B6" w:rsidP="001155B6">
      <w:pPr>
        <w:tabs>
          <w:tab w:val="left" w:pos="3969"/>
          <w:tab w:val="left" w:leader="dot" w:pos="8504"/>
        </w:tabs>
        <w:spacing w:after="240"/>
      </w:pPr>
    </w:p>
    <w:p w14:paraId="21791732" w14:textId="77777777" w:rsidR="001155B6" w:rsidRPr="00EA58EF" w:rsidRDefault="001155B6" w:rsidP="001155B6">
      <w:pPr>
        <w:tabs>
          <w:tab w:val="left" w:pos="3969"/>
          <w:tab w:val="left" w:leader="dot" w:pos="8504"/>
        </w:tabs>
        <w:spacing w:after="120"/>
      </w:pPr>
      <w:r w:rsidRPr="00EA58EF">
        <w:tab/>
      </w:r>
      <w:r w:rsidRPr="00EA58EF">
        <w:tab/>
      </w:r>
    </w:p>
    <w:p w14:paraId="3D7BA451" w14:textId="77777777" w:rsidR="001155B6" w:rsidRPr="00EA58EF" w:rsidRDefault="001155B6" w:rsidP="001155B6">
      <w:pPr>
        <w:tabs>
          <w:tab w:val="left" w:pos="3969"/>
          <w:tab w:val="left" w:leader="dot" w:pos="8504"/>
        </w:tabs>
        <w:spacing w:after="240"/>
        <w:rPr>
          <w:i/>
          <w:sz w:val="20"/>
        </w:rPr>
      </w:pPr>
      <w:r w:rsidRPr="00EA58EF">
        <w:rPr>
          <w:i/>
          <w:sz w:val="20"/>
        </w:rPr>
        <w:tab/>
        <w:t>(</w:t>
      </w:r>
      <w:proofErr w:type="gramStart"/>
      <w:r w:rsidRPr="00EA58EF">
        <w:rPr>
          <w:i/>
          <w:sz w:val="20"/>
        </w:rPr>
        <w:t>name</w:t>
      </w:r>
      <w:proofErr w:type="gramEnd"/>
      <w:r w:rsidRPr="00EA58EF">
        <w:rPr>
          <w:i/>
          <w:sz w:val="20"/>
        </w:rPr>
        <w:t xml:space="preserve"> of authorised officer)</w:t>
      </w:r>
    </w:p>
    <w:p w14:paraId="4B5B9862" w14:textId="77777777" w:rsidR="001155B6" w:rsidRPr="00EA58EF" w:rsidRDefault="001155B6" w:rsidP="001155B6">
      <w:pPr>
        <w:tabs>
          <w:tab w:val="left" w:pos="3969"/>
          <w:tab w:val="left" w:leader="dot" w:pos="8504"/>
        </w:tabs>
        <w:spacing w:after="120"/>
      </w:pPr>
    </w:p>
    <w:p w14:paraId="13F1C318" w14:textId="77777777" w:rsidR="001155B6" w:rsidRPr="00EA58EF" w:rsidRDefault="001155B6" w:rsidP="001155B6">
      <w:pPr>
        <w:tabs>
          <w:tab w:val="left" w:pos="3969"/>
          <w:tab w:val="left" w:leader="dot" w:pos="8504"/>
        </w:tabs>
        <w:spacing w:after="120"/>
      </w:pPr>
      <w:r w:rsidRPr="00EA58EF">
        <w:tab/>
      </w:r>
      <w:r w:rsidRPr="00EA58EF">
        <w:tab/>
      </w:r>
    </w:p>
    <w:p w14:paraId="3CD61AE1" w14:textId="77777777" w:rsidR="001155B6" w:rsidRPr="00EA58EF" w:rsidRDefault="001155B6" w:rsidP="001155B6">
      <w:pPr>
        <w:tabs>
          <w:tab w:val="left" w:pos="3969"/>
          <w:tab w:val="left" w:leader="dot" w:pos="8504"/>
        </w:tabs>
        <w:spacing w:after="240"/>
        <w:rPr>
          <w:i/>
          <w:sz w:val="20"/>
        </w:rPr>
      </w:pPr>
      <w:r w:rsidRPr="00EA58EF">
        <w:rPr>
          <w:i/>
          <w:sz w:val="20"/>
        </w:rPr>
        <w:tab/>
        <w:t>(</w:t>
      </w:r>
      <w:proofErr w:type="gramStart"/>
      <w:r w:rsidRPr="00EA58EF">
        <w:rPr>
          <w:i/>
          <w:sz w:val="20"/>
        </w:rPr>
        <w:t>date</w:t>
      </w:r>
      <w:proofErr w:type="gramEnd"/>
      <w:r w:rsidRPr="00EA58EF">
        <w:rPr>
          <w:i/>
          <w:sz w:val="20"/>
        </w:rPr>
        <w:t>)</w:t>
      </w:r>
    </w:p>
    <w:p w14:paraId="7CD1F530" w14:textId="77777777" w:rsidR="004C4B04" w:rsidRDefault="004C4B04" w:rsidP="004E2D90">
      <w:pPr>
        <w:pStyle w:val="ListParagraph"/>
        <w:spacing w:line="360" w:lineRule="auto"/>
        <w:ind w:left="0"/>
      </w:pPr>
    </w:p>
    <w:p w14:paraId="1DB82F45" w14:textId="77777777" w:rsidR="001155B6" w:rsidRPr="004C4B04" w:rsidRDefault="004C4B04" w:rsidP="001155B6">
      <w:pPr>
        <w:pStyle w:val="ListParagraph"/>
        <w:spacing w:line="360" w:lineRule="auto"/>
        <w:ind w:left="0"/>
        <w:rPr>
          <w:b/>
          <w:sz w:val="32"/>
          <w:szCs w:val="32"/>
        </w:rPr>
      </w:pPr>
      <w:r>
        <w:br w:type="page"/>
      </w:r>
      <w:r w:rsidR="001155B6">
        <w:lastRenderedPageBreak/>
        <w:t xml:space="preserve"> </w:t>
      </w:r>
      <w:r w:rsidR="001155B6" w:rsidRPr="004C4B04">
        <w:rPr>
          <w:b/>
          <w:sz w:val="32"/>
          <w:szCs w:val="32"/>
        </w:rPr>
        <w:t>Schedule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582"/>
      </w:tblGrid>
      <w:tr w:rsidR="001155B6" w14:paraId="42D8864D" w14:textId="77777777" w:rsidTr="00B60D6A">
        <w:tc>
          <w:tcPr>
            <w:tcW w:w="9242" w:type="dxa"/>
            <w:gridSpan w:val="2"/>
            <w:shd w:val="clear" w:color="auto" w:fill="D9D9D9"/>
          </w:tcPr>
          <w:p w14:paraId="3DFA3538" w14:textId="77777777" w:rsidR="001155B6" w:rsidRPr="001155B6" w:rsidRDefault="001155B6" w:rsidP="00B60D6A">
            <w:pPr>
              <w:pStyle w:val="ListParagraph"/>
              <w:spacing w:before="120" w:after="120" w:line="240" w:lineRule="auto"/>
              <w:ind w:left="0"/>
              <w:rPr>
                <w:b/>
              </w:rPr>
            </w:pPr>
            <w:r w:rsidRPr="001155B6">
              <w:rPr>
                <w:b/>
              </w:rPr>
              <w:t xml:space="preserve">Item 1 </w:t>
            </w:r>
            <w:r w:rsidRPr="001155B6">
              <w:rPr>
                <w:b/>
              </w:rPr>
              <w:tab/>
              <w:t>- Participant</w:t>
            </w:r>
          </w:p>
        </w:tc>
      </w:tr>
      <w:tr w:rsidR="001155B6" w14:paraId="08D332C9" w14:textId="77777777" w:rsidTr="00B60D6A">
        <w:tc>
          <w:tcPr>
            <w:tcW w:w="2660" w:type="dxa"/>
          </w:tcPr>
          <w:p w14:paraId="07A51377" w14:textId="77777777" w:rsidR="001155B6" w:rsidRPr="00B60D6A" w:rsidRDefault="001155B6" w:rsidP="00B60D6A">
            <w:pPr>
              <w:pStyle w:val="ListParagraph"/>
              <w:spacing w:before="120" w:after="120" w:line="240" w:lineRule="auto"/>
              <w:ind w:left="0"/>
              <w:rPr>
                <w:b/>
              </w:rPr>
            </w:pPr>
            <w:r w:rsidRPr="00B60D6A">
              <w:rPr>
                <w:b/>
              </w:rPr>
              <w:t>Name</w:t>
            </w:r>
            <w:r w:rsidR="00DD64C0" w:rsidRPr="00B60D6A">
              <w:rPr>
                <w:b/>
              </w:rPr>
              <w:t xml:space="preserve"> of Participant</w:t>
            </w:r>
          </w:p>
        </w:tc>
        <w:tc>
          <w:tcPr>
            <w:tcW w:w="6582" w:type="dxa"/>
          </w:tcPr>
          <w:p w14:paraId="62E86763" w14:textId="77777777" w:rsidR="001155B6" w:rsidRDefault="001155B6" w:rsidP="00B60D6A">
            <w:pPr>
              <w:pStyle w:val="ListParagraph"/>
              <w:spacing w:before="120" w:after="120" w:line="240" w:lineRule="auto"/>
              <w:ind w:left="0"/>
            </w:pPr>
          </w:p>
        </w:tc>
      </w:tr>
      <w:tr w:rsidR="00DD64C0" w14:paraId="4E6BF282" w14:textId="77777777" w:rsidTr="00B60D6A">
        <w:tc>
          <w:tcPr>
            <w:tcW w:w="2660" w:type="dxa"/>
          </w:tcPr>
          <w:p w14:paraId="294FF920" w14:textId="77777777" w:rsidR="00DD64C0" w:rsidRPr="00B60D6A" w:rsidRDefault="00DD64C0" w:rsidP="00B60D6A">
            <w:pPr>
              <w:pStyle w:val="ListParagraph"/>
              <w:spacing w:before="120" w:after="120" w:line="240" w:lineRule="auto"/>
              <w:ind w:left="0"/>
              <w:rPr>
                <w:b/>
              </w:rPr>
            </w:pPr>
            <w:r w:rsidRPr="00B60D6A">
              <w:rPr>
                <w:b/>
              </w:rPr>
              <w:t>ABN</w:t>
            </w:r>
          </w:p>
        </w:tc>
        <w:tc>
          <w:tcPr>
            <w:tcW w:w="6582" w:type="dxa"/>
          </w:tcPr>
          <w:p w14:paraId="7C150BA0" w14:textId="77777777" w:rsidR="00DD64C0" w:rsidRDefault="00DD64C0" w:rsidP="00B60D6A">
            <w:pPr>
              <w:pStyle w:val="ListParagraph"/>
              <w:spacing w:before="120" w:after="120" w:line="240" w:lineRule="auto"/>
              <w:ind w:left="0"/>
            </w:pPr>
          </w:p>
        </w:tc>
      </w:tr>
      <w:tr w:rsidR="00DD64C0" w14:paraId="7D2E37C9" w14:textId="77777777" w:rsidTr="00B60D6A">
        <w:tc>
          <w:tcPr>
            <w:tcW w:w="2660" w:type="dxa"/>
          </w:tcPr>
          <w:p w14:paraId="1E4348F5" w14:textId="77777777" w:rsidR="00DD64C0" w:rsidRPr="00B60D6A" w:rsidRDefault="00DD64C0" w:rsidP="00B60D6A">
            <w:pPr>
              <w:pStyle w:val="ListParagraph"/>
              <w:spacing w:before="120" w:after="120" w:line="240" w:lineRule="auto"/>
              <w:ind w:left="0"/>
              <w:rPr>
                <w:b/>
              </w:rPr>
            </w:pPr>
            <w:r w:rsidRPr="00B60D6A">
              <w:rPr>
                <w:b/>
              </w:rPr>
              <w:t>Name of contact person</w:t>
            </w:r>
          </w:p>
        </w:tc>
        <w:tc>
          <w:tcPr>
            <w:tcW w:w="6582" w:type="dxa"/>
          </w:tcPr>
          <w:p w14:paraId="1652AFC8" w14:textId="77777777" w:rsidR="00DD64C0" w:rsidRDefault="00DD64C0" w:rsidP="00B60D6A">
            <w:pPr>
              <w:pStyle w:val="ListParagraph"/>
              <w:spacing w:before="120" w:after="120" w:line="240" w:lineRule="auto"/>
              <w:ind w:left="0"/>
            </w:pPr>
          </w:p>
        </w:tc>
      </w:tr>
      <w:tr w:rsidR="00DD64C0" w14:paraId="47365378" w14:textId="77777777" w:rsidTr="00B60D6A">
        <w:tc>
          <w:tcPr>
            <w:tcW w:w="2660" w:type="dxa"/>
          </w:tcPr>
          <w:p w14:paraId="711F19B2" w14:textId="77777777" w:rsidR="00DD64C0" w:rsidRPr="00B60D6A" w:rsidRDefault="00DD64C0" w:rsidP="00B60D6A">
            <w:pPr>
              <w:pStyle w:val="ListParagraph"/>
              <w:spacing w:before="120" w:after="120" w:line="240" w:lineRule="auto"/>
              <w:ind w:left="0"/>
              <w:rPr>
                <w:b/>
              </w:rPr>
            </w:pPr>
            <w:r w:rsidRPr="00B60D6A">
              <w:rPr>
                <w:b/>
              </w:rPr>
              <w:t>Address</w:t>
            </w:r>
          </w:p>
        </w:tc>
        <w:tc>
          <w:tcPr>
            <w:tcW w:w="6582" w:type="dxa"/>
          </w:tcPr>
          <w:p w14:paraId="5129AF49" w14:textId="77777777" w:rsidR="00DD64C0" w:rsidRDefault="00DD64C0" w:rsidP="00B60D6A">
            <w:pPr>
              <w:pStyle w:val="ListParagraph"/>
              <w:spacing w:before="120" w:after="120" w:line="240" w:lineRule="auto"/>
              <w:ind w:left="0"/>
            </w:pPr>
          </w:p>
        </w:tc>
      </w:tr>
      <w:tr w:rsidR="00DD64C0" w14:paraId="42A793A2" w14:textId="77777777" w:rsidTr="00B60D6A">
        <w:tc>
          <w:tcPr>
            <w:tcW w:w="2660" w:type="dxa"/>
          </w:tcPr>
          <w:p w14:paraId="0A2CF52B" w14:textId="77777777" w:rsidR="00DD64C0" w:rsidRPr="00B60D6A" w:rsidRDefault="00DD64C0" w:rsidP="00B60D6A">
            <w:pPr>
              <w:pStyle w:val="ListParagraph"/>
              <w:spacing w:before="120" w:after="120" w:line="240" w:lineRule="auto"/>
              <w:ind w:left="0"/>
              <w:rPr>
                <w:b/>
              </w:rPr>
            </w:pPr>
            <w:r w:rsidRPr="00B60D6A">
              <w:rPr>
                <w:b/>
              </w:rPr>
              <w:t>Phone</w:t>
            </w:r>
          </w:p>
        </w:tc>
        <w:tc>
          <w:tcPr>
            <w:tcW w:w="6582" w:type="dxa"/>
          </w:tcPr>
          <w:p w14:paraId="79C62C8A" w14:textId="77777777" w:rsidR="00DD64C0" w:rsidRDefault="00DD64C0" w:rsidP="00B60D6A">
            <w:pPr>
              <w:pStyle w:val="ListParagraph"/>
              <w:spacing w:before="120" w:after="120" w:line="240" w:lineRule="auto"/>
              <w:ind w:left="0"/>
            </w:pPr>
          </w:p>
        </w:tc>
      </w:tr>
      <w:tr w:rsidR="00DD64C0" w14:paraId="2615D1D8" w14:textId="77777777" w:rsidTr="00B60D6A">
        <w:tc>
          <w:tcPr>
            <w:tcW w:w="2660" w:type="dxa"/>
          </w:tcPr>
          <w:p w14:paraId="31D77E1A" w14:textId="77777777" w:rsidR="00DD64C0" w:rsidRPr="00B60D6A" w:rsidRDefault="00DD64C0" w:rsidP="00B60D6A">
            <w:pPr>
              <w:pStyle w:val="ListParagraph"/>
              <w:spacing w:before="120" w:after="120" w:line="240" w:lineRule="auto"/>
              <w:ind w:left="0"/>
              <w:rPr>
                <w:b/>
              </w:rPr>
            </w:pPr>
            <w:r w:rsidRPr="00B60D6A">
              <w:rPr>
                <w:b/>
              </w:rPr>
              <w:t>Fax</w:t>
            </w:r>
          </w:p>
        </w:tc>
        <w:tc>
          <w:tcPr>
            <w:tcW w:w="6582" w:type="dxa"/>
          </w:tcPr>
          <w:p w14:paraId="330D7387" w14:textId="77777777" w:rsidR="00DD64C0" w:rsidRDefault="00DD64C0" w:rsidP="00B60D6A">
            <w:pPr>
              <w:pStyle w:val="ListParagraph"/>
              <w:spacing w:before="120" w:after="120" w:line="240" w:lineRule="auto"/>
              <w:ind w:left="0"/>
            </w:pPr>
          </w:p>
        </w:tc>
      </w:tr>
      <w:tr w:rsidR="00DD64C0" w14:paraId="41B71BD8" w14:textId="77777777" w:rsidTr="00B60D6A">
        <w:tc>
          <w:tcPr>
            <w:tcW w:w="2660" w:type="dxa"/>
          </w:tcPr>
          <w:p w14:paraId="2E20101B" w14:textId="77777777" w:rsidR="00DD64C0" w:rsidRPr="00B60D6A" w:rsidRDefault="00DD64C0" w:rsidP="00B60D6A">
            <w:pPr>
              <w:pStyle w:val="ListParagraph"/>
              <w:spacing w:before="120" w:after="120" w:line="240" w:lineRule="auto"/>
              <w:ind w:left="0"/>
              <w:rPr>
                <w:b/>
              </w:rPr>
            </w:pPr>
            <w:r w:rsidRPr="00B60D6A">
              <w:rPr>
                <w:b/>
              </w:rPr>
              <w:t>Email</w:t>
            </w:r>
          </w:p>
        </w:tc>
        <w:tc>
          <w:tcPr>
            <w:tcW w:w="6582" w:type="dxa"/>
          </w:tcPr>
          <w:p w14:paraId="1F169DF9" w14:textId="77777777" w:rsidR="00DD64C0" w:rsidRDefault="00DD64C0" w:rsidP="00B60D6A">
            <w:pPr>
              <w:pStyle w:val="ListParagraph"/>
              <w:spacing w:before="120" w:after="120" w:line="240" w:lineRule="auto"/>
              <w:ind w:left="0"/>
            </w:pPr>
          </w:p>
        </w:tc>
      </w:tr>
    </w:tbl>
    <w:p w14:paraId="28B404C3" w14:textId="77777777" w:rsidR="004C4B04" w:rsidRDefault="004C4B04" w:rsidP="001155B6">
      <w:pPr>
        <w:pStyle w:val="ListParagraph"/>
        <w:spacing w:line="360" w:lineRule="auto"/>
        <w:ind w:left="0"/>
      </w:pPr>
    </w:p>
    <w:p w14:paraId="1D2777C5" w14:textId="77777777" w:rsidR="004C4B04" w:rsidRDefault="004C4B04" w:rsidP="004E2D90">
      <w:pPr>
        <w:pStyle w:val="ListParagraph"/>
        <w:spacing w:line="360" w:lineRule="auto"/>
        <w:ind w:left="0"/>
      </w:pPr>
    </w:p>
    <w:p w14:paraId="0E2A8C9F" w14:textId="77777777" w:rsidR="004C4B04" w:rsidRDefault="004C4B04" w:rsidP="004E2D90">
      <w:pPr>
        <w:pStyle w:val="ListParagraph"/>
        <w:spacing w:line="360" w:lineRule="auto"/>
        <w:ind w:left="0"/>
      </w:pPr>
    </w:p>
    <w:sectPr w:rsidR="004C4B04" w:rsidSect="007635AD">
      <w:type w:val="continuous"/>
      <w:pgSz w:w="11906" w:h="16838"/>
      <w:pgMar w:top="1440" w:right="1440" w:bottom="1134" w:left="1440" w:header="708" w:footer="42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0A617" w14:textId="77777777" w:rsidR="008E3CB7" w:rsidRDefault="008E3CB7" w:rsidP="002F441A">
      <w:pPr>
        <w:spacing w:after="0" w:line="240" w:lineRule="auto"/>
      </w:pPr>
      <w:r>
        <w:separator/>
      </w:r>
    </w:p>
  </w:endnote>
  <w:endnote w:type="continuationSeparator" w:id="0">
    <w:p w14:paraId="371681FB" w14:textId="77777777" w:rsidR="008E3CB7" w:rsidRDefault="008E3CB7" w:rsidP="002F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DC464" w14:textId="77777777" w:rsidR="005C672A" w:rsidRDefault="005C67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43541"/>
      <w:docPartObj>
        <w:docPartGallery w:val="Page Numbers (Bottom of Page)"/>
        <w:docPartUnique/>
      </w:docPartObj>
    </w:sdtPr>
    <w:sdtEndPr/>
    <w:sdtContent>
      <w:sdt>
        <w:sdtPr>
          <w:id w:val="860082579"/>
          <w:docPartObj>
            <w:docPartGallery w:val="Page Numbers (Top of Page)"/>
            <w:docPartUnique/>
          </w:docPartObj>
        </w:sdtPr>
        <w:sdtEndPr/>
        <w:sdtContent>
          <w:p w14:paraId="1881EA02" w14:textId="77777777" w:rsidR="00064D04" w:rsidRPr="00C72B91" w:rsidRDefault="00064D04" w:rsidP="00C72B91">
            <w:pPr>
              <w:pStyle w:val="Footer"/>
              <w:jc w:val="right"/>
            </w:pPr>
            <w:r>
              <w:t xml:space="preserve">Page </w:t>
            </w:r>
            <w:r w:rsidR="00D73F75">
              <w:rPr>
                <w:b/>
                <w:bCs/>
                <w:sz w:val="24"/>
                <w:szCs w:val="24"/>
              </w:rPr>
              <w:fldChar w:fldCharType="begin"/>
            </w:r>
            <w:r>
              <w:rPr>
                <w:b/>
                <w:bCs/>
              </w:rPr>
              <w:instrText xml:space="preserve"> PAGE </w:instrText>
            </w:r>
            <w:r w:rsidR="00D73F75">
              <w:rPr>
                <w:b/>
                <w:bCs/>
                <w:sz w:val="24"/>
                <w:szCs w:val="24"/>
              </w:rPr>
              <w:fldChar w:fldCharType="separate"/>
            </w:r>
            <w:r w:rsidR="009F4B14">
              <w:rPr>
                <w:b/>
                <w:bCs/>
                <w:noProof/>
              </w:rPr>
              <w:t>7</w:t>
            </w:r>
            <w:r w:rsidR="00D73F75">
              <w:rPr>
                <w:b/>
                <w:bCs/>
                <w:sz w:val="24"/>
                <w:szCs w:val="24"/>
              </w:rPr>
              <w:fldChar w:fldCharType="end"/>
            </w:r>
            <w:r>
              <w:t xml:space="preserve"> of </w:t>
            </w:r>
            <w:r w:rsidR="00D73F75">
              <w:rPr>
                <w:b/>
                <w:bCs/>
                <w:sz w:val="24"/>
                <w:szCs w:val="24"/>
              </w:rPr>
              <w:fldChar w:fldCharType="begin"/>
            </w:r>
            <w:r>
              <w:rPr>
                <w:b/>
                <w:bCs/>
              </w:rPr>
              <w:instrText xml:space="preserve"> NUMPAGES  </w:instrText>
            </w:r>
            <w:r w:rsidR="00D73F75">
              <w:rPr>
                <w:b/>
                <w:bCs/>
                <w:sz w:val="24"/>
                <w:szCs w:val="24"/>
              </w:rPr>
              <w:fldChar w:fldCharType="separate"/>
            </w:r>
            <w:r w:rsidR="009F4B14">
              <w:rPr>
                <w:b/>
                <w:bCs/>
                <w:noProof/>
              </w:rPr>
              <w:t>7</w:t>
            </w:r>
            <w:r w:rsidR="00D73F75">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16908"/>
      <w:docPartObj>
        <w:docPartGallery w:val="Page Numbers (Bottom of Page)"/>
        <w:docPartUnique/>
      </w:docPartObj>
    </w:sdtPr>
    <w:sdtEndPr/>
    <w:sdtContent>
      <w:sdt>
        <w:sdtPr>
          <w:id w:val="1782905629"/>
          <w:docPartObj>
            <w:docPartGallery w:val="Page Numbers (Top of Page)"/>
            <w:docPartUnique/>
          </w:docPartObj>
        </w:sdtPr>
        <w:sdtEndPr/>
        <w:sdtContent>
          <w:p w14:paraId="1B81CBB4" w14:textId="77777777" w:rsidR="00064D04" w:rsidRDefault="00064D04">
            <w:pPr>
              <w:pStyle w:val="Footer"/>
              <w:jc w:val="right"/>
            </w:pPr>
            <w:r>
              <w:t xml:space="preserve">Page </w:t>
            </w:r>
            <w:r w:rsidR="00D73F75">
              <w:rPr>
                <w:b/>
                <w:bCs/>
                <w:sz w:val="24"/>
                <w:szCs w:val="24"/>
              </w:rPr>
              <w:fldChar w:fldCharType="begin"/>
            </w:r>
            <w:r>
              <w:rPr>
                <w:b/>
                <w:bCs/>
              </w:rPr>
              <w:instrText xml:space="preserve"> PAGE </w:instrText>
            </w:r>
            <w:r w:rsidR="00D73F75">
              <w:rPr>
                <w:b/>
                <w:bCs/>
                <w:sz w:val="24"/>
                <w:szCs w:val="24"/>
              </w:rPr>
              <w:fldChar w:fldCharType="separate"/>
            </w:r>
            <w:r w:rsidR="009F4B14">
              <w:rPr>
                <w:b/>
                <w:bCs/>
                <w:noProof/>
              </w:rPr>
              <w:t>2</w:t>
            </w:r>
            <w:r w:rsidR="00D73F75">
              <w:rPr>
                <w:b/>
                <w:bCs/>
                <w:sz w:val="24"/>
                <w:szCs w:val="24"/>
              </w:rPr>
              <w:fldChar w:fldCharType="end"/>
            </w:r>
            <w:r>
              <w:t xml:space="preserve"> of </w:t>
            </w:r>
            <w:r w:rsidR="00D73F75">
              <w:rPr>
                <w:b/>
                <w:bCs/>
                <w:sz w:val="24"/>
                <w:szCs w:val="24"/>
              </w:rPr>
              <w:fldChar w:fldCharType="begin"/>
            </w:r>
            <w:r>
              <w:rPr>
                <w:b/>
                <w:bCs/>
              </w:rPr>
              <w:instrText xml:space="preserve"> NUMPAGES  </w:instrText>
            </w:r>
            <w:r w:rsidR="00D73F75">
              <w:rPr>
                <w:b/>
                <w:bCs/>
                <w:sz w:val="24"/>
                <w:szCs w:val="24"/>
              </w:rPr>
              <w:fldChar w:fldCharType="separate"/>
            </w:r>
            <w:r w:rsidR="009F4B14">
              <w:rPr>
                <w:b/>
                <w:bCs/>
                <w:noProof/>
              </w:rPr>
              <w:t>7</w:t>
            </w:r>
            <w:r w:rsidR="00D73F75">
              <w:rPr>
                <w:b/>
                <w:bCs/>
                <w:sz w:val="24"/>
                <w:szCs w:val="24"/>
              </w:rPr>
              <w:fldChar w:fldCharType="end"/>
            </w:r>
          </w:p>
        </w:sdtContent>
      </w:sdt>
    </w:sdtContent>
  </w:sdt>
  <w:p w14:paraId="5D706A84" w14:textId="77777777" w:rsidR="00064D04" w:rsidRPr="00C72B91" w:rsidRDefault="00064D04" w:rsidP="00C72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1DA53" w14:textId="77777777" w:rsidR="008E3CB7" w:rsidRDefault="008E3CB7" w:rsidP="002F441A">
      <w:pPr>
        <w:spacing w:after="0" w:line="240" w:lineRule="auto"/>
      </w:pPr>
      <w:r>
        <w:separator/>
      </w:r>
    </w:p>
  </w:footnote>
  <w:footnote w:type="continuationSeparator" w:id="0">
    <w:p w14:paraId="15613081" w14:textId="77777777" w:rsidR="008E3CB7" w:rsidRDefault="008E3CB7" w:rsidP="002F441A">
      <w:pPr>
        <w:spacing w:after="0" w:line="240" w:lineRule="auto"/>
      </w:pPr>
      <w:r>
        <w:continuationSeparator/>
      </w:r>
    </w:p>
  </w:footnote>
  <w:footnote w:id="1">
    <w:p w14:paraId="1241234A" w14:textId="77777777" w:rsidR="00064D04" w:rsidRPr="00CC2B6E" w:rsidRDefault="00064D04">
      <w:pPr>
        <w:pStyle w:val="FootnoteText"/>
        <w:rPr>
          <w:sz w:val="18"/>
          <w:szCs w:val="18"/>
        </w:rPr>
      </w:pPr>
      <w:r w:rsidRPr="00CC2B6E">
        <w:rPr>
          <w:rStyle w:val="FootnoteReference"/>
          <w:sz w:val="18"/>
          <w:szCs w:val="18"/>
        </w:rPr>
        <w:footnoteRef/>
      </w:r>
      <w:r w:rsidRPr="00CC2B6E">
        <w:rPr>
          <w:sz w:val="18"/>
          <w:szCs w:val="18"/>
        </w:rPr>
        <w:t xml:space="preserve"> Example of open access: </w:t>
      </w:r>
      <w:hyperlink r:id="rId1" w:history="1">
        <w:r>
          <w:rPr>
            <w:rStyle w:val="Hyperlink"/>
            <w:sz w:val="18"/>
            <w:szCs w:val="18"/>
          </w:rPr>
          <w:t>http://researchdata.ands.org.au/edgar-climate-change-bird-species/10978</w:t>
        </w:r>
      </w:hyperlink>
    </w:p>
  </w:footnote>
  <w:footnote w:id="2">
    <w:p w14:paraId="67F38C4C" w14:textId="77777777" w:rsidR="00064D04" w:rsidRPr="00191085" w:rsidRDefault="00064D04">
      <w:pPr>
        <w:pStyle w:val="FootnoteText"/>
        <w:rPr>
          <w:color w:val="0000FF"/>
          <w:sz w:val="18"/>
          <w:szCs w:val="18"/>
          <w:u w:val="single"/>
        </w:rPr>
      </w:pPr>
      <w:r w:rsidRPr="00CC2B6E">
        <w:rPr>
          <w:rStyle w:val="FootnoteReference"/>
          <w:sz w:val="18"/>
          <w:szCs w:val="18"/>
        </w:rPr>
        <w:footnoteRef/>
      </w:r>
      <w:r w:rsidRPr="00CC2B6E">
        <w:rPr>
          <w:sz w:val="18"/>
          <w:szCs w:val="18"/>
        </w:rPr>
        <w:t xml:space="preserve"> Example of mediated access: </w:t>
      </w:r>
      <w:hyperlink r:id="rId2" w:history="1">
        <w:r>
          <w:rPr>
            <w:rStyle w:val="Hyperlink"/>
            <w:sz w:val="18"/>
            <w:szCs w:val="18"/>
          </w:rPr>
          <w:t>http://researchdata.ands.org.au/obtained-health-pregnancy-birth-study/445853</w:t>
        </w:r>
      </w:hyperlink>
    </w:p>
  </w:footnote>
  <w:footnote w:id="3">
    <w:p w14:paraId="055A2537" w14:textId="77777777" w:rsidR="00064D04" w:rsidRPr="00CC2B6E" w:rsidRDefault="00064D04" w:rsidP="002D1B4D">
      <w:pPr>
        <w:pStyle w:val="FootnoteText"/>
        <w:rPr>
          <w:sz w:val="18"/>
          <w:szCs w:val="18"/>
        </w:rPr>
      </w:pPr>
      <w:r w:rsidRPr="00CC2B6E">
        <w:rPr>
          <w:rStyle w:val="FootnoteReference"/>
          <w:sz w:val="18"/>
          <w:szCs w:val="18"/>
        </w:rPr>
        <w:footnoteRef/>
      </w:r>
      <w:r w:rsidRPr="00CC2B6E">
        <w:rPr>
          <w:sz w:val="18"/>
          <w:szCs w:val="18"/>
        </w:rPr>
        <w:t xml:space="preserve"> The latest version of the </w:t>
      </w:r>
      <w:proofErr w:type="spellStart"/>
      <w:r w:rsidRPr="00CC2B6E">
        <w:rPr>
          <w:sz w:val="18"/>
          <w:szCs w:val="18"/>
        </w:rPr>
        <w:t>DataCite</w:t>
      </w:r>
      <w:proofErr w:type="spellEnd"/>
      <w:r w:rsidRPr="00CC2B6E">
        <w:rPr>
          <w:sz w:val="18"/>
          <w:szCs w:val="18"/>
        </w:rPr>
        <w:t xml:space="preserve"> metadat</w:t>
      </w:r>
      <w:r>
        <w:rPr>
          <w:sz w:val="18"/>
          <w:szCs w:val="18"/>
        </w:rPr>
        <w:t xml:space="preserve">a kernel </w:t>
      </w:r>
      <w:r w:rsidRPr="00CC2B6E">
        <w:rPr>
          <w:sz w:val="18"/>
          <w:szCs w:val="18"/>
        </w:rPr>
        <w:t xml:space="preserve">is available at </w:t>
      </w:r>
      <w:hyperlink r:id="rId3" w:history="1">
        <w:r w:rsidRPr="00CC2B6E">
          <w:rPr>
            <w:rStyle w:val="Hyperlink"/>
            <w:sz w:val="18"/>
            <w:szCs w:val="18"/>
          </w:rPr>
          <w:t>http://schema.datacite.org/</w:t>
        </w:r>
      </w:hyperlink>
      <w:r w:rsidRPr="00CC2B6E">
        <w:rPr>
          <w:sz w:val="18"/>
          <w:szCs w:val="18"/>
        </w:rPr>
        <w:t>.  Mandatory items are set out in ‘</w:t>
      </w:r>
      <w:proofErr w:type="spellStart"/>
      <w:r w:rsidRPr="00CC2B6E">
        <w:rPr>
          <w:sz w:val="18"/>
          <w:szCs w:val="18"/>
        </w:rPr>
        <w:t>DataCite</w:t>
      </w:r>
      <w:proofErr w:type="spellEnd"/>
      <w:r w:rsidRPr="00CC2B6E">
        <w:rPr>
          <w:sz w:val="18"/>
          <w:szCs w:val="18"/>
        </w:rPr>
        <w:t xml:space="preserve"> Mandatory Properties’ section of the schema documentation.</w:t>
      </w:r>
    </w:p>
  </w:footnote>
  <w:footnote w:id="4">
    <w:p w14:paraId="6E526E24" w14:textId="77777777" w:rsidR="00064D04" w:rsidRPr="00CC2B6E" w:rsidRDefault="00064D04" w:rsidP="009F230C">
      <w:pPr>
        <w:pStyle w:val="ListParagraph"/>
        <w:spacing w:line="240" w:lineRule="auto"/>
        <w:ind w:left="0"/>
        <w:rPr>
          <w:sz w:val="18"/>
          <w:szCs w:val="18"/>
        </w:rPr>
      </w:pPr>
      <w:r w:rsidRPr="00CC2B6E">
        <w:rPr>
          <w:rStyle w:val="FootnoteReference"/>
          <w:sz w:val="18"/>
          <w:szCs w:val="18"/>
        </w:rPr>
        <w:footnoteRef/>
      </w:r>
      <w:r w:rsidRPr="00CC2B6E">
        <w:rPr>
          <w:sz w:val="18"/>
          <w:szCs w:val="18"/>
        </w:rPr>
        <w:t xml:space="preserve"> More information on </w:t>
      </w:r>
      <w:proofErr w:type="spellStart"/>
      <w:r w:rsidRPr="00CC2B6E">
        <w:rPr>
          <w:sz w:val="18"/>
          <w:szCs w:val="18"/>
        </w:rPr>
        <w:t>DataCite</w:t>
      </w:r>
      <w:proofErr w:type="spellEnd"/>
      <w:r w:rsidRPr="00CC2B6E">
        <w:rPr>
          <w:sz w:val="18"/>
          <w:szCs w:val="18"/>
        </w:rPr>
        <w:t xml:space="preserve"> is available from </w:t>
      </w:r>
      <w:hyperlink r:id="rId4" w:history="1">
        <w:r w:rsidRPr="00CC2B6E">
          <w:rPr>
            <w:rStyle w:val="Hyperlink"/>
            <w:sz w:val="18"/>
            <w:szCs w:val="18"/>
          </w:rPr>
          <w:t>http://datacite.org/</w:t>
        </w:r>
      </w:hyperlink>
      <w:r w:rsidRPr="00CC2B6E">
        <w:rPr>
          <w:sz w:val="18"/>
          <w:szCs w:val="18"/>
        </w:rPr>
        <w:t xml:space="preserve"> </w:t>
      </w:r>
    </w:p>
  </w:footnote>
  <w:footnote w:id="5">
    <w:p w14:paraId="6B586000" w14:textId="77777777" w:rsidR="00064D04" w:rsidRPr="00CC2B6E" w:rsidRDefault="00064D04" w:rsidP="009F230C">
      <w:pPr>
        <w:pStyle w:val="ListParagraph"/>
        <w:spacing w:line="240" w:lineRule="auto"/>
        <w:ind w:left="0"/>
        <w:rPr>
          <w:sz w:val="18"/>
          <w:szCs w:val="18"/>
        </w:rPr>
      </w:pPr>
      <w:r w:rsidRPr="00CC2B6E">
        <w:rPr>
          <w:rStyle w:val="FootnoteReference"/>
          <w:sz w:val="18"/>
          <w:szCs w:val="18"/>
        </w:rPr>
        <w:footnoteRef/>
      </w:r>
      <w:r w:rsidRPr="00CC2B6E">
        <w:rPr>
          <w:sz w:val="18"/>
          <w:szCs w:val="18"/>
        </w:rPr>
        <w:t xml:space="preserve"> More information on the DOI Foundation is available from </w:t>
      </w:r>
      <w:hyperlink r:id="rId5" w:history="1">
        <w:r w:rsidRPr="00CC2B6E">
          <w:rPr>
            <w:rStyle w:val="Hyperlink"/>
            <w:sz w:val="18"/>
            <w:szCs w:val="18"/>
          </w:rPr>
          <w:t>http://www.doi.org/</w:t>
        </w:r>
      </w:hyperlink>
      <w:r w:rsidRPr="00CC2B6E">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0974E" w14:textId="69332E42" w:rsidR="005C672A" w:rsidRDefault="005C67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01267" w14:textId="6B827BFB" w:rsidR="005C672A" w:rsidRDefault="005C67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53418" w14:textId="365154E9" w:rsidR="005C672A" w:rsidRDefault="005C67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2E6ED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F60898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28C9A9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08695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65C5A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66BB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7F844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A440A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6B2126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7B6E248"/>
    <w:lvl w:ilvl="0">
      <w:start w:val="1"/>
      <w:numFmt w:val="bullet"/>
      <w:lvlText w:val=""/>
      <w:lvlJc w:val="left"/>
      <w:pPr>
        <w:tabs>
          <w:tab w:val="num" w:pos="360"/>
        </w:tabs>
        <w:ind w:left="360" w:hanging="360"/>
      </w:pPr>
      <w:rPr>
        <w:rFonts w:ascii="Symbol" w:hAnsi="Symbol" w:hint="default"/>
      </w:rPr>
    </w:lvl>
  </w:abstractNum>
  <w:abstractNum w:abstractNumId="10">
    <w:nsid w:val="0CE2742F"/>
    <w:multiLevelType w:val="hybridMultilevel"/>
    <w:tmpl w:val="0D6AEAF4"/>
    <w:lvl w:ilvl="0" w:tplc="6616CA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5E3A52"/>
    <w:multiLevelType w:val="hybridMultilevel"/>
    <w:tmpl w:val="BD446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CE91E8A"/>
    <w:multiLevelType w:val="hybridMultilevel"/>
    <w:tmpl w:val="8C6C7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E11558B"/>
    <w:multiLevelType w:val="hybridMultilevel"/>
    <w:tmpl w:val="A9FC93B4"/>
    <w:lvl w:ilvl="0" w:tplc="D0061624">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E1221DA"/>
    <w:multiLevelType w:val="hybridMultilevel"/>
    <w:tmpl w:val="C9BA90C2"/>
    <w:lvl w:ilvl="0" w:tplc="0C09000F">
      <w:start w:val="1"/>
      <w:numFmt w:val="decimal"/>
      <w:lvlText w:val="%1."/>
      <w:lvlJc w:val="left"/>
      <w:pPr>
        <w:ind w:left="360" w:hanging="360"/>
      </w:p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5">
    <w:nsid w:val="7D7379F8"/>
    <w:multiLevelType w:val="hybridMultilevel"/>
    <w:tmpl w:val="F56E2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614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41A"/>
    <w:rsid w:val="00016333"/>
    <w:rsid w:val="00017F79"/>
    <w:rsid w:val="000265BB"/>
    <w:rsid w:val="00041E33"/>
    <w:rsid w:val="00046F14"/>
    <w:rsid w:val="000569C4"/>
    <w:rsid w:val="00056FE4"/>
    <w:rsid w:val="00062144"/>
    <w:rsid w:val="00064D04"/>
    <w:rsid w:val="00067156"/>
    <w:rsid w:val="00075CCC"/>
    <w:rsid w:val="00094342"/>
    <w:rsid w:val="000A1B6C"/>
    <w:rsid w:val="000A1E04"/>
    <w:rsid w:val="000A330B"/>
    <w:rsid w:val="000A471B"/>
    <w:rsid w:val="000B372D"/>
    <w:rsid w:val="000C1AE0"/>
    <w:rsid w:val="000C65C2"/>
    <w:rsid w:val="000C6A7A"/>
    <w:rsid w:val="000D69FD"/>
    <w:rsid w:val="000E6968"/>
    <w:rsid w:val="000E748F"/>
    <w:rsid w:val="0010073F"/>
    <w:rsid w:val="00102B4B"/>
    <w:rsid w:val="001155B6"/>
    <w:rsid w:val="00116616"/>
    <w:rsid w:val="00124E2C"/>
    <w:rsid w:val="0012640D"/>
    <w:rsid w:val="00130B23"/>
    <w:rsid w:val="00134531"/>
    <w:rsid w:val="00136CB8"/>
    <w:rsid w:val="00151319"/>
    <w:rsid w:val="00152E62"/>
    <w:rsid w:val="00172F7F"/>
    <w:rsid w:val="0017403F"/>
    <w:rsid w:val="00175BB6"/>
    <w:rsid w:val="00176C2B"/>
    <w:rsid w:val="00180F31"/>
    <w:rsid w:val="00183E3D"/>
    <w:rsid w:val="00191085"/>
    <w:rsid w:val="00193881"/>
    <w:rsid w:val="00197321"/>
    <w:rsid w:val="001B003E"/>
    <w:rsid w:val="001C03F7"/>
    <w:rsid w:val="001D41C1"/>
    <w:rsid w:val="001E22B5"/>
    <w:rsid w:val="001F1DF3"/>
    <w:rsid w:val="002104ED"/>
    <w:rsid w:val="00221450"/>
    <w:rsid w:val="002242BE"/>
    <w:rsid w:val="00231142"/>
    <w:rsid w:val="00234B26"/>
    <w:rsid w:val="00234BEF"/>
    <w:rsid w:val="00234C3B"/>
    <w:rsid w:val="002354D2"/>
    <w:rsid w:val="0023627D"/>
    <w:rsid w:val="00262D4E"/>
    <w:rsid w:val="00266E6C"/>
    <w:rsid w:val="00295977"/>
    <w:rsid w:val="002A418F"/>
    <w:rsid w:val="002A779C"/>
    <w:rsid w:val="002B2C7C"/>
    <w:rsid w:val="002D1B4D"/>
    <w:rsid w:val="002D51E6"/>
    <w:rsid w:val="002F441A"/>
    <w:rsid w:val="002F6E1A"/>
    <w:rsid w:val="002F7323"/>
    <w:rsid w:val="002F73D7"/>
    <w:rsid w:val="002F7D47"/>
    <w:rsid w:val="00326777"/>
    <w:rsid w:val="00365072"/>
    <w:rsid w:val="003803B0"/>
    <w:rsid w:val="0039101B"/>
    <w:rsid w:val="003B1CED"/>
    <w:rsid w:val="003B43B7"/>
    <w:rsid w:val="00406AD3"/>
    <w:rsid w:val="004102D6"/>
    <w:rsid w:val="00424286"/>
    <w:rsid w:val="00434B0A"/>
    <w:rsid w:val="00434BF5"/>
    <w:rsid w:val="004426DB"/>
    <w:rsid w:val="00447B65"/>
    <w:rsid w:val="00451D5D"/>
    <w:rsid w:val="00452F3C"/>
    <w:rsid w:val="004837FA"/>
    <w:rsid w:val="0049355B"/>
    <w:rsid w:val="0049529B"/>
    <w:rsid w:val="004A74E4"/>
    <w:rsid w:val="004C0755"/>
    <w:rsid w:val="004C4B04"/>
    <w:rsid w:val="004D2B12"/>
    <w:rsid w:val="004D5911"/>
    <w:rsid w:val="004D6B51"/>
    <w:rsid w:val="004E2D90"/>
    <w:rsid w:val="004E386C"/>
    <w:rsid w:val="00500472"/>
    <w:rsid w:val="005009CD"/>
    <w:rsid w:val="005011FF"/>
    <w:rsid w:val="0050662E"/>
    <w:rsid w:val="005119F5"/>
    <w:rsid w:val="00513EE0"/>
    <w:rsid w:val="00531D01"/>
    <w:rsid w:val="00537D8B"/>
    <w:rsid w:val="00542DE4"/>
    <w:rsid w:val="00551A57"/>
    <w:rsid w:val="005710EF"/>
    <w:rsid w:val="00572A5A"/>
    <w:rsid w:val="00574A62"/>
    <w:rsid w:val="00582DCA"/>
    <w:rsid w:val="005A47EC"/>
    <w:rsid w:val="005A648B"/>
    <w:rsid w:val="005A7D6D"/>
    <w:rsid w:val="005B4389"/>
    <w:rsid w:val="005C41FB"/>
    <w:rsid w:val="005C672A"/>
    <w:rsid w:val="005E0075"/>
    <w:rsid w:val="005E5337"/>
    <w:rsid w:val="005F48E3"/>
    <w:rsid w:val="005F7CB5"/>
    <w:rsid w:val="00600331"/>
    <w:rsid w:val="00611FC4"/>
    <w:rsid w:val="00615701"/>
    <w:rsid w:val="00630591"/>
    <w:rsid w:val="00630FD0"/>
    <w:rsid w:val="00633311"/>
    <w:rsid w:val="00636AFE"/>
    <w:rsid w:val="00660827"/>
    <w:rsid w:val="006615E9"/>
    <w:rsid w:val="006656C4"/>
    <w:rsid w:val="006845CB"/>
    <w:rsid w:val="006A6455"/>
    <w:rsid w:val="006B4A3A"/>
    <w:rsid w:val="006C29AF"/>
    <w:rsid w:val="006D1F43"/>
    <w:rsid w:val="006E76FA"/>
    <w:rsid w:val="007046D7"/>
    <w:rsid w:val="007078AD"/>
    <w:rsid w:val="00711FC1"/>
    <w:rsid w:val="00720DD1"/>
    <w:rsid w:val="007212E2"/>
    <w:rsid w:val="00723B75"/>
    <w:rsid w:val="00727E8B"/>
    <w:rsid w:val="00730158"/>
    <w:rsid w:val="00760889"/>
    <w:rsid w:val="007619B8"/>
    <w:rsid w:val="007635AD"/>
    <w:rsid w:val="00773FB1"/>
    <w:rsid w:val="00780C70"/>
    <w:rsid w:val="00785EDE"/>
    <w:rsid w:val="00790E47"/>
    <w:rsid w:val="007A25C7"/>
    <w:rsid w:val="007A6428"/>
    <w:rsid w:val="007C24A2"/>
    <w:rsid w:val="007C2B64"/>
    <w:rsid w:val="007E1E2E"/>
    <w:rsid w:val="007F1FC0"/>
    <w:rsid w:val="007F2766"/>
    <w:rsid w:val="008012B9"/>
    <w:rsid w:val="00810AAD"/>
    <w:rsid w:val="00812567"/>
    <w:rsid w:val="008512F4"/>
    <w:rsid w:val="00851B11"/>
    <w:rsid w:val="00860190"/>
    <w:rsid w:val="008625E4"/>
    <w:rsid w:val="00887B88"/>
    <w:rsid w:val="008A06B0"/>
    <w:rsid w:val="008A0FC4"/>
    <w:rsid w:val="008A4E33"/>
    <w:rsid w:val="008A7C62"/>
    <w:rsid w:val="008C09E3"/>
    <w:rsid w:val="008E3CB7"/>
    <w:rsid w:val="008E56D0"/>
    <w:rsid w:val="008F6793"/>
    <w:rsid w:val="00910B21"/>
    <w:rsid w:val="0091579B"/>
    <w:rsid w:val="00916730"/>
    <w:rsid w:val="009206A6"/>
    <w:rsid w:val="00935579"/>
    <w:rsid w:val="00936B19"/>
    <w:rsid w:val="0095298E"/>
    <w:rsid w:val="00970EFB"/>
    <w:rsid w:val="00995491"/>
    <w:rsid w:val="009A7FED"/>
    <w:rsid w:val="009B732F"/>
    <w:rsid w:val="009C3368"/>
    <w:rsid w:val="009D6601"/>
    <w:rsid w:val="009E3422"/>
    <w:rsid w:val="009E3D25"/>
    <w:rsid w:val="009F230C"/>
    <w:rsid w:val="009F4B14"/>
    <w:rsid w:val="00A04E8E"/>
    <w:rsid w:val="00A140DE"/>
    <w:rsid w:val="00A22887"/>
    <w:rsid w:val="00A3469A"/>
    <w:rsid w:val="00A4709F"/>
    <w:rsid w:val="00A65C99"/>
    <w:rsid w:val="00A74BA7"/>
    <w:rsid w:val="00A938E0"/>
    <w:rsid w:val="00A951DE"/>
    <w:rsid w:val="00A96AD9"/>
    <w:rsid w:val="00AA7BD8"/>
    <w:rsid w:val="00AC089A"/>
    <w:rsid w:val="00AC2522"/>
    <w:rsid w:val="00AE0A13"/>
    <w:rsid w:val="00AF1CF9"/>
    <w:rsid w:val="00AF4105"/>
    <w:rsid w:val="00AF5B9A"/>
    <w:rsid w:val="00B063D8"/>
    <w:rsid w:val="00B561FC"/>
    <w:rsid w:val="00B566D5"/>
    <w:rsid w:val="00B577A1"/>
    <w:rsid w:val="00B57D3A"/>
    <w:rsid w:val="00B60D6A"/>
    <w:rsid w:val="00B64EB8"/>
    <w:rsid w:val="00B76888"/>
    <w:rsid w:val="00B94D90"/>
    <w:rsid w:val="00BC490B"/>
    <w:rsid w:val="00BC49CC"/>
    <w:rsid w:val="00BE0D6C"/>
    <w:rsid w:val="00BE4C7A"/>
    <w:rsid w:val="00BF3714"/>
    <w:rsid w:val="00C03629"/>
    <w:rsid w:val="00C04A81"/>
    <w:rsid w:val="00C13A9C"/>
    <w:rsid w:val="00C14D69"/>
    <w:rsid w:val="00C160A5"/>
    <w:rsid w:val="00C20ED2"/>
    <w:rsid w:val="00C35DA1"/>
    <w:rsid w:val="00C45F10"/>
    <w:rsid w:val="00C47FB0"/>
    <w:rsid w:val="00C56784"/>
    <w:rsid w:val="00C64DFB"/>
    <w:rsid w:val="00C72B91"/>
    <w:rsid w:val="00C930F7"/>
    <w:rsid w:val="00C953F4"/>
    <w:rsid w:val="00C97A79"/>
    <w:rsid w:val="00CA41A7"/>
    <w:rsid w:val="00CB13B0"/>
    <w:rsid w:val="00CC2B6E"/>
    <w:rsid w:val="00CC66AB"/>
    <w:rsid w:val="00CD131F"/>
    <w:rsid w:val="00CF7098"/>
    <w:rsid w:val="00D04A50"/>
    <w:rsid w:val="00D060CC"/>
    <w:rsid w:val="00D107F4"/>
    <w:rsid w:val="00D30DB1"/>
    <w:rsid w:val="00D37BB3"/>
    <w:rsid w:val="00D53341"/>
    <w:rsid w:val="00D57589"/>
    <w:rsid w:val="00D60C41"/>
    <w:rsid w:val="00D73F75"/>
    <w:rsid w:val="00D91061"/>
    <w:rsid w:val="00D91DBE"/>
    <w:rsid w:val="00DB0BB6"/>
    <w:rsid w:val="00DC57C1"/>
    <w:rsid w:val="00DD1782"/>
    <w:rsid w:val="00DD64C0"/>
    <w:rsid w:val="00E00CE6"/>
    <w:rsid w:val="00E116B7"/>
    <w:rsid w:val="00E23387"/>
    <w:rsid w:val="00E455CA"/>
    <w:rsid w:val="00E60102"/>
    <w:rsid w:val="00E6550E"/>
    <w:rsid w:val="00E72E18"/>
    <w:rsid w:val="00E81218"/>
    <w:rsid w:val="00E82F07"/>
    <w:rsid w:val="00E914FE"/>
    <w:rsid w:val="00E95B08"/>
    <w:rsid w:val="00E968A4"/>
    <w:rsid w:val="00EB007F"/>
    <w:rsid w:val="00EB6AFC"/>
    <w:rsid w:val="00EC090A"/>
    <w:rsid w:val="00EC0EFF"/>
    <w:rsid w:val="00ED425E"/>
    <w:rsid w:val="00ED618E"/>
    <w:rsid w:val="00EE3129"/>
    <w:rsid w:val="00EE42CB"/>
    <w:rsid w:val="00EF1CC4"/>
    <w:rsid w:val="00F06A85"/>
    <w:rsid w:val="00F254E9"/>
    <w:rsid w:val="00F30431"/>
    <w:rsid w:val="00F53DC1"/>
    <w:rsid w:val="00F63A2A"/>
    <w:rsid w:val="00F75B80"/>
    <w:rsid w:val="00F85273"/>
    <w:rsid w:val="00F864BC"/>
    <w:rsid w:val="00FB7C91"/>
    <w:rsid w:val="00FB7CC0"/>
    <w:rsid w:val="00FD7E4C"/>
    <w:rsid w:val="00FF23BE"/>
    <w:rsid w:val="00FF3336"/>
    <w:rsid w:val="00FF4949"/>
    <w:rsid w:val="00FF5A0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8"/>
    <o:shapelayout v:ext="edit">
      <o:idmap v:ext="edit" data="1"/>
    </o:shapelayout>
  </w:shapeDefaults>
  <w:decimalSymbol w:val="."/>
  <w:listSeparator w:val=","/>
  <w14:docId w14:val="3EE6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3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441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F441A"/>
    <w:rPr>
      <w:rFonts w:cs="Times New Roman"/>
    </w:rPr>
  </w:style>
  <w:style w:type="paragraph" w:styleId="Footer">
    <w:name w:val="footer"/>
    <w:basedOn w:val="Normal"/>
    <w:link w:val="FooterChar"/>
    <w:uiPriority w:val="99"/>
    <w:rsid w:val="002F441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F441A"/>
    <w:rPr>
      <w:rFonts w:cs="Times New Roman"/>
    </w:rPr>
  </w:style>
  <w:style w:type="paragraph" w:styleId="BalloonText">
    <w:name w:val="Balloon Text"/>
    <w:basedOn w:val="Normal"/>
    <w:link w:val="BalloonTextChar"/>
    <w:uiPriority w:val="99"/>
    <w:semiHidden/>
    <w:rsid w:val="002F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441A"/>
    <w:rPr>
      <w:rFonts w:ascii="Tahoma" w:hAnsi="Tahoma" w:cs="Tahoma"/>
      <w:sz w:val="16"/>
      <w:szCs w:val="16"/>
    </w:rPr>
  </w:style>
  <w:style w:type="paragraph" w:customStyle="1" w:styleId="ANDSHeading1">
    <w:name w:val="ANDS Heading 1"/>
    <w:basedOn w:val="Normal"/>
    <w:uiPriority w:val="99"/>
    <w:rsid w:val="00600331"/>
    <w:pPr>
      <w:spacing w:before="240" w:after="240" w:line="360" w:lineRule="auto"/>
    </w:pPr>
    <w:rPr>
      <w:b/>
      <w:sz w:val="28"/>
      <w:szCs w:val="28"/>
    </w:rPr>
  </w:style>
  <w:style w:type="character" w:styleId="Hyperlink">
    <w:name w:val="Hyperlink"/>
    <w:basedOn w:val="DefaultParagraphFont"/>
    <w:uiPriority w:val="99"/>
    <w:rsid w:val="000A471B"/>
    <w:rPr>
      <w:rFonts w:cs="Times New Roman"/>
      <w:color w:val="0000FF"/>
      <w:u w:val="single"/>
    </w:rPr>
  </w:style>
  <w:style w:type="table" w:styleId="TableGrid">
    <w:name w:val="Table Grid"/>
    <w:basedOn w:val="TableNormal"/>
    <w:uiPriority w:val="99"/>
    <w:rsid w:val="00CA41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uiPriority w:val="99"/>
    <w:rsid w:val="00CA41A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Grid1-Accent1">
    <w:name w:val="Medium Grid 1 Accent 1"/>
    <w:basedOn w:val="TableNormal"/>
    <w:uiPriority w:val="99"/>
    <w:rsid w:val="00CA41A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character" w:styleId="FollowedHyperlink">
    <w:name w:val="FollowedHyperlink"/>
    <w:basedOn w:val="DefaultParagraphFont"/>
    <w:uiPriority w:val="99"/>
    <w:semiHidden/>
    <w:rsid w:val="00F85273"/>
    <w:rPr>
      <w:rFonts w:cs="Times New Roman"/>
      <w:color w:val="800080"/>
      <w:u w:val="single"/>
    </w:rPr>
  </w:style>
  <w:style w:type="paragraph" w:customStyle="1" w:styleId="Default">
    <w:name w:val="Default"/>
    <w:uiPriority w:val="99"/>
    <w:rsid w:val="00C97A79"/>
    <w:pPr>
      <w:autoSpaceDE w:val="0"/>
      <w:autoSpaceDN w:val="0"/>
      <w:adjustRightInd w:val="0"/>
    </w:pPr>
    <w:rPr>
      <w:rFonts w:cs="Calibri"/>
      <w:color w:val="000000"/>
      <w:sz w:val="24"/>
      <w:szCs w:val="24"/>
      <w:lang w:eastAsia="en-US"/>
    </w:rPr>
  </w:style>
  <w:style w:type="paragraph" w:styleId="ListParagraph">
    <w:name w:val="List Paragraph"/>
    <w:basedOn w:val="Normal"/>
    <w:uiPriority w:val="99"/>
    <w:qFormat/>
    <w:rsid w:val="00C97A79"/>
    <w:pPr>
      <w:ind w:left="720"/>
      <w:contextualSpacing/>
    </w:pPr>
  </w:style>
  <w:style w:type="paragraph" w:customStyle="1" w:styleId="ANDSRec">
    <w:name w:val="ANDS Rec"/>
    <w:basedOn w:val="Normal"/>
    <w:uiPriority w:val="99"/>
    <w:rsid w:val="00D107F4"/>
    <w:pPr>
      <w:pBdr>
        <w:top w:val="single" w:sz="4" w:space="1" w:color="auto"/>
        <w:left w:val="single" w:sz="4" w:space="4" w:color="auto"/>
        <w:bottom w:val="single" w:sz="4" w:space="1" w:color="auto"/>
        <w:right w:val="single" w:sz="4" w:space="4" w:color="auto"/>
      </w:pBdr>
      <w:shd w:val="clear" w:color="auto" w:fill="FBD4B4"/>
    </w:pPr>
  </w:style>
  <w:style w:type="paragraph" w:styleId="FootnoteText">
    <w:name w:val="footnote text"/>
    <w:basedOn w:val="Normal"/>
    <w:link w:val="FootnoteTextChar"/>
    <w:uiPriority w:val="99"/>
    <w:semiHidden/>
    <w:rsid w:val="00180F3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80F31"/>
    <w:rPr>
      <w:rFonts w:cs="Times New Roman"/>
      <w:sz w:val="20"/>
      <w:szCs w:val="20"/>
    </w:rPr>
  </w:style>
  <w:style w:type="character" w:styleId="FootnoteReference">
    <w:name w:val="footnote reference"/>
    <w:basedOn w:val="DefaultParagraphFont"/>
    <w:uiPriority w:val="99"/>
    <w:semiHidden/>
    <w:rsid w:val="00180F31"/>
    <w:rPr>
      <w:rFonts w:cs="Times New Roman"/>
      <w:vertAlign w:val="superscript"/>
    </w:rPr>
  </w:style>
  <w:style w:type="character" w:styleId="CommentReference">
    <w:name w:val="annotation reference"/>
    <w:basedOn w:val="DefaultParagraphFont"/>
    <w:uiPriority w:val="99"/>
    <w:semiHidden/>
    <w:rsid w:val="00EB6AFC"/>
    <w:rPr>
      <w:rFonts w:cs="Times New Roman"/>
      <w:sz w:val="16"/>
      <w:szCs w:val="16"/>
    </w:rPr>
  </w:style>
  <w:style w:type="paragraph" w:styleId="CommentText">
    <w:name w:val="annotation text"/>
    <w:basedOn w:val="Normal"/>
    <w:link w:val="CommentTextChar"/>
    <w:uiPriority w:val="99"/>
    <w:semiHidden/>
    <w:rsid w:val="00EB6AFC"/>
    <w:rPr>
      <w:sz w:val="20"/>
      <w:szCs w:val="20"/>
    </w:rPr>
  </w:style>
  <w:style w:type="character" w:customStyle="1" w:styleId="CommentTextChar">
    <w:name w:val="Comment Text Char"/>
    <w:basedOn w:val="DefaultParagraphFont"/>
    <w:link w:val="CommentText"/>
    <w:uiPriority w:val="99"/>
    <w:semiHidden/>
    <w:rsid w:val="00826DB4"/>
    <w:rPr>
      <w:sz w:val="20"/>
      <w:szCs w:val="20"/>
      <w:lang w:eastAsia="en-US"/>
    </w:rPr>
  </w:style>
  <w:style w:type="paragraph" w:styleId="CommentSubject">
    <w:name w:val="annotation subject"/>
    <w:basedOn w:val="CommentText"/>
    <w:next w:val="CommentText"/>
    <w:link w:val="CommentSubjectChar"/>
    <w:uiPriority w:val="99"/>
    <w:semiHidden/>
    <w:rsid w:val="00EB6AFC"/>
    <w:rPr>
      <w:b/>
      <w:bCs/>
    </w:rPr>
  </w:style>
  <w:style w:type="character" w:customStyle="1" w:styleId="CommentSubjectChar">
    <w:name w:val="Comment Subject Char"/>
    <w:basedOn w:val="CommentTextChar"/>
    <w:link w:val="CommentSubject"/>
    <w:uiPriority w:val="99"/>
    <w:semiHidden/>
    <w:rsid w:val="00826DB4"/>
    <w:rPr>
      <w:b/>
      <w:bCs/>
      <w:sz w:val="20"/>
      <w:szCs w:val="20"/>
      <w:lang w:eastAsia="en-US"/>
    </w:rPr>
  </w:style>
  <w:style w:type="paragraph" w:customStyle="1" w:styleId="A-Head">
    <w:name w:val="A - Head"/>
    <w:qFormat/>
    <w:rsid w:val="001155B6"/>
    <w:pPr>
      <w:spacing w:after="240"/>
    </w:pPr>
    <w:rPr>
      <w:rFonts w:eastAsia="Times New Roman"/>
      <w:b/>
      <w:caps/>
      <w:sz w:val="24"/>
      <w:szCs w:val="24"/>
      <w:lang w:eastAsia="en-US"/>
    </w:rPr>
  </w:style>
  <w:style w:type="character" w:customStyle="1" w:styleId="apple-converted-space">
    <w:name w:val="apple-converted-space"/>
    <w:basedOn w:val="DefaultParagraphFont"/>
    <w:rsid w:val="00C64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3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441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F441A"/>
    <w:rPr>
      <w:rFonts w:cs="Times New Roman"/>
    </w:rPr>
  </w:style>
  <w:style w:type="paragraph" w:styleId="Footer">
    <w:name w:val="footer"/>
    <w:basedOn w:val="Normal"/>
    <w:link w:val="FooterChar"/>
    <w:uiPriority w:val="99"/>
    <w:rsid w:val="002F441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F441A"/>
    <w:rPr>
      <w:rFonts w:cs="Times New Roman"/>
    </w:rPr>
  </w:style>
  <w:style w:type="paragraph" w:styleId="BalloonText">
    <w:name w:val="Balloon Text"/>
    <w:basedOn w:val="Normal"/>
    <w:link w:val="BalloonTextChar"/>
    <w:uiPriority w:val="99"/>
    <w:semiHidden/>
    <w:rsid w:val="002F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441A"/>
    <w:rPr>
      <w:rFonts w:ascii="Tahoma" w:hAnsi="Tahoma" w:cs="Tahoma"/>
      <w:sz w:val="16"/>
      <w:szCs w:val="16"/>
    </w:rPr>
  </w:style>
  <w:style w:type="paragraph" w:customStyle="1" w:styleId="ANDSHeading1">
    <w:name w:val="ANDS Heading 1"/>
    <w:basedOn w:val="Normal"/>
    <w:uiPriority w:val="99"/>
    <w:rsid w:val="00600331"/>
    <w:pPr>
      <w:spacing w:before="240" w:after="240" w:line="360" w:lineRule="auto"/>
    </w:pPr>
    <w:rPr>
      <w:b/>
      <w:sz w:val="28"/>
      <w:szCs w:val="28"/>
    </w:rPr>
  </w:style>
  <w:style w:type="character" w:styleId="Hyperlink">
    <w:name w:val="Hyperlink"/>
    <w:basedOn w:val="DefaultParagraphFont"/>
    <w:uiPriority w:val="99"/>
    <w:rsid w:val="000A471B"/>
    <w:rPr>
      <w:rFonts w:cs="Times New Roman"/>
      <w:color w:val="0000FF"/>
      <w:u w:val="single"/>
    </w:rPr>
  </w:style>
  <w:style w:type="table" w:styleId="TableGrid">
    <w:name w:val="Table Grid"/>
    <w:basedOn w:val="TableNormal"/>
    <w:uiPriority w:val="99"/>
    <w:rsid w:val="00CA41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uiPriority w:val="99"/>
    <w:rsid w:val="00CA41A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Grid1-Accent1">
    <w:name w:val="Medium Grid 1 Accent 1"/>
    <w:basedOn w:val="TableNormal"/>
    <w:uiPriority w:val="99"/>
    <w:rsid w:val="00CA41A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character" w:styleId="FollowedHyperlink">
    <w:name w:val="FollowedHyperlink"/>
    <w:basedOn w:val="DefaultParagraphFont"/>
    <w:uiPriority w:val="99"/>
    <w:semiHidden/>
    <w:rsid w:val="00F85273"/>
    <w:rPr>
      <w:rFonts w:cs="Times New Roman"/>
      <w:color w:val="800080"/>
      <w:u w:val="single"/>
    </w:rPr>
  </w:style>
  <w:style w:type="paragraph" w:customStyle="1" w:styleId="Default">
    <w:name w:val="Default"/>
    <w:uiPriority w:val="99"/>
    <w:rsid w:val="00C97A79"/>
    <w:pPr>
      <w:autoSpaceDE w:val="0"/>
      <w:autoSpaceDN w:val="0"/>
      <w:adjustRightInd w:val="0"/>
    </w:pPr>
    <w:rPr>
      <w:rFonts w:cs="Calibri"/>
      <w:color w:val="000000"/>
      <w:sz w:val="24"/>
      <w:szCs w:val="24"/>
      <w:lang w:eastAsia="en-US"/>
    </w:rPr>
  </w:style>
  <w:style w:type="paragraph" w:styleId="ListParagraph">
    <w:name w:val="List Paragraph"/>
    <w:basedOn w:val="Normal"/>
    <w:uiPriority w:val="99"/>
    <w:qFormat/>
    <w:rsid w:val="00C97A79"/>
    <w:pPr>
      <w:ind w:left="720"/>
      <w:contextualSpacing/>
    </w:pPr>
  </w:style>
  <w:style w:type="paragraph" w:customStyle="1" w:styleId="ANDSRec">
    <w:name w:val="ANDS Rec"/>
    <w:basedOn w:val="Normal"/>
    <w:uiPriority w:val="99"/>
    <w:rsid w:val="00D107F4"/>
    <w:pPr>
      <w:pBdr>
        <w:top w:val="single" w:sz="4" w:space="1" w:color="auto"/>
        <w:left w:val="single" w:sz="4" w:space="4" w:color="auto"/>
        <w:bottom w:val="single" w:sz="4" w:space="1" w:color="auto"/>
        <w:right w:val="single" w:sz="4" w:space="4" w:color="auto"/>
      </w:pBdr>
      <w:shd w:val="clear" w:color="auto" w:fill="FBD4B4"/>
    </w:pPr>
  </w:style>
  <w:style w:type="paragraph" w:styleId="FootnoteText">
    <w:name w:val="footnote text"/>
    <w:basedOn w:val="Normal"/>
    <w:link w:val="FootnoteTextChar"/>
    <w:uiPriority w:val="99"/>
    <w:semiHidden/>
    <w:rsid w:val="00180F3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80F31"/>
    <w:rPr>
      <w:rFonts w:cs="Times New Roman"/>
      <w:sz w:val="20"/>
      <w:szCs w:val="20"/>
    </w:rPr>
  </w:style>
  <w:style w:type="character" w:styleId="FootnoteReference">
    <w:name w:val="footnote reference"/>
    <w:basedOn w:val="DefaultParagraphFont"/>
    <w:uiPriority w:val="99"/>
    <w:semiHidden/>
    <w:rsid w:val="00180F31"/>
    <w:rPr>
      <w:rFonts w:cs="Times New Roman"/>
      <w:vertAlign w:val="superscript"/>
    </w:rPr>
  </w:style>
  <w:style w:type="character" w:styleId="CommentReference">
    <w:name w:val="annotation reference"/>
    <w:basedOn w:val="DefaultParagraphFont"/>
    <w:uiPriority w:val="99"/>
    <w:semiHidden/>
    <w:rsid w:val="00EB6AFC"/>
    <w:rPr>
      <w:rFonts w:cs="Times New Roman"/>
      <w:sz w:val="16"/>
      <w:szCs w:val="16"/>
    </w:rPr>
  </w:style>
  <w:style w:type="paragraph" w:styleId="CommentText">
    <w:name w:val="annotation text"/>
    <w:basedOn w:val="Normal"/>
    <w:link w:val="CommentTextChar"/>
    <w:uiPriority w:val="99"/>
    <w:semiHidden/>
    <w:rsid w:val="00EB6AFC"/>
    <w:rPr>
      <w:sz w:val="20"/>
      <w:szCs w:val="20"/>
    </w:rPr>
  </w:style>
  <w:style w:type="character" w:customStyle="1" w:styleId="CommentTextChar">
    <w:name w:val="Comment Text Char"/>
    <w:basedOn w:val="DefaultParagraphFont"/>
    <w:link w:val="CommentText"/>
    <w:uiPriority w:val="99"/>
    <w:semiHidden/>
    <w:rsid w:val="00826DB4"/>
    <w:rPr>
      <w:sz w:val="20"/>
      <w:szCs w:val="20"/>
      <w:lang w:eastAsia="en-US"/>
    </w:rPr>
  </w:style>
  <w:style w:type="paragraph" w:styleId="CommentSubject">
    <w:name w:val="annotation subject"/>
    <w:basedOn w:val="CommentText"/>
    <w:next w:val="CommentText"/>
    <w:link w:val="CommentSubjectChar"/>
    <w:uiPriority w:val="99"/>
    <w:semiHidden/>
    <w:rsid w:val="00EB6AFC"/>
    <w:rPr>
      <w:b/>
      <w:bCs/>
    </w:rPr>
  </w:style>
  <w:style w:type="character" w:customStyle="1" w:styleId="CommentSubjectChar">
    <w:name w:val="Comment Subject Char"/>
    <w:basedOn w:val="CommentTextChar"/>
    <w:link w:val="CommentSubject"/>
    <w:uiPriority w:val="99"/>
    <w:semiHidden/>
    <w:rsid w:val="00826DB4"/>
    <w:rPr>
      <w:b/>
      <w:bCs/>
      <w:sz w:val="20"/>
      <w:szCs w:val="20"/>
      <w:lang w:eastAsia="en-US"/>
    </w:rPr>
  </w:style>
  <w:style w:type="paragraph" w:customStyle="1" w:styleId="A-Head">
    <w:name w:val="A - Head"/>
    <w:qFormat/>
    <w:rsid w:val="001155B6"/>
    <w:pPr>
      <w:spacing w:after="240"/>
    </w:pPr>
    <w:rPr>
      <w:rFonts w:eastAsia="Times New Roman"/>
      <w:b/>
      <w:caps/>
      <w:sz w:val="24"/>
      <w:szCs w:val="24"/>
      <w:lang w:eastAsia="en-US"/>
    </w:rPr>
  </w:style>
  <w:style w:type="character" w:customStyle="1" w:styleId="apple-converted-space">
    <w:name w:val="apple-converted-space"/>
    <w:basedOn w:val="DefaultParagraphFont"/>
    <w:rsid w:val="00C6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researchdata.ands.org.au/edgar-climate-change-impact-on-the-distributions-of-australian-bird-spec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ands.org.au/resource/techdocs.html" TargetMode="External"/><Relationship Id="rId2" Type="http://schemas.openxmlformats.org/officeDocument/2006/relationships/numbering" Target="numbering.xml"/><Relationship Id="rId16" Type="http://schemas.openxmlformats.org/officeDocument/2006/relationships/hyperlink" Target="http://ands.org.au/services/cmd-polic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researchdata.ands.org.au/data-obtained-from-the-health-in-pregnancy-and-post-birth-stud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chema.datacite.org/" TargetMode="External"/><Relationship Id="rId2" Type="http://schemas.openxmlformats.org/officeDocument/2006/relationships/hyperlink" Target="http://researchdata.ands.org.au/obtained-health-pregnancy-birth-study/445853" TargetMode="External"/><Relationship Id="rId1" Type="http://schemas.openxmlformats.org/officeDocument/2006/relationships/hyperlink" Target="http://researchdata.ands.org.au/edgar-climate-change-bird-species/10978" TargetMode="External"/><Relationship Id="rId5" Type="http://schemas.openxmlformats.org/officeDocument/2006/relationships/hyperlink" Target="http://www.doi.org/" TargetMode="External"/><Relationship Id="rId4" Type="http://schemas.openxmlformats.org/officeDocument/2006/relationships/hyperlink" Target="http://datac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F65F1-6A30-49F1-90CA-7D3C2BD0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1010</Words>
  <Characters>5978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ANDS</Company>
  <LinksUpToDate>false</LinksUpToDate>
  <CharactersWithSpaces>6975</CharactersWithSpaces>
  <SharedDoc>false</SharedDoc>
  <HLinks>
    <vt:vector size="18" baseType="variant">
      <vt:variant>
        <vt:i4>4194307</vt:i4>
      </vt:variant>
      <vt:variant>
        <vt:i4>6</vt:i4>
      </vt:variant>
      <vt:variant>
        <vt:i4>0</vt:i4>
      </vt:variant>
      <vt:variant>
        <vt:i4>5</vt:i4>
      </vt:variant>
      <vt:variant>
        <vt:lpwstr>http://www.cnri.reston.va.us/</vt:lpwstr>
      </vt:variant>
      <vt:variant>
        <vt:lpwstr/>
      </vt:variant>
      <vt:variant>
        <vt:i4>2424874</vt:i4>
      </vt:variant>
      <vt:variant>
        <vt:i4>3</vt:i4>
      </vt:variant>
      <vt:variant>
        <vt:i4>0</vt:i4>
      </vt:variant>
      <vt:variant>
        <vt:i4>5</vt:i4>
      </vt:variant>
      <vt:variant>
        <vt:lpwstr>http://www.handle.net/</vt:lpwstr>
      </vt:variant>
      <vt:variant>
        <vt:lpwstr/>
      </vt:variant>
      <vt:variant>
        <vt:i4>6226004</vt:i4>
      </vt:variant>
      <vt:variant>
        <vt:i4>0</vt:i4>
      </vt:variant>
      <vt:variant>
        <vt:i4>0</vt:i4>
      </vt:variant>
      <vt:variant>
        <vt:i4>5</vt:i4>
      </vt:variant>
      <vt:variant>
        <vt:lpwstr>http://www.datacite.org/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Judith Taylor</cp:lastModifiedBy>
  <cp:revision>3</cp:revision>
  <cp:lastPrinted>2015-01-27T23:49:00Z</cp:lastPrinted>
  <dcterms:created xsi:type="dcterms:W3CDTF">2015-01-28T00:48:00Z</dcterms:created>
  <dcterms:modified xsi:type="dcterms:W3CDTF">2015-01-28T00:49:00Z</dcterms:modified>
</cp:coreProperties>
</file>