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4E79"/>
          <w:sz w:val="44"/>
          <w:szCs w:val="44"/>
        </w:rPr>
        <w:t xml:space="preserve">Интеллектуальная база знаний с RAG</w:t>
      </w:r>
    </w:p>
    <w:p>
      <w:pPr>
        <w:spacing w:after="240"/>
        <w:jc w:val="center"/>
      </w:pPr>
      <w:r>
        <w:rPr>
          <w:color w:val="404040"/>
          <w:sz w:val="26"/>
          <w:szCs w:val="26"/>
        </w:rPr>
        <w:t xml:space="preserve">Конвейер поиска и генерации: индексация, разбор запроса, поиск, генерация</w:t>
      </w:r>
    </w:p>
    <w:p>
      <w:pPr>
        <w:spacing w:after="400"/>
        <w:jc w:val="center"/>
      </w:pPr>
      <w:r>
        <w:rPr>
          <w:color w:val="808080"/>
          <w:sz w:val="20"/>
          <w:szCs w:val="20"/>
        </w:rPr>
        <w:t xml:space="preserve">Версия 2.6  ·  Техническая концепция, часть 2 из 2  ·  17 августа 2026 г.</w:t>
      </w:r>
    </w:p>
    <w:p>
      <w:pPr>
        <w:spacing w:after="160"/>
      </w:pPr>
      <w:r>
        <w:rPr>
          <w:b/>
          <w:bCs/>
          <w:color w:val="1F4E79"/>
          <w:sz w:val="28"/>
          <w:szCs w:val="28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t xml:space="preserve">Открытые вопросы и непроверенные гипотезы</w:t>
      </w:r>
    </w:p>
    <w:p>
      <w:pPr>
        <w:spacing w:after="120" w:line="276"/>
        <w:jc w:val="both"/>
      </w:pPr>
      <w:r>
        <w:t xml:space="preserve">Раздел вынесен в начало намеренно. Документ описывает проектное решение, но часть его положений является </w:t>
      </w:r>
      <w:r>
        <w:rPr>
          <w:b/>
          <w:bCs/>
        </w:rPr>
        <w:t xml:space="preserve">гипотезами, которые могут не подтвердиться</w:t>
      </w:r>
      <w:r>
        <w:t xml:space="preserve">. Ниже перечислено всё, что на момент версии 2.5 не закрыто, с указанием, кто и когда даёт ответ.</w:t>
      </w:r>
    </w:p>
    <w:p>
      <w:pPr>
        <w:pStyle w:val="Heading2"/>
        <w:spacing w:after="120" w:before="240"/>
      </w:pPr>
      <w:r>
        <w:t xml:space="preserve">Блокирующие: без ответа нельзя начинать разработку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1500"/>
        <w:gridCol w:w="1526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Вопрос</w:t>
            </w:r>
          </w:p>
        </w:tc>
        <w:tc>
          <w:tcPr>
            <w:tcW w:type="dxa" w:w="3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На что влияет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Кто отвечает</w:t>
            </w:r>
          </w:p>
        </w:tc>
        <w:tc>
          <w:tcPr>
            <w:tcW w:type="dxa" w:w="152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Когда</w:t>
            </w:r>
          </w:p>
        </w:tc>
      </w:tr>
      <w:tr>
        <w:tc>
          <w:tcPr>
            <w:tcW w:type="dxa" w:w="2600"/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Диалект эндпоинта реранкера</w:t>
            </w:r>
          </w:p>
        </w:tc>
        <w:tc>
          <w:tcPr>
            <w:tcW w:type="dxa" w:w="3400"/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Существуют два несовместимых формата запроса (раздел 11.5). Определяется прогоном скрипта разведки, ответ владельца не требуется</w:t>
            </w:r>
          </w:p>
        </w:tc>
        <w:tc>
          <w:tcPr>
            <w:tcW w:type="dxa" w:w="1500"/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Проектная команда</w:t>
            </w:r>
          </w:p>
        </w:tc>
        <w:tc>
          <w:tcPr>
            <w:tcW w:type="dxa" w:w="1526"/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Этап 0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Качество исходных сканов корпуса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Объём ручной доработки. Может изменить оценку сроков всего проекта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Проектная команда, часть 1</w:t>
            </w:r>
          </w:p>
        </w:tc>
        <w:tc>
          <w:tcPr>
            <w:tcW w:type="dxa" w:w="15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Этап 1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Эталонный датасет 100–150 пар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Возможность что-либо измерить. Сбор формулировок — 2–3 часа, </w:t>
            </w:r>
            <w:r>
              <w:rPr>
                <w:b/>
                <w:bCs/>
                <w:color w:val="000000"/>
                <w:sz w:val="19"/>
                <w:szCs w:val="19"/>
              </w:rPr>
              <w:t xml:space="preserve">якорная разметка — 3–5 дней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 РП + выделенный разметчик</w:t>
            </w:r>
          </w:p>
        </w:tc>
        <w:tc>
          <w:tcPr>
            <w:tcW w:type="dxa" w:w="15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Этап 0</w:t>
            </w:r>
          </w:p>
        </w:tc>
      </w:tr>
      <w:tr>
        <w:tc>
          <w:tcPr>
            <w:tcW w:type="dxa" w:w="2600"/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Проба GigaChat-20B-A3B</w:t>
            </w:r>
          </w:p>
        </w:tc>
        <w:tc>
          <w:tcPr>
            <w:tcW w:type="dxa" w:w="3400"/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Существование сборки q4_K_M, поддержка MoE в среде исполнения, шаблон чата, фактическая скорость. </w:t>
            </w:r>
            <w:r>
              <w:rPr>
                <w:b/>
                <w:bCs/>
                <w:color w:val="000000"/>
                <w:sz w:val="19"/>
                <w:szCs w:val="19"/>
              </w:rPr>
              <w:t xml:space="preserve">На этих допущениях стоит весь расчёт латентности.</w:t>
            </w: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 Запасной вариант — Qwen3.5-27B</w:t>
            </w:r>
          </w:p>
        </w:tc>
        <w:tc>
          <w:tcPr>
            <w:tcW w:type="dxa" w:w="1500"/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Проектная команда, полдня</w:t>
            </w:r>
          </w:p>
        </w:tc>
        <w:tc>
          <w:tcPr>
            <w:tcW w:type="dxa" w:w="1526"/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Этап 0</w:t>
            </w:r>
          </w:p>
        </w:tc>
      </w:tr>
      <w:tr>
        <w:tc>
          <w:tcPr>
            <w:tcW w:type="dxa" w:w="2600"/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Закупка GPU: владелец и срок</w:t>
            </w:r>
          </w:p>
        </w:tc>
        <w:tc>
          <w:tcPr>
            <w:tcW w:type="dxa" w:w="3400"/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Без карты этапы 2 и далее не стартуют. Срок поставки не заложен в календарь</w:t>
            </w:r>
          </w:p>
        </w:tc>
        <w:tc>
          <w:tcPr>
            <w:tcW w:type="dxa" w:w="1500"/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Не назначен</w:t>
            </w:r>
          </w:p>
        </w:tc>
        <w:tc>
          <w:tcPr>
            <w:tcW w:type="dxa" w:w="1526"/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Этап 0</w:t>
            </w:r>
          </w:p>
        </w:tc>
      </w:tr>
      <w:tr>
        <w:tc>
          <w:tcPr>
            <w:tcW w:type="dxa" w:w="2600"/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JSON-схема контракта с частью 1</w:t>
            </w:r>
          </w:p>
        </w:tc>
        <w:tc>
          <w:tcPr>
            <w:tcW w:type="dxa" w:w="3400"/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Формат передачи структурированного документа между слоями. Без неё модуль индексации нельзя начинать</w:t>
            </w:r>
          </w:p>
        </w:tc>
        <w:tc>
          <w:tcPr>
            <w:tcW w:type="dxa" w:w="1500"/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Проектная команда</w:t>
            </w:r>
          </w:p>
        </w:tc>
        <w:tc>
          <w:tcPr>
            <w:tcW w:type="dxa" w:w="1526"/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Этап 0</w:t>
            </w:r>
          </w:p>
        </w:tc>
      </w:tr>
      <w:tr>
        <w:tc>
          <w:tcPr>
            <w:tcW w:type="dxa" w:w="2600"/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Доля корпуса в статусе «открытый»</w:t>
            </w:r>
          </w:p>
        </w:tc>
        <w:tc>
          <w:tcPr>
            <w:tcW w:type="dxa" w:w="3400"/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Стоп-гейт: при доле ниже 60% жизнеспособность PoC пересматривается</w:t>
            </w: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 — материала для генерации не хватит, и отрицательный результат замеров будет объясняться нехваткой данных, а не качеством поиска</w:t>
            </w:r>
          </w:p>
        </w:tc>
        <w:tc>
          <w:tcPr>
            <w:tcW w:type="dxa" w:w="1500"/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Владельцы проекта</w:t>
            </w:r>
          </w:p>
        </w:tc>
        <w:tc>
          <w:tcPr>
            <w:tcW w:type="dxa" w:w="1526"/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Этап 0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Технические гипотезы: проверяются замером</w:t>
      </w:r>
    </w:p>
    <w:p>
      <w:pPr>
        <w:spacing w:after="120" w:line="276"/>
        <w:jc w:val="both"/>
      </w:pPr>
      <w:r>
        <w:t xml:space="preserve">Каждая принята к реализации, но подлежит проверке. Отрицательный результат означает отключение компонента флагом конфигурации, а не переработку системы.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026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Гипотеза</w:t>
            </w:r>
          </w:p>
        </w:tc>
        <w:tc>
          <w:tcPr>
            <w:tcW w:type="dxa" w:w="3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Как проверяется</w:t>
            </w:r>
          </w:p>
        </w:tc>
        <w:tc>
          <w:tcPr>
            <w:tcW w:type="dxa" w:w="302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Что если не подтвердится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Декомпозиция запроса по граням подхода повышает полноту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Recall@8 с декомпозицией и без, на одном датасете</w:t>
            </w:r>
          </w:p>
        </w:tc>
        <w:tc>
          <w:tcPr>
            <w:tcW w:type="dxa" w:w="30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Слой разбора упрощается до одного подзапроса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HyDE добавляет релевантных кандидатов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Три режима: только запрос, только гипотеза, объединение. Плюс доля финальных чанков, найденных только гипотезой (раздел 13.3)</w:t>
            </w:r>
          </w:p>
        </w:tc>
        <w:tc>
          <w:tcPr>
            <w:tcW w:type="dxa" w:w="30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HyDE отключается, поиск идёт одним ключом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Граф связей между чанками уточняет выход на нужные разделы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Recall@8 с расширением по графу и без</w:t>
            </w:r>
          </w:p>
        </w:tc>
        <w:tc>
          <w:tcPr>
            <w:tcW w:type="dxa" w:w="30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Расширение отключается, рёбра остаются как справочная структура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Корпуса из 25 документов достаточно для качественной генерации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Доля текста, оставленная РП без правок, на этапе опытной эксплуатации</w:t>
            </w:r>
          </w:p>
        </w:tc>
        <w:tc>
          <w:tcPr>
            <w:tcW w:type="dxa" w:w="30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Расширение корпуса: внутренние методички, презентации, отчёты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Порог дедупликации 0,95 не схлопывает содержательные вариации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Ручной просмотр 20 крупнейших кластеров</w:t>
            </w:r>
          </w:p>
        </w:tc>
        <w:tc>
          <w:tcPr>
            <w:tcW w:type="dxa" w:w="30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Порог поднимается до 0,97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Порог отсечения реранкера отделяет «не найдено» от слабого ответа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Запросы с заведомо отсутствующим ответом в датасете</w:t>
            </w:r>
          </w:p>
        </w:tc>
        <w:tc>
          <w:tcPr>
            <w:tcW w:type="dxa" w:w="30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Пересмотр значения либо отказ от автоматического отказа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Организационные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Вопрос</w:t>
            </w:r>
          </w:p>
        </w:tc>
        <w:tc>
          <w:tcPr>
            <w:tcW w:type="dxa" w:w="642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Статус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Преемственность доступа к сервису</w:t>
            </w:r>
          </w:p>
        </w:tc>
        <w:tc>
          <w:tcPr>
            <w:tcW w:type="dxa" w:w="64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Токен персональный, владелец — руководитель проекта. </w:t>
            </w:r>
            <w:r>
              <w:rPr>
                <w:b/>
                <w:bCs/>
                <w:color w:val="000000"/>
                <w:sz w:val="19"/>
                <w:szCs w:val="19"/>
              </w:rPr>
              <w:t xml:space="preserve">Открыт вопрос, что произойдёт при его уходе или смене роли.</w:t>
            </w: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 Требуется сервисный токен, привязанный к приложению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Уведомление о смене версии модели эмбеддингов</w:t>
            </w:r>
          </w:p>
        </w:tc>
        <w:tc>
          <w:tcPr>
            <w:tcW w:type="dxa" w:w="64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Требуется.</w:t>
            </w: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 Обновление модели делает индекс несовместимым, а деградация поиска происходит без явных признаков. Переиндексация занимает полторы минуты, поэтому проблема решаема при своевременном оповещении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Поле «результат тендера» в реестре</w:t>
            </w:r>
          </w:p>
        </w:tc>
        <w:tc>
          <w:tcPr>
            <w:tcW w:type="dxa" w:w="64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Не заведено. Без него нельзя учиться на успешных образцах и доказать влияние на долю побед. Требуется ретроспективное заполнение по 25 документам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Владелец БД подтверждений после PoC</w:t>
            </w:r>
          </w:p>
        </w:tc>
        <w:tc>
          <w:tcPr>
            <w:tcW w:type="dxa" w:w="64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На время PoC — проектная команда. Ответственный на период эксплуатации не назначен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Обезличенные проекты на PoC</w:t>
            </w:r>
          </w:p>
        </w:tc>
        <w:tc>
          <w:tcPr>
            <w:tcW w:type="dxa" w:w="64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Рубежи обезличивания вынесены в MVP. На PoC такие проекты исключаются </w:t>
            </w:r>
            <w:r>
              <w:rPr>
                <w:b/>
                <w:bCs/>
                <w:color w:val="000000"/>
                <w:sz w:val="19"/>
                <w:szCs w:val="19"/>
              </w:rPr>
              <w:t xml:space="preserve">конфигурацией</w:t>
            </w: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 (`ALLOWED_PUBLICITY = ['open']`), а не изменением статуса в базе: перевод в «закрытый» необратимо потерял бы разметку публичности. Раздел 10.5</w:t>
            </w:r>
          </w:p>
        </w:tc>
      </w:tr>
    </w:tbl>
    <w:p>
      <w:pPr>
        <w:spacing w:after="120"/>
      </w:pPr>
    </w:p>
    <w:p>
      <w:pPr>
        <w:pBdr>
          <w:top w:val="single" w:color="E2EFDA" w:sz="2"/>
          <w:bottom w:val="single" w:color="E2EFDA" w:sz="2"/>
          <w:left w:val="single" w:color="1F4E79" w:sz="18" w:space="8"/>
          <w:right w:val="single" w:color="E2EFDA" w:sz="2"/>
        </w:pBdr>
        <w:shd w:fill="E2EFDA" w:val="clear"/>
        <w:spacing w:after="160" w:before="120" w:line="276"/>
        <w:ind w:left="120" w:right="120"/>
      </w:pPr>
      <w:r>
        <w:rPr>
          <w:b/>
          <w:bCs/>
        </w:rPr>
        <w:t xml:space="preserve">Закрытые вопросы.</w:t>
      </w:r>
      <w:r>
        <w:t xml:space="preserve"> (1) Разреженные векторы bge-m3 через эндпоинт, по всей вероятности, недоступны — решение уже принято, лексический поиск строится на полнотекстовом индексе PostgreSQL, дополнительных действий не требуется. (2) Спецификация API не запрашивается: сервис OpenAI-совместим, форматы известны и зафиксированы в разделе 11.5. (3) Эндпоинта проверки доступности нет — вместо него применяется синтетическая проба, раздел 11.5. (4) Генеративная модель от внешнего сервиса не требуется: генерация разворачивается самостоятельно. (5) Точность инференса на стороне сервиса признана несущественной. (6) Режим передачи данных по HTTPS согласован (часть 1, раздел 9).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1. Название проекта</w:t>
      </w:r>
    </w:p>
    <w:p>
      <w:pPr>
        <w:spacing w:after="120" w:line="276"/>
        <w:jc w:val="both"/>
      </w:pPr>
      <w:r>
        <w:rPr>
          <w:b/>
          <w:bCs/>
        </w:rPr>
        <w:t xml:space="preserve">Рабочее название:</w:t>
      </w:r>
      <w:r>
        <w:t xml:space="preserve"> «Интеллектуальная база знаний проектного опыта» (внутреннее сокращение — </w:t>
      </w:r>
      <w:r>
        <w:rPr>
          <w:b/>
          <w:bCs/>
        </w:rPr>
        <w:t xml:space="preserve">БЗПО</w:t>
      </w:r>
      <w:r>
        <w:t xml:space="preserve">).</w:t>
      </w:r>
    </w:p>
    <w:p>
      <w:pPr>
        <w:spacing w:after="120" w:line="276"/>
        <w:jc w:val="both"/>
      </w:pPr>
      <w:r>
        <w:rPr>
          <w:b/>
          <w:bCs/>
        </w:rPr>
        <w:t xml:space="preserve">Полное название:</w:t>
      </w:r>
      <w:r>
        <w:t xml:space="preserve"> Система интеллектуального поиска и генерации документов на основе накопленного проектного опыта компании.</w:t>
      </w:r>
    </w:p>
    <w:p>
      <w:pPr>
        <w:spacing w:after="120" w:line="276"/>
        <w:jc w:val="both"/>
      </w:pPr>
      <w:r>
        <w:t xml:space="preserve">Название сознательно не содержит слов «RAG», «LLM» и «ИИ»: перед руководством система защищается как инструмент работы со знаниями компании, а RAG — способ реализации, а не суть.</w:t>
      </w:r>
    </w:p>
    <w:p>
      <w:pPr>
        <w:pBdr>
          <w:top w:val="single" w:color="DCE6F1" w:sz="2"/>
          <w:bottom w:val="single" w:color="DCE6F1" w:sz="2"/>
          <w:left w:val="single" w:color="1F4E79" w:sz="18" w:space="8"/>
          <w:right w:val="single" w:color="DCE6F1" w:sz="2"/>
        </w:pBdr>
        <w:shd w:fill="DCE6F1" w:val="clear"/>
        <w:spacing w:after="160" w:before="120" w:line="276"/>
        <w:ind w:left="120" w:right="120"/>
      </w:pPr>
      <w:r>
        <w:rPr>
          <w:b/>
          <w:bCs/>
        </w:rPr>
        <w:t xml:space="preserve">Внутри проектной команды статус иной: это технический эксперимент.</w:t>
      </w:r>
      <w:r>
        <w:t xml:space="preserve"> Отсюда двойственность документа — он одновременно обосновывает ценность для бизнеса и фиксирует технические гипотезы, каждая из которых может не подтвердиться. Гипотезы перечислены в главе 2 «Открытые вопросы», решения об их проверке или отказе принимаются по замерам на эталонном датасете, а не по общим соображениям.</w:t>
      </w:r>
    </w:p>
    <w:p>
      <w:pPr>
        <w:pStyle w:val="Heading1"/>
        <w:spacing w:after="160" w:before="320"/>
      </w:pPr>
      <w:r>
        <w:t xml:space="preserve">2. Суть проекта и технологический стек</w:t>
      </w:r>
    </w:p>
    <w:p>
      <w:pPr>
        <w:pStyle w:val="Heading2"/>
        <w:spacing w:after="120" w:before="240"/>
      </w:pPr>
      <w:r>
        <w:t xml:space="preserve">2.1. Суть в одном абзаце</w:t>
      </w:r>
    </w:p>
    <w:p>
      <w:pPr>
        <w:spacing w:after="120" w:line="276"/>
        <w:jc w:val="both"/>
      </w:pPr>
      <w:r>
        <w:t xml:space="preserve">Компания накопила около 25 объёмных документов (коммерческие предложения, отчёты, акты, благодарственные письма) общим объёмом порядка 12 500 страниц. Этот опыт сегодня существует в виде файлов на дисках и знаний в головах руководителей проектов. Система превращает этот массив в рабочий инструмент: руководитель проекта формулирует запрос на естественном языке — «опиши наш подход к построению ИТ-стратегии для банка» или «подтверди опыт внедрения СЭД в госсекторе» — и получает </w:t>
      </w:r>
      <w:r>
        <w:rPr>
          <w:b/>
          <w:bCs/>
        </w:rPr>
        <w:t xml:space="preserve">готовый связный текст на русском языке с точными ссылками на документы-первоисточники</w:t>
      </w:r>
      <w:r>
        <w:t xml:space="preserve">, который можно вставить в тендерную заявку или отчёт.</w:t>
      </w:r>
    </w:p>
    <w:p>
      <w:pPr>
        <w:pStyle w:val="Heading2"/>
        <w:spacing w:after="120" w:before="240"/>
      </w:pPr>
      <w:r>
        <w:t xml:space="preserve">2.2. Два целевых сценария</w:t>
      </w:r>
    </w:p>
    <w:p>
      <w:pPr>
        <w:spacing w:after="120" w:line="276"/>
        <w:jc w:val="both"/>
      </w:pPr>
      <w:r>
        <w:t xml:space="preserve">Система решает две задачи, и это важное уточнение относительно версии 1.0 концепции: </w:t>
      </w:r>
      <w:r>
        <w:rPr>
          <w:b/>
          <w:bCs/>
        </w:rPr>
        <w:t xml:space="preserve">обе задачи являются генерацией текста по образцу, а не вопросно-ответной системой.</w:t>
      </w:r>
      <w:r>
        <w:t xml:space="preserve"> Это определяет архитектуру поиска.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00"/>
        <w:gridCol w:w="3526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Сценарий</w:t>
            </w:r>
          </w:p>
        </w:tc>
        <w:tc>
          <w:tcPr>
            <w:tcW w:type="dxa" w:w="3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Что делает пользователь</w:t>
            </w:r>
          </w:p>
        </w:tc>
        <w:tc>
          <w:tcPr>
            <w:tcW w:type="dxa" w:w="352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Что выдаёт система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Сценарий А.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Подготовка тендерной заявки</w:t>
            </w:r>
          </w:p>
        </w:tc>
        <w:tc>
          <w:tcPr>
            <w:tcW w:type="dxa" w:w="3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Указывает тип раздела, отрасль заказчика и требования тендера</w:t>
            </w:r>
          </w:p>
        </w:tc>
        <w:tc>
          <w:tcPr>
            <w:tcW w:type="dxa" w:w="35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Комбинация сценариев Б и В.</w:t>
            </w: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 Для тендерной заявки решающим является подтверждение опыта (сценарий В); описание подхода (сценарий Б) его дополняет. Приоритет при сборке контекста отдаётся подтверждениям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Сценарий Б.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Описание подхода</w:t>
            </w:r>
          </w:p>
        </w:tc>
        <w:tc>
          <w:tcPr>
            <w:tcW w:type="dxa" w:w="3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Формулирует, какой методологический раздел нужен</w:t>
            </w:r>
          </w:p>
        </w:tc>
        <w:tc>
          <w:tcPr>
            <w:tcW w:type="dxa" w:w="35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Структурированный фрагмент, опирающийся на реально применённые в прошлых проектах подходы, со ссылками на проекты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Сценарий В.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Подтверждение опыта</w:t>
            </w:r>
          </w:p>
        </w:tc>
        <w:tc>
          <w:tcPr>
            <w:tcW w:type="dxa" w:w="3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Спрашивает, был ли у компании опыт X</w:t>
            </w:r>
          </w:p>
        </w:tc>
        <w:tc>
          <w:tcPr>
            <w:tcW w:type="dxa" w:w="35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Точный перечень проектов с реквизитами и ссылками на акты и благодарственные письма. </w:t>
            </w:r>
            <w:r>
              <w:rPr>
                <w:b/>
                <w:bCs/>
                <w:color w:val="000000"/>
                <w:sz w:val="19"/>
                <w:szCs w:val="19"/>
              </w:rPr>
              <w:t xml:space="preserve">Не вспомогательный, а основной для тендеров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2.3. Технологический стек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200"/>
        <w:gridCol w:w="3926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Слой</w:t>
            </w:r>
          </w:p>
        </w:tc>
        <w:tc>
          <w:tcPr>
            <w:tcW w:type="dxa" w:w="3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Технология</w:t>
            </w:r>
          </w:p>
        </w:tc>
        <w:tc>
          <w:tcPr>
            <w:tcW w:type="dxa" w:w="392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Обоснование выбора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Подготовка документов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Docling, Tesseract 5 / PaddleOCR — </w:t>
            </w:r>
            <w:r>
              <w:rPr>
                <w:b/>
                <w:bCs/>
                <w:color w:val="000000"/>
                <w:sz w:val="19"/>
                <w:szCs w:val="19"/>
              </w:rPr>
              <w:t xml:space="preserve">описано в части 1</w:t>
            </w:r>
          </w:p>
        </w:tc>
        <w:tc>
          <w:tcPr>
            <w:tcW w:type="dxa" w:w="39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Парсинг, OCR, таблицы, разметка публичности выполняются до входа в настоящий конвейер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Эмбеддинги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BAAI/bge-m3 — внешний сервис компании</w:t>
            </w: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 (OpenAI-совместимый эндпоинт)</w:t>
            </w:r>
          </w:p>
        </w:tc>
        <w:tc>
          <w:tcPr>
            <w:tcW w:type="dxa" w:w="39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Модель совпала с независимо выбранной нами. Вектор 1024, контекст 8192, русский родной. Не занимает нашу VRAM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Лексический поиск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Полнотекстовый поиск PostgreSQL, конфигурация russian</w:t>
            </w:r>
          </w:p>
        </w:tc>
        <w:tc>
          <w:tcPr>
            <w:tcW w:type="dxa" w:w="39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Встроенная морфология русского языка; отдельный индекс и лемматизатор не нужны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Хранилище векторов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PostgreSQL + расширение pgvector, индекс без ANN (точный поиск)</w:t>
            </w:r>
          </w:p>
        </w:tc>
        <w:tc>
          <w:tcPr>
            <w:tcW w:type="dxa" w:w="39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 тыс. векторов — точный перебор занимает миллисекунды; Postgres нужен в любом случае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Реранкинг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BAAI/bge-reranker-v2-m3 — внешний сервис компании</w:t>
            </w:r>
          </w:p>
        </w:tc>
        <w:tc>
          <w:tcPr>
            <w:tcW w:type="dxa" w:w="39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Cross-encoder того же семейства. Эффективность подтверждена замером (см. раздел 9.3)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Генерация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GigaChat-20B-A3B</w:t>
            </w: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 (MoE), квантизация q4_K_M, Ollama, </w:t>
            </w:r>
            <w:r>
              <w:rPr>
                <w:b/>
                <w:bCs/>
                <w:color w:val="000000"/>
                <w:sz w:val="19"/>
                <w:szCs w:val="19"/>
              </w:rPr>
              <w:t xml:space="preserve">хостинг наш</w:t>
            </w:r>
          </w:p>
        </w:tc>
        <w:tc>
          <w:tcPr>
            <w:tcW w:type="dxa" w:w="39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≈12 ГБ VRAM. Активны 3 из 20 млрд параметров. Обучена на русском с нуля. </w:t>
            </w:r>
            <w:r>
              <w:rPr>
                <w:b/>
                <w:bCs/>
                <w:color w:val="000000"/>
                <w:sz w:val="19"/>
                <w:szCs w:val="19"/>
              </w:rPr>
              <w:t xml:space="preserve">Рабочее окно контекста — 16 тыс. токенов</w:t>
            </w: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 (`num_ctx`), а не 131 тыс. из карточки модели: см. раздел 11.2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БД подтверждений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Excel как интерфейс ввода + автоматическая валидация и загрузка в SQLite/Postgres</w:t>
            </w:r>
          </w:p>
        </w:tc>
        <w:tc>
          <w:tcPr>
            <w:tcW w:type="dxa" w:w="39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Люди умеют работать в Excel; алгоритм отвечает за целостность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Оркестрация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Python: LangChain или LlamaIndex (либо собственный код — пайплайн простой)</w:t>
            </w:r>
          </w:p>
        </w:tc>
        <w:tc>
          <w:tcPr>
            <w:tcW w:type="dxa" w:w="39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На таком масштабе фреймворк не обязателен и добавляет скрытую сложность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Инференс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vLLM или llama.cpp/Ollama на одной GPU</w:t>
            </w:r>
          </w:p>
        </w:tc>
        <w:tc>
          <w:tcPr>
            <w:tcW w:type="dxa" w:w="39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vLLM даёт лучшую пропускную способность при параллельных запросах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Наблюдаемость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Langfuse, self-hosted</w:t>
            </w: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 (docker-compose, on-premise)</w:t>
            </w:r>
          </w:p>
        </w:tc>
        <w:tc>
          <w:tcPr>
            <w:tcW w:type="dxa" w:w="39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Трассы конвейера, версионирование промптов, эталонные датасеты, прогоны экспериментов. См. главу 13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Интерфейс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Веб-приложение (Streamlit на PoC, далее — полноценный фронтенд)</w:t>
            </w:r>
          </w:p>
        </w:tc>
        <w:tc>
          <w:tcPr>
            <w:tcW w:type="dxa" w:w="39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18 пользователей на старте, требуется история запросов и экспорт в Word</w:t>
            </w:r>
          </w:p>
        </w:tc>
      </w:tr>
    </w:tbl>
    <w:p>
      <w:pPr>
        <w:spacing w:after="120"/>
      </w:pPr>
    </w:p>
    <w:p>
      <w:pPr>
        <w:pBdr>
          <w:top w:val="single" w:color="E2EFDA" w:sz="2"/>
          <w:bottom w:val="single" w:color="E2EFDA" w:sz="2"/>
          <w:left w:val="single" w:color="1F4E79" w:sz="18" w:space="8"/>
          <w:right w:val="single" w:color="E2EFDA" w:sz="2"/>
        </w:pBdr>
        <w:shd w:fill="E2EFDA" w:val="clear"/>
        <w:spacing w:after="160" w:before="120" w:line="276"/>
        <w:ind w:left="120" w:right="120"/>
      </w:pPr>
      <w:r>
        <w:rPr>
          <w:b/>
          <w:bCs/>
        </w:rPr>
        <w:t xml:space="preserve">Ключевое отличие от версии 1.0:</w:t>
      </w:r>
      <w:r>
        <w:t xml:space="preserve"> из архитектуры исключён LLM-роутер. Система всегда обращается к обоим источникам данных — векторной базе и БД подтверждений — параллельно. При объёме в 20 тыс. чанков и локальном железе запрос к обоим источникам занимает десятки миллисекунд, тогда как роутер добавлял отдельный вызов большой языковой модели перед каждым запросом, собственный класс ошибок и неизмеряемую точность классификации.</w:t>
      </w:r>
    </w:p>
    <w:p>
      <w:pPr>
        <w:pStyle w:val="Heading1"/>
        <w:spacing w:after="160" w:before="320"/>
      </w:pPr>
      <w:r>
        <w:t xml:space="preserve">3. Ожидаемый эффект</w:t>
      </w:r>
    </w:p>
    <w:p>
      <w:pPr>
        <w:spacing w:after="120" w:line="276"/>
        <w:jc w:val="both"/>
      </w:pPr>
      <w:r>
        <w:t xml:space="preserve">Раздел построен на фактических вводных: </w:t>
      </w:r>
      <w:r>
        <w:rPr>
          <w:b/>
          <w:bCs/>
        </w:rPr>
        <w:t xml:space="preserve">1–3 документа в месяц</w:t>
      </w:r>
      <w:r>
        <w:t xml:space="preserve">, подготовка одного документа занимает </w:t>
      </w:r>
      <w:r>
        <w:rPr>
          <w:b/>
          <w:bCs/>
        </w:rPr>
        <w:t xml:space="preserve">3–5 рабочих дней руководителя проекта</w:t>
      </w:r>
      <w:r>
        <w:t xml:space="preserve">, пользователей на старте — </w:t>
      </w:r>
      <w:r>
        <w:rPr>
          <w:b/>
          <w:bCs/>
        </w:rPr>
        <w:t xml:space="preserve">12 РП и 6 директоров</w:t>
      </w:r>
      <w:r>
        <w:t xml:space="preserve">, в перспективе до 100 человек.</w:t>
      </w:r>
    </w:p>
    <w:p>
      <w:pPr>
        <w:pStyle w:val="Heading2"/>
        <w:spacing w:after="120" w:before="240"/>
      </w:pPr>
      <w:r>
        <w:t xml:space="preserve">3.1. Честная оценка экономии времени</w:t>
      </w:r>
    </w:p>
    <w:p>
      <w:pPr>
        <w:spacing w:after="120" w:line="276"/>
        <w:jc w:val="both"/>
      </w:pPr>
      <w:r>
        <w:t xml:space="preserve">При объёме 3 документа в месяц по 4 дня трудозатрат верхняя граница экономии составляет 12 человеко-дней в месяц. Реалистичное сокращение на этапе PoC — 30–40% времени, то есть </w:t>
      </w:r>
      <w:r>
        <w:rPr>
          <w:b/>
          <w:bCs/>
        </w:rPr>
        <w:t xml:space="preserve">4–5 человеко-дней в месяц, или примерно 0,25 FTE</w:t>
      </w:r>
      <w:r>
        <w:t xml:space="preserve">.</w:t>
      </w:r>
    </w:p>
    <w:p>
      <w:pPr>
        <w:pBdr>
          <w:top w:val="single" w:color="FBE4D5" w:sz="2"/>
          <w:bottom w:val="single" w:color="FBE4D5" w:sz="2"/>
          <w:left w:val="single" w:color="1F4E79" w:sz="18" w:space="8"/>
          <w:right w:val="single" w:color="FBE4D5" w:sz="2"/>
        </w:pBdr>
        <w:shd w:fill="FBE4D5" w:val="clear"/>
        <w:spacing w:after="160" w:before="120" w:line="276"/>
        <w:ind w:left="120" w:right="120"/>
      </w:pPr>
      <w:r>
        <w:rPr>
          <w:b/>
          <w:bCs/>
        </w:rPr>
        <w:t xml:space="preserve">Это следует признать прямо:</w:t>
      </w:r>
      <w:r>
        <w:t xml:space="preserve"> на одной экономии времени проект не окупается и защищать его этим аргументом не нужно. Руководство легко посчитает, что 0,25 FTE не стоит закупки сервера и нескольких месяцев разработки. Основания для проекта лежат в трёх других плоскостях, и они сильнее.</w:t>
      </w:r>
    </w:p>
    <w:p>
      <w:pPr>
        <w:pStyle w:val="Heading2"/>
        <w:spacing w:after="120" w:before="240"/>
      </w:pPr>
      <w:r>
        <w:t xml:space="preserve">3.2. Основные эффекты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100"/>
        <w:gridCol w:w="2826"/>
      </w:tblGrid>
      <w:tr>
        <w:trPr>
          <w:tblHeader/>
        </w:trPr>
        <w:tc>
          <w:tcPr>
            <w:tcW w:type="dxa" w:w="2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Эффект</w:t>
            </w:r>
          </w:p>
        </w:tc>
        <w:tc>
          <w:tcPr>
            <w:tcW w:type="dxa" w:w="4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Механизм</w:t>
            </w:r>
          </w:p>
        </w:tc>
        <w:tc>
          <w:tcPr>
            <w:tcW w:type="dxa" w:w="282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Как измерить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Рост доли выигранных тендеров</w:t>
            </w:r>
          </w:p>
        </w:tc>
        <w:tc>
          <w:tcPr>
            <w:tcW w:type="dxa" w:w="4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Сегодня релевантный опыт теряется: РП не знает или не вспоминает, что аналогичный проект уже был у другой команды. Система находит его гарантированно, и заявка становится содержательно сильнее</w:t>
            </w:r>
          </w:p>
        </w:tc>
        <w:tc>
          <w:tcPr>
            <w:tcW w:type="dxa" w:w="28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Доля выигранных тендеров до и после внедрения. Требует введения учёта результата тендера — сейчас его нет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Сохранение экспертизы компании</w:t>
            </w:r>
          </w:p>
        </w:tc>
        <w:tc>
          <w:tcPr>
            <w:tcW w:type="dxa" w:w="4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Опыт перестаёт существовать только в головах. Уход ключевого РП или директора перестаёт означать потерю знания о том, как компания решала задачу</w:t>
            </w:r>
          </w:p>
        </w:tc>
        <w:tc>
          <w:tcPr>
            <w:tcW w:type="dxa" w:w="28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Доля запросов, на которые система отвечает без обращения к живому эксперту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Разгрузка директоров</w:t>
            </w:r>
          </w:p>
        </w:tc>
        <w:tc>
          <w:tcPr>
            <w:tcW w:type="dxa" w:w="4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Сегодня РП вынужден идти к директору с вопросом «а был ли у нас проект по…». Шесть директоров — узкое горлышко для двенадцати РП</w:t>
            </w:r>
          </w:p>
        </w:tc>
        <w:tc>
          <w:tcPr>
            <w:tcW w:type="dxa" w:w="28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Количество обращений РП к директорам по вопросам прошлого опыта (замерить до старта опросом)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Скорость подготовки</w:t>
            </w:r>
          </w:p>
        </w:tc>
        <w:tc>
          <w:tcPr>
            <w:tcW w:type="dxa" w:w="4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Сокращение фазы поиска и сборки материала; черновик раздела появляется за минуты вместо часов</w:t>
            </w:r>
          </w:p>
        </w:tc>
        <w:tc>
          <w:tcPr>
            <w:tcW w:type="dxa" w:w="28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Календарное время подготовки документа: базовая линия 3–5 дней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3.3. Аргумент, которым стоит защищать проект</w:t>
      </w:r>
    </w:p>
    <w:p>
      <w:pPr>
        <w:spacing w:after="120" w:line="276"/>
        <w:jc w:val="both"/>
      </w:pPr>
      <w:r>
        <w:t xml:space="preserve">Сильнейший аргумент — асимметрия ставок. Один выигранный тендер, который иначе был бы проигран или не подан, окупает всю разработку и закупку железа многократно. При 1–3 заявках в месяц и высокой стоимости контракта достаточно </w:t>
      </w:r>
      <w:r>
        <w:rPr>
          <w:b/>
          <w:bCs/>
        </w:rPr>
        <w:t xml:space="preserve">одной дополнительной победы в год</w:t>
      </w:r>
      <w:r>
        <w:t xml:space="preserve">, чтобы проект окупился.</w:t>
      </w:r>
    </w:p>
    <w:p>
      <w:pPr>
        <w:spacing w:after="120" w:line="276"/>
        <w:jc w:val="both"/>
      </w:pPr>
      <w:r>
        <w:t xml:space="preserve">Сопутствующий эффект, который появляется бесплатно: сам процесс индексации даёт компании </w:t>
      </w:r>
      <w:r>
        <w:rPr>
          <w:b/>
          <w:bCs/>
        </w:rPr>
        <w:t xml:space="preserve">актуальный реестр проектного опыта</w:t>
      </w:r>
      <w:r>
        <w:t xml:space="preserve"> и выявляет, какие формулировки переиспользуются во всех предложениях, — то есть определяет проверенное практикой ядро корпоративных материалов.</w:t>
      </w:r>
    </w:p>
    <w:p>
      <w:pPr>
        <w:pBdr>
          <w:top w:val="single" w:color="FBE4D5" w:sz="2"/>
          <w:bottom w:val="single" w:color="FBE4D5" w:sz="2"/>
          <w:left w:val="single" w:color="1F4E79" w:sz="18" w:space="8"/>
          <w:right w:val="single" w:color="FBE4D5" w:sz="2"/>
        </w:pBdr>
        <w:shd w:fill="FBE4D5" w:val="clear"/>
        <w:spacing w:after="160" w:before="120" w:line="276"/>
        <w:ind w:left="120" w:right="120"/>
      </w:pPr>
      <w:r>
        <w:rPr>
          <w:b/>
          <w:bCs/>
        </w:rPr>
        <w:t xml:space="preserve">Обязательное условие измеримости эффекта.</w:t>
      </w:r>
      <w:r>
        <w:t xml:space="preserve"> Сегодня выигранные и проигранные предложения в компании не разделены. Без этого признака невозможно ни учить систему на успешных образцах, ни доказать влияние на долю побед. Добавление одного поля «результат тендера» в реестр не требует ресурсов, но должно быть сделано </w:t>
      </w:r>
      <w:r>
        <w:rPr>
          <w:b/>
          <w:bCs/>
        </w:rPr>
        <w:t xml:space="preserve">до старта PoC</w:t>
      </w:r>
      <w:r>
        <w:t xml:space="preserve">, включая ретроспективное заполнение по 25 существующим документам.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4. Вводные, ограничения и масштаб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3826"/>
      </w:tblGrid>
      <w:tr>
        <w:trPr>
          <w:tblHeader/>
        </w:trPr>
        <w:tc>
          <w:tcPr>
            <w:tcW w:type="dxa" w:w="1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3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Значение</w:t>
            </w:r>
          </w:p>
        </w:tc>
        <w:tc>
          <w:tcPr>
            <w:tcW w:type="dxa" w:w="382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Следствие для архитектуры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Объём корпуса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≈25 документов, до 500 страниц каждый ≈ 12 500 страниц ≈ 7–9 млн токенов</w:t>
            </w:r>
          </w:p>
        </w:tc>
        <w:tc>
          <w:tcPr>
            <w:tcW w:type="dxa" w:w="38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После чанкинга — </w:t>
            </w:r>
            <w:r>
              <w:rPr>
                <w:b/>
                <w:bCs/>
                <w:color w:val="000000"/>
                <w:sz w:val="19"/>
                <w:szCs w:val="19"/>
              </w:rPr>
              <w:t xml:space="preserve">18–20 тыс. чанков</w:t>
            </w: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. Это малый корпус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Форматы источников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Word, PDF, презентации, PDF-сканы и фотографии. Единого шаблона нет</w:t>
            </w:r>
          </w:p>
        </w:tc>
        <w:tc>
          <w:tcPr>
            <w:tcW w:type="dxa" w:w="38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Обрабатываются слоем подготовки данных, </w:t>
            </w:r>
            <w:r>
              <w:rPr>
                <w:b/>
                <w:bCs/>
                <w:color w:val="000000"/>
                <w:sz w:val="19"/>
                <w:szCs w:val="19"/>
              </w:rPr>
              <w:t xml:space="preserve">часть 1</w:t>
            </w: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. Настоящий документ принимает на вход уже структурированный текст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Размещение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Только внутренние серверы компании, on-premise. Личные устройства исключены</w:t>
            </w:r>
          </w:p>
        </w:tc>
        <w:tc>
          <w:tcPr>
            <w:tcW w:type="dxa" w:w="38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Все модели — открытые, локальный инференс. Облачные API допустимы только для офлайн-оценки на обезличенных данных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Допустимая латентность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До 1 минуты на этапе PoC</w:t>
            </w:r>
          </w:p>
        </w:tc>
        <w:tc>
          <w:tcPr>
            <w:tcW w:type="dxa" w:w="38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Ограничение мягкое; позволяет обойтись одной GPU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Пользователи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 РП + 6 директоров = 18 на старте, до 100 в перспективе</w:t>
            </w:r>
          </w:p>
        </w:tc>
        <w:tc>
          <w:tcPr>
            <w:tcW w:type="dxa" w:w="38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Пиковая параллельность 2–3 запроса. Одной GPU достаточно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Интенсивность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1–3 документа в месяц</w:t>
            </w:r>
          </w:p>
        </w:tc>
        <w:tc>
          <w:tcPr>
            <w:tcW w:type="dxa" w:w="38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Нагрузка практически нулевая; требования к пропускной способности минимальны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Формат результата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Готовый человеческий текст: шаблон или структурированный фрагмент отчёта</w:t>
            </w:r>
          </w:p>
        </w:tc>
        <w:tc>
          <w:tcPr>
            <w:tcW w:type="dxa" w:w="38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Задача — генерация по образцу, не вопросно-ответная система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Эталонный датасет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Отсутствует</w:t>
            </w:r>
          </w:p>
        </w:tc>
        <w:tc>
          <w:tcPr>
            <w:tcW w:type="dxa" w:w="38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Создание датасета — задача №1, до написания кода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Ограничения по NDA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Реализуются флагом в БД подтверждений</w:t>
            </w:r>
          </w:p>
        </w:tc>
        <w:tc>
          <w:tcPr>
            <w:tcW w:type="dxa" w:w="38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Проверка на выходе обязательна</w:t>
            </w:r>
          </w:p>
        </w:tc>
      </w:tr>
      <w:tr>
        <w:tc>
          <w:tcPr>
            <w:tcW w:type="dxa" w:w="18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Эмбеддинги и реранкинг</w:t>
            </w:r>
          </w:p>
        </w:tc>
        <w:tc>
          <w:tcPr>
            <w:tcW w:type="dxa" w:w="34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Предоставлены внутренним сервисом компании на общей A100. Модели зафиксированы, свои поднять нельзя. Генерация не предоставляется</w:t>
            </w:r>
          </w:p>
        </w:tc>
        <w:tc>
          <w:tcPr>
            <w:tcW w:type="dxa" w:w="3826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Освобождает нашу VRAM, но создаёт внешнюю зависимость на каждый запрос. См. раздел 11.1</w:t>
            </w:r>
          </w:p>
        </w:tc>
      </w:tr>
    </w:tbl>
    <w:p>
      <w:pPr>
        <w:spacing w:after="120"/>
      </w:pPr>
    </w:p>
    <w:p>
      <w:pPr>
        <w:pBdr>
          <w:top w:val="single" w:color="DCE6F1" w:sz="2"/>
          <w:bottom w:val="single" w:color="DCE6F1" w:sz="2"/>
          <w:left w:val="single" w:color="1F4E79" w:sz="18" w:space="8"/>
          <w:right w:val="single" w:color="DCE6F1" w:sz="2"/>
        </w:pBdr>
        <w:shd w:fill="DCE6F1" w:val="clear"/>
        <w:spacing w:after="160" w:before="120" w:line="276"/>
        <w:ind w:left="120" w:right="120"/>
      </w:pPr>
      <w:r>
        <w:rPr>
          <w:b/>
          <w:bCs/>
        </w:rPr>
        <w:t xml:space="preserve">Почему масштаб — определяющий фактор.</w:t>
      </w:r>
      <w:r>
        <w:t xml:space="preserve"> 20 тыс. векторов размерностью 1024 занимают около 80 МБ. Такой массив помещается в оперативную память и обрабатывается полным перебором за единицы миллисекунд. Специализированные векторные СУБД (FAISS, Milvus, Qdrant) проектировались для миллионов и миллиардов векторов; на этом объёме они не дают выигрыша, но добавляют отдельный сервис, отдельный бэкап и отдельную точку отказа. Мы на два порядка ниже границы, за которой они становятся нужны.</w:t>
      </w:r>
    </w:p>
    <w:p>
      <w:pPr>
        <w:pStyle w:val="Heading1"/>
        <w:spacing w:after="160" w:before="320"/>
      </w:pPr>
      <w:r>
        <w:t xml:space="preserve">5. Общая архитектура</w:t>
      </w:r>
    </w:p>
    <w:p>
      <w:pPr>
        <w:pBdr>
          <w:top w:val="single" w:color="DCE6F1" w:sz="2"/>
          <w:bottom w:val="single" w:color="DCE6F1" w:sz="2"/>
          <w:left w:val="single" w:color="1F4E79" w:sz="18" w:space="8"/>
          <w:right w:val="single" w:color="DCE6F1" w:sz="2"/>
        </w:pBdr>
        <w:shd w:fill="DCE6F1" w:val="clear"/>
        <w:spacing w:after="160" w:before="120" w:line="276"/>
        <w:ind w:left="120" w:right="120"/>
      </w:pPr>
      <w:r>
        <w:rPr>
          <w:b/>
          <w:bCs/>
        </w:rPr>
        <w:t xml:space="preserve">Настоящий документ описывает слои 1–5 конвейера.</w:t>
      </w:r>
      <w:r>
        <w:t xml:space="preserve"> Предшествующий слой подготовки данных — классификация страниц, парсинг, OCR, обработка таблиц, разметка конфиденциальности — вынесен в отдельный документ «Распознавание документов и анонимизация» (часть 1). Там же приведены потоки данных и режим безопасности.</w:t>
      </w:r>
    </w:p>
    <w:p>
      <w:pPr>
        <w:pBdr>
          <w:top w:val="single" w:color="FBE4D5" w:sz="2"/>
          <w:bottom w:val="single" w:color="FBE4D5" w:sz="2"/>
          <w:left w:val="single" w:color="1F4E79" w:sz="18" w:space="8"/>
          <w:right w:val="single" w:color="FBE4D5" w:sz="2"/>
        </w:pBdr>
        <w:shd w:fill="FBE4D5" w:val="clear"/>
        <w:spacing w:after="160" w:before="120" w:line="276"/>
        <w:ind w:left="120" w:right="120"/>
      </w:pPr>
      <w:r>
        <w:rPr>
          <w:b/>
          <w:bCs/>
        </w:rPr>
        <w:t xml:space="preserve">Граница между частями оформляется контрактом данных.</w:t>
      </w:r>
      <w:r>
        <w:t xml:space="preserve"> Часть 1 передаёт часть 2 структурированный документ по фиксированной JSON-схеме: иерархия разделов с уровнями, типы блоков (абзац, таблица, заголовок, подпись), диапазоны страниц, уверенность OCR по блокам, идентификатор сопоставленного проекта. Без утверждённой схемы модуль индексации нельзя начинать разрабатывать — она входит в блокирующие пункты этапа 0.</w:t>
      </w:r>
    </w:p>
    <w:p>
      <w:pPr>
        <w:spacing w:after="120" w:line="276"/>
        <w:jc w:val="both"/>
      </w:pPr>
      <w:r>
        <w:t xml:space="preserve">Первый слой работает офлайн при загрузке документов, остальные четыре — на каждый запрос пользователя. Полная схема конвейера с указанием исполнителя каждого шага приведена в приложении Б.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3200"/>
        <w:gridCol w:w="2426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Слой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Режим</w:t>
            </w:r>
          </w:p>
        </w:tc>
        <w:tc>
          <w:tcPr>
            <w:tcW w:type="dxa" w:w="3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Содержание</w:t>
            </w:r>
          </w:p>
        </w:tc>
        <w:tc>
          <w:tcPr>
            <w:tcW w:type="dxa" w:w="242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Чем выполняется</w:t>
            </w:r>
          </w:p>
        </w:tc>
      </w:tr>
      <w:tr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*Подготовка данных*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*Офлайн*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*Парсинг, OCR, таблицы, разметка публичности* — </w:t>
            </w:r>
            <w:r>
              <w:rPr>
                <w:b/>
                <w:bCs/>
                <w:color w:val="000000"/>
                <w:sz w:val="19"/>
                <w:szCs w:val="19"/>
              </w:rPr>
              <w:t xml:space="preserve">см. часть 1</w:t>
            </w:r>
          </w:p>
        </w:tc>
        <w:tc>
          <w:tcPr>
            <w:tcW w:type="dxa" w:w="24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*Docling, Tesseract / PaddleOCR*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1. Индексация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Офлайн. Первичная — ночь (обогащение), переиндексация — минуты (кэш)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Иерархический чанкинг, обогащение контекстом, метаданные, дедупликация, векторизация в два индекса</w:t>
            </w:r>
          </w:p>
        </w:tc>
        <w:tc>
          <w:tcPr>
            <w:tcW w:type="dxa" w:w="24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bge-m3 (внешний сервис), GigaChat (наш) для обогащения, PostgreSQL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2. Хранилище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Единая база: векторы, полнотекстовый индекс, метаданные чанков, БД подтверждений</w:t>
            </w:r>
          </w:p>
        </w:tc>
        <w:tc>
          <w:tcPr>
            <w:tcW w:type="dxa" w:w="24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PostgreSQL + pgvector</w:t>
            </w:r>
          </w:p>
        </w:tc>
      </w:tr>
      <w:tr>
        <w:tc>
          <w:tcPr>
            <w:tcW w:type="dxa" w:w="1900"/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3. Разбор запроса</w:t>
            </w:r>
          </w:p>
        </w:tc>
        <w:tc>
          <w:tcPr>
            <w:tcW w:type="dxa" w:w="1500"/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На запрос, ≈4–8 с</w:t>
            </w:r>
          </w:p>
        </w:tc>
        <w:tc>
          <w:tcPr>
            <w:tcW w:type="dxa" w:w="3200"/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Классификация типа задачи, выбор шаблона плана, декомпозиция по граням подхода, генерация гипотез HyDE</w:t>
            </w:r>
          </w:p>
        </w:tc>
        <w:tc>
          <w:tcPr>
            <w:tcW w:type="dxa" w:w="2426"/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GigaChat (наш), Jinja2. </w:t>
            </w:r>
            <w:r>
              <w:rPr>
                <w:b/>
                <w:bCs/>
                <w:color w:val="000000"/>
                <w:sz w:val="19"/>
                <w:szCs w:val="19"/>
              </w:rPr>
              <w:t xml:space="preserve">Новое в версии 2.2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4. Поиск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На запрос, ≈0,3–0,7 с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Два ключа на грань (запрос и гипотеза) → векторный и полнотекстовый поиск → RRF → реранкинг → MMR. Параллельно — запрос в БД подтверждений</w:t>
            </w:r>
          </w:p>
        </w:tc>
        <w:tc>
          <w:tcPr>
            <w:tcW w:type="dxa" w:w="24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bge-m3 и bge-reranker-v2-m3 (внешний сервис), PostgreSQL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5. Генерация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На запрос, ≈7–28 с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Сборка контекста по граням, шаблон раздела, генерация, простановка ссылок, контроль NDA</w:t>
            </w:r>
          </w:p>
        </w:tc>
        <w:tc>
          <w:tcPr>
            <w:tcW w:type="dxa" w:w="24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GigaChat-20B-A3B (наш сервер)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t xml:space="preserve">Обращение к векторной базе и к БД подтверждений происходит </w:t>
      </w:r>
      <w:r>
        <w:rPr>
          <w:b/>
          <w:bCs/>
        </w:rPr>
        <w:t xml:space="preserve">всегда и параллельно</w:t>
      </w:r>
      <w:r>
        <w:t xml:space="preserve">. Языковая модель получает оба набора данных и сама решает, что из них относится к текущему запросу, — в момент генерации эта задача решается бесплатно, тогда как выделенный роутер решал бы её отдельным вызовом заранее и с риском ошибки.</w:t>
      </w:r>
    </w:p>
    <w:p>
      <w:pPr>
        <w:pBdr>
          <w:top w:val="single" w:color="DCE6F1" w:sz="2"/>
          <w:bottom w:val="single" w:color="DCE6F1" w:sz="2"/>
          <w:left w:val="single" w:color="1F4E79" w:sz="18" w:space="8"/>
          <w:right w:val="single" w:color="DCE6F1" w:sz="2"/>
        </w:pBdr>
        <w:shd w:fill="DCE6F1" w:val="clear"/>
        <w:spacing w:after="160" w:before="120" w:line="276"/>
        <w:ind w:left="120" w:right="120"/>
      </w:pPr>
      <w:r>
        <w:rPr>
          <w:b/>
          <w:bCs/>
        </w:rPr>
        <w:t xml:space="preserve">Разграничение ответственности между слоями 3 и 4.</w:t>
      </w:r>
      <w:r>
        <w:t xml:space="preserve"> Слой разбора определяет, *что* искать, и не выбирает источник данных. Слой поиска исполняет план по всем источникам сразу. Это существенно отличается от исключённого роутера, который выбирал источник и потому был устраним; подробное сопоставление приведено в разделе 8.1.</w:t>
      </w:r>
    </w:p>
    <w:p>
      <w:pPr>
        <w:pStyle w:val="Heading2"/>
        <w:spacing w:after="120" w:before="240"/>
      </w:pPr>
      <w:r>
        <w:t xml:space="preserve">Границы контуров PoC и MVP+</w:t>
      </w:r>
    </w:p>
    <w:p>
      <w:pPr>
        <w:spacing w:after="120" w:line="276"/>
        <w:jc w:val="both"/>
      </w:pPr>
      <w:r>
        <w:t xml:space="preserve">Полная последовательность шагов с обозначением контуров приведена в приложении Б в нотации EPC. Сводка по компонентам: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900"/>
        <w:gridCol w:w="900"/>
        <w:gridCol w:w="4326"/>
      </w:tblGrid>
      <w:tr>
        <w:trPr>
          <w:tblHeader/>
        </w:trPr>
        <w:tc>
          <w:tcPr>
            <w:tcW w:type="dxa" w:w="2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Компонент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PoC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MVP+</w:t>
            </w:r>
          </w:p>
        </w:tc>
        <w:tc>
          <w:tcPr>
            <w:tcW w:type="dxa" w:w="432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Основание разделения</w:t>
            </w:r>
          </w:p>
        </w:tc>
      </w:tr>
      <w:tr>
        <w:tc>
          <w:tcPr>
            <w:tcW w:type="dxa" w:w="2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Чанкинг, метаданные, дедупликация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Да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База, без которой ничего не работает</w:t>
            </w:r>
          </w:p>
        </w:tc>
      </w:tr>
      <w:tr>
        <w:tc>
          <w:tcPr>
            <w:tcW w:type="dxa" w:w="2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Обогащение контекстом при индексации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Да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Один из наибольших приростов полноты при малых затратах</w:t>
            </w:r>
          </w:p>
        </w:tc>
      </w:tr>
      <w:tr>
        <w:tc>
          <w:tcPr>
            <w:tcW w:type="dxa" w:w="2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Два индекса: чанковый и секционный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Да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Секционный необходим для генерации по образцу</w:t>
            </w:r>
          </w:p>
        </w:tc>
      </w:tr>
      <w:tr>
        <w:tc>
          <w:tcPr>
            <w:tcW w:type="dxa" w:w="2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Гибридный поиск, RRF, реранкинг, MMR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Да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Ядро поиска</w:t>
            </w:r>
          </w:p>
        </w:tc>
      </w:tr>
      <w:tr>
        <w:tc>
          <w:tcPr>
            <w:tcW w:type="dxa" w:w="2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Порог отсечения «не найдено»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Да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Без него система вынуждена отвечать всегда</w:t>
            </w:r>
          </w:p>
        </w:tc>
      </w:tr>
      <w:tr>
        <w:tc>
          <w:tcPr>
            <w:tcW w:type="dxa" w:w="2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Декомпозиция по граням подхода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Да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Проверяемая гипотеза, замер на этапе 3.5</w:t>
            </w:r>
          </w:p>
        </w:tc>
      </w:tr>
      <w:tr>
        <w:tc>
          <w:tcPr>
            <w:tcW w:type="dxa" w:w="2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HyDE с двумя ключами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Да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То же</w:t>
            </w:r>
          </w:p>
        </w:tc>
      </w:tr>
      <w:tr>
        <w:tc>
          <w:tcPr>
            <w:tcW w:type="dxa" w:w="2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БД подтверждений, параметризованные запросы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Да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Основной источник для тендерных заявок</w:t>
            </w:r>
          </w:p>
        </w:tc>
      </w:tr>
      <w:tr>
        <w:tc>
          <w:tcPr>
            <w:tcW w:type="dxa" w:w="2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Фильтрация закрытых проектов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Да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Одно условие в SQL, закрывает основной риск</w:t>
            </w:r>
          </w:p>
        </w:tc>
      </w:tr>
      <w:tr>
        <w:tc>
          <w:tcPr>
            <w:tcW w:type="dxa" w:w="2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Маркеры [N] и два списка в конце текста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Да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Требование к формату результата</w:t>
            </w:r>
          </w:p>
        </w:tc>
      </w:tr>
      <w:tr>
        <w:tc>
          <w:tcPr>
            <w:tcW w:type="dxa" w:w="2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Трассировка в Langfuse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Да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Разворачивается до начала измерений</w:t>
            </w:r>
          </w:p>
        </w:tc>
      </w:tr>
      <w:tr>
        <w:tc>
          <w:tcPr>
            <w:tcW w:type="dxa" w:w="2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Обезличивание и сверка результата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Да</w:t>
            </w:r>
          </w:p>
        </w:tc>
        <w:tc>
          <w:tcPr>
            <w:tcW w:type="dxa" w:w="43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Избыточно сложно для PoC; компенсируется вычиткой человеком</w:t>
            </w:r>
          </w:p>
        </w:tc>
      </w:tr>
      <w:tr>
        <w:tc>
          <w:tcPr>
            <w:tcW w:type="dxa" w:w="2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Жёсткий фильтр по явному выбору пользователя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Да</w:t>
            </w:r>
          </w:p>
        </w:tc>
        <w:tc>
          <w:tcPr>
            <w:tcW w:type="dxa" w:w="43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Требует проработанного интерфейса с выбором</w:t>
            </w:r>
          </w:p>
        </w:tc>
      </w:tr>
      <w:tr>
        <w:tc>
          <w:tcPr>
            <w:tcW w:type="dxa" w:w="2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Граф связей между чанками и расширение выдачи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Да</w:t>
            </w:r>
          </w:p>
        </w:tc>
        <w:tc>
          <w:tcPr>
            <w:tcW w:type="dxa" w:w="43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Оценивается только относительно базовой линии PoC</w:t>
            </w:r>
          </w:p>
        </w:tc>
      </w:tr>
      <w:tr>
        <w:tc>
          <w:tcPr>
            <w:tcW w:type="dxa" w:w="2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Предварительные резюме документов и разделов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Да</w:t>
            </w:r>
          </w:p>
        </w:tc>
        <w:tc>
          <w:tcPr>
            <w:tcW w:type="dxa" w:w="43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Закрывает глобальные запросы; не блокирует основные сценарии</w:t>
            </w:r>
          </w:p>
        </w:tc>
      </w:tr>
      <w:tr>
        <w:tc>
          <w:tcPr>
            <w:tcW w:type="dxa" w:w="2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Перенос эмбеддингов на своё оборудование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По необходимости</w:t>
            </w:r>
          </w:p>
        </w:tc>
        <w:tc>
          <w:tcPr>
            <w:tcW w:type="dxa" w:w="43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Только при систематических сбоях внешнего сервиса</w:t>
            </w:r>
          </w:p>
        </w:tc>
      </w:tr>
      <w:tr>
        <w:tc>
          <w:tcPr>
            <w:tcW w:type="dxa" w:w="2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Эксперимент с LightRAG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Отдельно</w:t>
            </w:r>
          </w:p>
        </w:tc>
        <w:tc>
          <w:tcPr>
            <w:tcW w:type="dxa" w:w="43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В архитектуру не встраивается</w:t>
            </w: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, самостоятельный замер после PoC</w:t>
            </w:r>
          </w:p>
        </w:tc>
      </w:tr>
    </w:tbl>
    <w:p>
      <w:pPr>
        <w:spacing w:after="120"/>
      </w:pPr>
    </w:p>
    <w:p>
      <w:pPr>
        <w:pBdr>
          <w:top w:val="single" w:color="DCE6F1" w:sz="2"/>
          <w:bottom w:val="single" w:color="DCE6F1" w:sz="2"/>
          <w:left w:val="single" w:color="1F4E79" w:sz="18" w:space="8"/>
          <w:right w:val="single" w:color="DCE6F1" w:sz="2"/>
        </w:pBdr>
        <w:shd w:fill="DCE6F1" w:val="clear"/>
        <w:spacing w:after="160" w:before="120" w:line="276"/>
        <w:ind w:left="120" w:right="120"/>
      </w:pPr>
      <w:r>
        <w:rPr>
          <w:b/>
          <w:bCs/>
        </w:rPr>
        <w:t xml:space="preserve">Принцип разделения.</w:t>
      </w:r>
      <w:r>
        <w:t xml:space="preserve"> В PoC входит всё, без чего невозможно измерить базовое качество, и всё, что проверяет заявленные гипотезы. За его пределы вынесено то, что улучшает уже работающую систему, требует проработанного интерфейса либо оценивается только в сравнении с базовой линией.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6. Слой 1. Чанкинг, метаданные и дедупликация</w:t>
      </w:r>
    </w:p>
    <w:p>
      <w:pPr>
        <w:pStyle w:val="Heading2"/>
        <w:spacing w:after="120" w:before="240"/>
      </w:pPr>
      <w:r>
        <w:t xml:space="preserve">6.1. Иерархический чанкинг с границами размера</w:t>
      </w:r>
    </w:p>
    <w:p>
      <w:pPr>
        <w:spacing w:after="120" w:line="276"/>
        <w:jc w:val="both"/>
      </w:pPr>
      <w:r>
        <w:t xml:space="preserve">Принцип «чанкинг следует структуре документа, а не фиксированному числу символов» сохраняется, но в версии 1.0 он не был доведён до реализуемости. Разделы КП бывают по 30 страниц — такой раздел не может быть одним чанком. Необходимы явные границы: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226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2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Значение</w:t>
            </w:r>
          </w:p>
        </w:tc>
        <w:tc>
          <w:tcPr>
            <w:tcW w:type="dxa" w:w="422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Обоснование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Целевой размер чанка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400–600 токенов</w:t>
            </w:r>
          </w:p>
        </w:tc>
        <w:tc>
          <w:tcPr>
            <w:tcW w:type="dxa" w:w="42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Компромисс: достаточно для законченной мысли, недостаточно для «размывания» вектора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Жёсткий максимум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1000 токенов (исключение — таблицы)</w:t>
            </w:r>
          </w:p>
        </w:tc>
        <w:tc>
          <w:tcPr>
            <w:tcW w:type="dxa" w:w="42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Выше начинается заметная потеря точности векторного представления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Минимум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100 токенов</w:t>
            </w:r>
          </w:p>
        </w:tc>
        <w:tc>
          <w:tcPr>
            <w:tcW w:type="dxa" w:w="42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Более короткие фрагменты присоединяются к соседнему чанку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Перекрытие (overlap)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15% (60–90 токенов), </w:t>
            </w:r>
            <w:r>
              <w:rPr>
                <w:b/>
                <w:bCs/>
                <w:color w:val="000000"/>
                <w:sz w:val="19"/>
                <w:szCs w:val="19"/>
              </w:rPr>
              <w:t xml:space="preserve">только внутри раздела</w:t>
            </w:r>
          </w:p>
        </w:tc>
        <w:tc>
          <w:tcPr>
            <w:tcW w:type="dxa" w:w="42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Соседние чанки частично содержат один и тот же текст. Перекрытие берётся с конца предыдущего чанка и не переходит границу раздела — иначе конфликтует со структурным чанкингом и завышает близость соседей при дедупликации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Правило разбиения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Раздел → подраздел → абзац → предложение</w:t>
            </w:r>
          </w:p>
        </w:tc>
        <w:tc>
          <w:tcPr>
            <w:tcW w:type="dxa" w:w="42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Дробление продолжается только до попадания в границы размера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Правило склейки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Соседние короткие подразделы объединяются в один чанк</w:t>
            </w:r>
          </w:p>
        </w:tc>
        <w:tc>
          <w:tcPr>
            <w:tcW w:type="dxa" w:w="42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Заголовок без содержания бесполезен как единица поиска</w:t>
            </w:r>
          </w:p>
        </w:tc>
      </w:tr>
    </w:tbl>
    <w:p>
      <w:pPr>
        <w:spacing w:after="120"/>
      </w:pPr>
    </w:p>
    <w:p>
      <w:pPr>
        <w:pBdr>
          <w:top w:val="single" w:color="FBE4D5" w:sz="2"/>
          <w:bottom w:val="single" w:color="FBE4D5" w:sz="2"/>
          <w:left w:val="single" w:color="1F4E79" w:sz="18" w:space="8"/>
          <w:right w:val="single" w:color="FBE4D5" w:sz="2"/>
        </w:pBdr>
        <w:shd w:fill="FBE4D5" w:val="clear"/>
        <w:spacing w:after="160" w:before="120" w:line="276"/>
        <w:ind w:left="120" w:right="120"/>
      </w:pPr>
      <w:r>
        <w:rPr>
          <w:b/>
          <w:bCs/>
        </w:rPr>
        <w:t xml:space="preserve">Все размеры измеряются токенизатором bge-m3</w:t>
      </w:r>
      <w:r>
        <w:t xml:space="preserve"> — того самого эмбеддера, для которого готовятся чанки. Бюджет контекста генерации проверяется токенизатором GigaChat с запасом ×1,2: расхождение между токенизаторами на русском тексте достигает полутора раз, и смешение единиц измерения приводит к молчаливому усечению контекста.</w:t>
      </w:r>
    </w:p>
    <w:p>
      <w:pPr>
        <w:pStyle w:val="Heading2"/>
        <w:spacing w:after="120" w:before="240"/>
      </w:pPr>
      <w:r>
        <w:t xml:space="preserve">6.2. Обогащение контекстом (contextual retrieval)</w:t>
      </w:r>
    </w:p>
    <w:p>
      <w:pPr>
        <w:spacing w:after="120" w:line="276"/>
        <w:jc w:val="both"/>
      </w:pPr>
      <w:r>
        <w:t xml:space="preserve">Приём, дающий один из самых больших приростов качества поиска при минимальных затратах. Суть: перед векторизацией каждый чанк прогоняется через языковую модель, которая приписывает ему одно-два предложения контекста.</w:t>
      </w:r>
    </w:p>
    <w:p>
      <w:pPr>
        <w:shd w:fill="F2F2F2" w:val="clear"/>
        <w:spacing w:after="100"/>
        <w:ind w:left="240" w:right="120"/>
      </w:pPr>
      <w:r>
        <w:rPr>
          <w:rFonts w:ascii="Consolas" w:cs="Consolas" w:eastAsia="Consolas" w:hAnsi="Consolas"/>
          <w:sz w:val="18"/>
          <w:szCs w:val="18"/>
        </w:rPr>
        <w:t xml:space="preserve">Исходный чанк:  «На втором этапе была проведена приоритизация инициатив</w:t>
      </w:r>
    </w:p>
    <w:p>
      <w:pPr>
        <w:shd w:fill="F2F2F2" w:val="clear"/>
        <w:spacing w:after="100"/>
        <w:ind w:left="24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 по матрице "эффект / сложность реализации"...»</w:t>
      </w:r>
    </w:p>
    <w:p>
      <w:pPr>
        <w:shd w:fill="F2F2F2" w:val="clear"/>
        <w:spacing w:after="100"/>
        <w:ind w:left="24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100"/>
        <w:ind w:left="240" w:right="120"/>
      </w:pPr>
      <w:r>
        <w:rPr>
          <w:rFonts w:ascii="Consolas" w:cs="Consolas" w:eastAsia="Consolas" w:hAnsi="Consolas"/>
          <w:sz w:val="18"/>
          <w:szCs w:val="18"/>
        </w:rPr>
        <w:t xml:space="preserve">После обогащения: «Фрагмент из коммерческого предложения для ПАО "Х"</w:t>
      </w:r>
    </w:p>
    <w:p>
      <w:pPr>
        <w:shd w:fill="F2F2F2" w:val="clear"/>
        <w:spacing w:after="100"/>
        <w:ind w:left="24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 (2024, банковский сектор), раздел "Методология</w:t>
      </w:r>
    </w:p>
    <w:p>
      <w:pPr>
        <w:shd w:fill="F2F2F2" w:val="clear"/>
        <w:spacing w:after="100"/>
        <w:ind w:left="24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 разработки ИТ-стратегии". На втором этапе была...»</w:t>
      </w:r>
    </w:p>
    <w:p>
      <w:pPr>
        <w:spacing w:after="120" w:line="276"/>
        <w:jc w:val="both"/>
      </w:pPr>
      <w:r>
        <w:t xml:space="preserve">Зачем это нужно: исходный чанк не содержит ни слова «банк», ни слова «ИТ-стратегия», поэтому по запросу «как мы строим ИТ-стратегию для банков» он не найдётся, хотя является точным ответом. Контекст восстанавливает связь фрагмента с документом.</w:t>
      </w:r>
    </w:p>
    <w:p>
      <w:pPr>
        <w:pStyle w:val="Heading3"/>
        <w:spacing w:after="100" w:before="200"/>
      </w:pPr>
      <w:r>
        <w:t xml:space="preserve">Контракт шага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702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Значение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Вход</w:t>
            </w:r>
          </w:p>
        </w:tc>
        <w:tc>
          <w:tcPr>
            <w:tcW w:type="dxa" w:w="70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Текст чанка + метаданные из реестра (проект, заказчик, отрасль, год, тип документа, путь раздела). </w:t>
            </w:r>
            <w:r>
              <w:rPr>
                <w:b/>
                <w:bCs/>
                <w:color w:val="000000"/>
                <w:sz w:val="19"/>
                <w:szCs w:val="19"/>
              </w:rPr>
              <w:t xml:space="preserve">Не документ целиком</w:t>
            </w: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 — иначе стоимость шага вырастает на порядок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Выход</w:t>
            </w:r>
          </w:p>
        </w:tc>
        <w:tc>
          <w:tcPr>
            <w:tcW w:type="dxa" w:w="70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1–2 предложения контекста, приписываемые к чанку в поле `text_enriched`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Промпт</w:t>
            </w:r>
          </w:p>
        </w:tc>
        <w:tc>
          <w:tcPr>
            <w:tcW w:type="dxa" w:w="70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Версионируется, идентификатор версии пишется в трассу и в реестр версий индекса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Фолбэк при сбое модели</w:t>
            </w:r>
          </w:p>
        </w:tc>
        <w:tc>
          <w:tcPr>
            <w:tcW w:type="dxa" w:w="70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Детерминированная сборка из метаданных</w:t>
            </w: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 по шаблону: «Фрагмент из &lt;тип документа&gt; для &lt;заказчик&gt; (&lt;год&gt;, &lt;отрасль&gt;), раздел «&lt;название&gt;»». Шаг не блокирует индексацию</w:t>
            </w:r>
          </w:p>
        </w:tc>
      </w:tr>
      <w:tr>
        <w:tc>
          <w:tcPr>
            <w:tcW w:type="dxa" w:w="20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Кэш</w:t>
            </w:r>
          </w:p>
        </w:tc>
        <w:tc>
          <w:tcPr>
            <w:tcW w:type="dxa" w:w="7026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Обязателен.</w:t>
            </w: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 Ключ: (хэш `text_raw`, версия промпта, версия модели). Без кэша смена параметров чанкинга тянет повторный полный прогон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Контроль качества</w:t>
            </w:r>
          </w:p>
        </w:tc>
        <w:tc>
          <w:tcPr>
            <w:tcW w:type="dxa" w:w="70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Выборочная проверка 50 чанков по чек-листу </w:t>
            </w:r>
            <w:r>
              <w:rPr>
                <w:b/>
                <w:bCs/>
                <w:color w:val="000000"/>
                <w:sz w:val="19"/>
                <w:szCs w:val="19"/>
              </w:rPr>
              <w:t xml:space="preserve">до</w:t>
            </w: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 полного прогона корпуса</w:t>
            </w:r>
          </w:p>
        </w:tc>
      </w:tr>
    </w:tbl>
    <w:p>
      <w:pPr>
        <w:spacing w:after="120"/>
      </w:pPr>
    </w:p>
    <w:p>
      <w:pPr>
        <w:pBdr>
          <w:top w:val="single" w:color="FBE4D5" w:sz="2"/>
          <w:bottom w:val="single" w:color="FBE4D5" w:sz="2"/>
          <w:left w:val="single" w:color="1F4E79" w:sz="18" w:space="8"/>
          <w:right w:val="single" w:color="FBE4D5" w:sz="2"/>
        </w:pBdr>
        <w:shd w:fill="FBE4D5" w:val="clear"/>
        <w:spacing w:after="160" w:before="120" w:line="276"/>
        <w:ind w:left="120" w:right="120"/>
      </w:pPr>
      <w:r>
        <w:rPr>
          <w:b/>
          <w:bCs/>
        </w:rPr>
        <w:t xml:space="preserve">Это самая дорогая операция проекта:</w:t>
      </w:r>
      <w:r>
        <w:t xml:space="preserve"> 18–20 тыс. вызовов локальной модели. Первичная индексация корпуса — </w:t>
      </w:r>
      <w:r>
        <w:rPr>
          <w:b/>
          <w:bCs/>
        </w:rPr>
        <w:t xml:space="preserve">ночь работы GPU</w:t>
      </w:r>
      <w:r>
        <w:t xml:space="preserve">. Переиндексация при неизменном тексте чанков — минуты, потому что обогащение берётся из кэша, а заново считается только векторизация. Смешивать эти две оценки нельзя.</w:t>
      </w:r>
    </w:p>
    <w:p>
      <w:pPr>
        <w:pStyle w:val="Heading2"/>
        <w:spacing w:after="120" w:before="240"/>
      </w:pPr>
      <w:r>
        <w:t xml:space="preserve">6.3. Состав метаданных</w:t>
      </w:r>
    </w:p>
    <w:p>
      <w:pPr>
        <w:spacing w:after="120" w:line="276"/>
        <w:jc w:val="both"/>
      </w:pPr>
      <w:r>
        <w:t xml:space="preserve">Предложенный набор (название проекта, документа, раздела и подраздела) сохраняется и расширяется полями, необходимыми для трассировки, цитирования и контроля NDA: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26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Поле</w:t>
            </w:r>
          </w:p>
        </w:tc>
        <w:tc>
          <w:tcPr>
            <w:tcW w:type="dxa" w:w="4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242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Источник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chunk_id / doc_id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Уникальные номера чанка и документа. Присваиваются на шаге индексации и служат для трассировки: по chunk_id из журнала Langfuse находится конкретный фрагмент текста</w:t>
            </w:r>
          </w:p>
        </w:tc>
        <w:tc>
          <w:tcPr>
            <w:tcW w:type="dxa" w:w="24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Генерируется при индексации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Название проекта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Связь с проектом и с БД подтверждений</w:t>
            </w:r>
          </w:p>
        </w:tc>
        <w:tc>
          <w:tcPr>
            <w:tcW w:type="dxa" w:w="24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Из реестра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Название документа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Идентификация первоисточника</w:t>
            </w:r>
          </w:p>
        </w:tc>
        <w:tc>
          <w:tcPr>
            <w:tcW w:type="dxa" w:w="24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Из файла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Тип документа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КП / отчёт / акт / письмо / презентация</w:t>
            </w:r>
          </w:p>
        </w:tc>
        <w:tc>
          <w:tcPr>
            <w:tcW w:type="dxa" w:w="24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Из реестра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Название раздела и подраздела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Уровень иерархии</w:t>
            </w:r>
          </w:p>
        </w:tc>
        <w:tc>
          <w:tcPr>
            <w:tcW w:type="dxa" w:w="24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Из парсера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parent_section_id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Ссылка на родительский раздел. Позволяет от найденного абзаца подняться к целому разделу и подать его в контекст, если абзаца недостаточно. Также образует структурные рёбра будущего графа связей (раздел 17.1)</w:t>
            </w:r>
          </w:p>
        </w:tc>
        <w:tc>
          <w:tcPr>
            <w:tcW w:type="dxa" w:w="24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Из парсера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Диапазон страниц</w:t>
            </w: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 (page_start, page_end)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Не один номер, а пара.</w:t>
            </w: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 Чанк на 400–600 токенов обычно укладывается в 1–2 страницы, но запись секционного индекса может охватывать 8 и более, а таблица — пересекать границу страницы. Хранится диапазон; в ссылке выводится «с. 12–14»</w:t>
            </w:r>
          </w:p>
        </w:tc>
        <w:tc>
          <w:tcPr>
            <w:tcW w:type="dxa" w:w="24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Из парсера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Дата документа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Временной контекст, приоритет свежих материалов</w:t>
            </w:r>
          </w:p>
        </w:tc>
        <w:tc>
          <w:tcPr>
            <w:tcW w:type="dxa" w:w="24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Из реестра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Отрасль заказчика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Мягкое повышение приоритета при поиске</w:t>
            </w:r>
          </w:p>
        </w:tc>
        <w:tc>
          <w:tcPr>
            <w:tcW w:type="dxa" w:w="24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Из реестра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Флаг публичности / NDA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Контроль допустимости упоминания заказчика</w:t>
            </w:r>
          </w:p>
        </w:tc>
        <w:tc>
          <w:tcPr>
            <w:tcW w:type="dxa" w:w="24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Из реестра, ставит человек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Результат тендера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Выигран / проигран — для приоритета успешных образцов</w:t>
            </w:r>
          </w:p>
        </w:tc>
        <w:tc>
          <w:tcPr>
            <w:tcW w:type="dxa" w:w="24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Из реестра, требует внедрения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Флаг boilerplate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Пометка «этот текст переиспользуется в N предложениях». Информация не удаляется: в индексе остаётся канонический чанк, остальные хранятся ссылками на него. Используется отбором MMR для разнообразия выдачи</w:t>
            </w:r>
          </w:p>
        </w:tc>
        <w:tc>
          <w:tcPr>
            <w:tcW w:type="dxa" w:w="24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Вычисляется автоматически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Флаг качества OCR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Пометка о низкой уверенности распознавания</w:t>
            </w:r>
          </w:p>
        </w:tc>
        <w:tc>
          <w:tcPr>
            <w:tcW w:type="dxa" w:w="24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Из OCR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6.4. Дедупликация типовых блоков: зачем это нужно</w:t>
      </w:r>
    </w:p>
    <w:p>
      <w:pPr>
        <w:spacing w:after="120" w:line="276"/>
        <w:jc w:val="both"/>
      </w:pPr>
      <w:r>
        <w:t xml:space="preserve">Уточнение к обсуждению: речь не о дублировании внутри одного КП. Каждое коммерческое предложение действительно относится к одному проекту и внутри себя уникально. Проблема возникает </w:t>
      </w:r>
      <w:r>
        <w:rPr>
          <w:b/>
          <w:bCs/>
        </w:rPr>
        <w:t xml:space="preserve">между 25 документами</w:t>
      </w:r>
      <w:r>
        <w:t xml:space="preserve">.</w:t>
      </w:r>
    </w:p>
    <w:p>
      <w:pPr>
        <w:spacing w:after="120" w:line="276"/>
        <w:jc w:val="both"/>
      </w:pPr>
      <w:r>
        <w:t xml:space="preserve">Любое КП состоит из разделов двух типов. Первый — уникальные: что именно предлагается конкретному заказчику, сроки, состав работ, стоимость. Второй — типовые, кочующие из предложения в предложение с косметическими правками: «О компании», «Наша методология управления проектами», «Подход к обеспечению качества», «Состав и квалификация команды». Второй тип занимает существенную долю объёма.</w:t>
      </w:r>
    </w:p>
    <w:p>
      <w:pPr>
        <w:spacing w:after="120" w:line="276"/>
        <w:jc w:val="both"/>
      </w:pPr>
      <w:r>
        <w:rPr>
          <w:b/>
          <w:bCs/>
        </w:rPr>
        <w:t xml:space="preserve">Что происходит при поиске.</w:t>
      </w:r>
      <w:r>
        <w:t xml:space="preserve"> Пользователь спрашивает: «опиши наш подход к управлению проектами». Векторный поиск возвращает 10 наиболее близких чанков. Все десять оказываются одним и тем же абзацем про PMBOK из десяти разных предложений, различающимся только названием заказчика. Языковая модель получает контекст, в котором все десять слотов заняты одной и той же мыслью. При этом ценная специфика — например, особенности управления в госпроекте, встречающаяся ровно в одном КП, — вытеснена за пределы первой десятки и до модели не доходит.</w:t>
      </w:r>
    </w:p>
    <w:p>
      <w:pPr>
        <w:spacing w:after="120" w:line="276"/>
        <w:jc w:val="both"/>
      </w:pPr>
      <w:r>
        <w:t xml:space="preserve">Проблема решается на двух уровнях:</w:t>
      </w:r>
    </w:p>
    <w:p>
      <w:pPr>
        <w:pStyle w:val="Heading3"/>
        <w:spacing w:after="100" w:before="200"/>
      </w:pPr>
      <w:r>
        <w:t xml:space="preserve">Уровень 1. Кластеризация при индексации</w:t>
      </w:r>
    </w:p>
    <w:p>
      <w:pPr>
        <w:pBdr>
          <w:top w:val="single" w:color="FBE4D5" w:sz="2"/>
          <w:bottom w:val="single" w:color="FBE4D5" w:sz="2"/>
          <w:left w:val="single" w:color="1F4E79" w:sz="18" w:space="8"/>
          <w:right w:val="single" w:color="FBE4D5" w:sz="2"/>
        </w:pBdr>
        <w:shd w:fill="FBE4D5" w:val="clear"/>
        <w:spacing w:after="160" w:before="120" w:line="276"/>
        <w:ind w:left="120" w:right="120"/>
      </w:pPr>
      <w:r>
        <w:rPr>
          <w:b/>
          <w:bCs/>
        </w:rPr>
        <w:t xml:space="preserve">Близость для дедупликации считается по исходному тексту чанка, а не по обогащённому.</w:t>
      </w:r>
      <w:r>
        <w:t xml:space="preserve"> Обогащение приписывает каждой копии типового блока своего заказчика и свой год, из-за чего близость копий падает ниже порога, и ровно тот сценарий, ради которого дедупликация вводится — десять одинаковых абзацев про методологию из десяти предложений, — перестаёт обнаруживаться. Поэтому хранятся </w:t>
      </w:r>
      <w:r>
        <w:rPr>
          <w:b/>
          <w:bCs/>
        </w:rPr>
        <w:t xml:space="preserve">два вектора</w:t>
      </w:r>
      <w:r>
        <w:t xml:space="preserve">: основной по обогащённому тексту (для поиска) и вспомогательный по исходному (для дедупликации, отбора разнообразия и семантических рёбер графа).</w:t>
      </w:r>
    </w:p>
    <w:p>
      <w:pPr>
        <w:spacing w:after="120" w:line="276"/>
        <w:jc w:val="both"/>
      </w:pPr>
      <w:r>
        <w:t xml:space="preserve">После векторизации вычисляется попарная близость по вспомогательному вектору. Пары с близостью выше 0,95 объединяются методом связных компонент. В индексе остаётся один канонический представитель кластера; остальные хранятся ссылками на него со списком документов, где встречается тот же текст.</w:t>
      </w:r>
    </w:p>
    <w:p>
      <w:pPr>
        <w:spacing w:after="120" w:line="276"/>
        <w:jc w:val="both"/>
      </w:pPr>
      <w:r>
        <w:rPr>
          <w:b/>
          <w:bCs/>
        </w:rPr>
        <w:t xml:space="preserve">Порядок шагов: сначала векторизация, затем дедупликация.</w:t>
      </w:r>
      <w:r>
        <w:t xml:space="preserve"> Считать близость до получения векторов невозможно.</w:t>
      </w:r>
    </w:p>
    <w:p>
      <w:pPr>
        <w:spacing w:after="120" w:line="276"/>
        <w:jc w:val="both"/>
      </w:pPr>
      <w:r>
        <w:rPr>
          <w:b/>
          <w:bCs/>
        </w:rPr>
        <w:t xml:space="preserve">Результат дедупликации используется, а не только вычисляется:</w:t>
      </w:r>
      <w:r>
        <w:t xml:space="preserve"> признак канонического представителя входит в условие всех поисковых запросов; в списке «Источники» кластер разворачивается пометкой «встречается также в: …»; метрика разнообразия выдачи считается по числу различных кластеров, а не чанков.</w:t>
      </w:r>
    </w:p>
    <w:p>
      <w:pPr>
        <w:spacing w:after="120" w:line="276"/>
        <w:jc w:val="both"/>
      </w:pPr>
      <w:r>
        <w:t xml:space="preserve">Побочный полезный результат: система автоматически выявляет </w:t>
      </w:r>
      <w:r>
        <w:rPr>
          <w:b/>
          <w:bCs/>
        </w:rPr>
        <w:t xml:space="preserve">библиотеку типовых формулировок компании</w:t>
      </w:r>
      <w:r>
        <w:t xml:space="preserve"> — тексты, переиспользованные в десяти и более предложениях. Это проверенные практикой блоки, и знание об этом само по себе ценно для маркетинга и пресейла.</w:t>
      </w:r>
    </w:p>
    <w:p>
      <w:pPr>
        <w:pBdr>
          <w:top w:val="single" w:color="DCE6F1" w:sz="2"/>
          <w:bottom w:val="single" w:color="DCE6F1" w:sz="2"/>
          <w:left w:val="single" w:color="1F4E79" w:sz="18" w:space="8"/>
          <w:right w:val="single" w:color="DCE6F1" w:sz="2"/>
        </w:pBdr>
        <w:shd w:fill="DCE6F1" w:val="clear"/>
        <w:spacing w:after="160" w:before="120" w:line="276"/>
        <w:ind w:left="120" w:right="120"/>
      </w:pPr>
      <w:r>
        <w:rPr>
          <w:b/>
          <w:bCs/>
        </w:rPr>
        <w:t xml:space="preserve">О риске потери вариативности.</w:t>
      </w:r>
      <w:r>
        <w:t xml:space="preserve"> Порог кластеризации 0,95 намеренно очень высок — под него попадает только практически идентичный текст с косметическими правками. Содержательные вариации одной и той же мысли (например, методология, адаптированная под госзаказчика) имеют близость 0,80–0,90 и остаются отдельными чанками. Дедупликация схлопывает копирование, но не варианты решения. Если замер покажет обратное, порог поднимается до 0,97 — это параметр конфигурации.</w:t>
      </w:r>
    </w:p>
    <w:p>
      <w:pPr>
        <w:pStyle w:val="Heading3"/>
        <w:spacing w:after="100" w:before="200"/>
      </w:pPr>
      <w:r>
        <w:t xml:space="preserve">Уровень 2. Отбор с учётом разнообразия (MMR) при поиске</w:t>
      </w:r>
    </w:p>
    <w:p>
      <w:pPr>
        <w:spacing w:after="120" w:line="276"/>
        <w:jc w:val="both"/>
      </w:pPr>
      <w:r>
        <w:t xml:space="preserve">MMR (Maximal Marginal Relevance) — алгоритм отбора, при котором каждый следующий результат выбирается с учётом не только близости к запросу, но и </w:t>
      </w:r>
      <w:r>
        <w:rPr>
          <w:b/>
          <w:bCs/>
        </w:rPr>
        <w:t xml:space="preserve">непохожести на уже отобранные</w:t>
      </w:r>
      <w:r>
        <w:t xml:space="preserve">:</w:t>
      </w:r>
    </w:p>
    <w:p>
      <w:pPr>
        <w:shd w:fill="F2F2F2" w:val="clear"/>
        <w:spacing w:after="100"/>
        <w:ind w:left="240" w:right="120"/>
      </w:pPr>
      <w:r>
        <w:rPr>
          <w:rFonts w:ascii="Consolas" w:cs="Consolas" w:eastAsia="Consolas" w:hAnsi="Consolas"/>
          <w:sz w:val="18"/>
          <w:szCs w:val="18"/>
        </w:rPr>
        <w:t xml:space="preserve">score(чанк) = λ · sim(запрос, чанк) − (1−λ) · max sim(чанк, уже_отобранные)</w:t>
      </w:r>
    </w:p>
    <w:p>
      <w:pPr>
        <w:spacing w:after="120" w:line="276"/>
        <w:jc w:val="both"/>
      </w:pPr>
      <w:r>
        <w:t xml:space="preserve">При λ ≈ 0,7 модель получает разнообразный контекст вместо десяти вариаций одного абзаца. Для нашего корпуса это не опциональное улучшение, а обязательный компонент.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7. Слой 2. Хранилище данных</w:t>
      </w:r>
    </w:p>
    <w:p>
      <w:pPr>
        <w:pStyle w:val="Heading2"/>
        <w:spacing w:after="120" w:before="240"/>
      </w:pPr>
      <w:r>
        <w:t xml:space="preserve">7.1. Векторное хранилище</w:t>
      </w:r>
    </w:p>
    <w:p>
      <w:pPr>
        <w:spacing w:after="120" w:line="276"/>
        <w:jc w:val="both"/>
      </w:pPr>
      <w:r>
        <w:rPr>
          <w:b/>
          <w:bCs/>
        </w:rPr>
        <w:t xml:space="preserve">Решение: PostgreSQL с расширением pgvector, точный поиск без приближённых индексов.</w:t>
      </w:r>
    </w:p>
    <w:p>
      <w:pPr>
        <w:spacing w:after="120" w:line="276"/>
        <w:jc w:val="both"/>
      </w:pPr>
      <w:r>
        <w:t xml:space="preserve">Обоснование в трёх пунктах: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Объём.</w:t>
      </w:r>
      <w:r>
        <w:t xml:space="preserve"> 20 тыс. векторов по 1024 измерения — это 80 МБ. Полный перебор реализуется одним матричным умножением и занимает единицы миллисекунд даже без GPU.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Единство хранилища.</w:t>
      </w:r>
      <w:r>
        <w:t xml:space="preserve"> PostgreSQL необходим под БД подтверждений в любом случае. Размещение векторов там же означает: метаданные, векторы и реестр живут в одной транзакции, с одним бэкапом, без синхронизации между двумя системами.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Отладка.</w:t>
      </w:r>
      <w:r>
        <w:t xml:space="preserve"> Приближённые индексы (HNSW, IVF) теряют 2–10% истинных ближайших соседей на каждом запросе. При точном поиске полнота выдачи индекса равна 100% по построению — если нужный фрагмент не найден, причина заведомо в чанкинге или эмбеддинге, а не в настройках индекса. Это устраняет целый класс трудноуловимых ошибок.</w:t>
      </w:r>
    </w:p>
    <w:p>
      <w:pPr>
        <w:pBdr>
          <w:top w:val="single" w:color="DCE6F1" w:sz="2"/>
          <w:bottom w:val="single" w:color="DCE6F1" w:sz="2"/>
          <w:left w:val="single" w:color="1F4E79" w:sz="18" w:space="8"/>
          <w:right w:val="single" w:color="DCE6F1" w:sz="2"/>
        </w:pBdr>
        <w:shd w:fill="DCE6F1" w:val="clear"/>
        <w:spacing w:after="160" w:before="120" w:line="276"/>
        <w:ind w:left="120" w:right="120"/>
      </w:pPr>
      <w:r>
        <w:t xml:space="preserve">Переход на HNSW-индекс имеет смысл начиная примерно с миллиона векторов. Мы на два порядка ниже этой границы. Переход при необходимости выполняется одной командой создания индекса — архитектуру менять не придётся.</w:t>
      </w:r>
    </w:p>
    <w:p>
      <w:pPr>
        <w:pStyle w:val="Heading2"/>
        <w:spacing w:after="120" w:before="240"/>
      </w:pPr>
      <w:r>
        <w:t xml:space="preserve">7.2. БД подтверждений</w:t>
      </w:r>
    </w:p>
    <w:p>
      <w:pPr>
        <w:spacing w:after="120" w:line="276"/>
        <w:jc w:val="both"/>
      </w:pPr>
      <w:r>
        <w:t xml:space="preserve">Терминология уточнена: далее по документу используется название </w:t>
      </w:r>
      <w:r>
        <w:rPr>
          <w:b/>
          <w:bCs/>
        </w:rPr>
        <w:t xml:space="preserve">«БД подтверждений»</w:t>
      </w:r>
      <w:r>
        <w:t xml:space="preserve">. Реализация — структурированная таблица Excel, которую сопровождают авторы проекта, с автоматической предобработкой и загрузкой алгоритмом.</w:t>
      </w:r>
    </w:p>
    <w:p>
      <w:pPr>
        <w:spacing w:after="120" w:line="276"/>
        <w:jc w:val="both"/>
      </w:pPr>
      <w:r>
        <w:t xml:space="preserve">Excel как интерфейс ввода — оправданное решение: сотрудники им владеют, отдельного обучения не требуется. Но </w:t>
      </w:r>
      <w:r>
        <w:rPr>
          <w:b/>
          <w:bCs/>
        </w:rPr>
        <w:t xml:space="preserve">Excel без валидации деградирует за несколько месяцев</w:t>
      </w:r>
      <w:r>
        <w:t xml:space="preserve">: появляются варианты написания одного заказчика, пустые обязательные поля, битые ссылки на файлы. Поэтому загрузка обязана включать проверки: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Обязательные поля заполнены; строки с пропусками отклоняются с явным сообщением.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Поля со справочными значениями (тип артефакта, отрасль, статус, результат тендера) проверяются по закрытым спискам — в Excel реализуются выпадающими списками.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Ссылки на файлы-первоисточники проверяются на существование.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Названия заказчиков нормализуются по справочнику.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Сохраняется версия загрузки — чтобы можно было увидеть, что изменилось и когда.</w:t>
      </w:r>
    </w:p>
    <w:p>
      <w:pPr>
        <w:pStyle w:val="Heading3"/>
        <w:spacing w:after="100" w:before="200"/>
      </w:pPr>
      <w:r>
        <w:t xml:space="preserve">Состав полей БД подтверждений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26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Поле</w:t>
            </w:r>
          </w:p>
        </w:tc>
        <w:tc>
          <w:tcPr>
            <w:tcW w:type="dxa" w:w="4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242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Статус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Название проекта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Идентификация</w:t>
            </w:r>
          </w:p>
        </w:tc>
        <w:tc>
          <w:tcPr>
            <w:tcW w:type="dxa" w:w="24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Было в v1.0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Заказчик (нормализованный)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Связь с справочником организаций</w:t>
            </w:r>
          </w:p>
        </w:tc>
        <w:tc>
          <w:tcPr>
            <w:tcW w:type="dxa" w:w="24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Было в v1.0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Тип артефакта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Акт / договор / благодарственное письмо</w:t>
            </w:r>
          </w:p>
        </w:tc>
        <w:tc>
          <w:tcPr>
            <w:tcW w:type="dxa" w:w="24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Было в v1.0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Дата выдачи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Дата документа</w:t>
            </w:r>
          </w:p>
        </w:tc>
        <w:tc>
          <w:tcPr>
            <w:tcW w:type="dxa" w:w="24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Было в v1.0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Статус проекта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Действующий / архивный</w:t>
            </w:r>
          </w:p>
        </w:tc>
        <w:tc>
          <w:tcPr>
            <w:tcW w:type="dxa" w:w="24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Было в v1.0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Ссылка на файл-первоисточник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Связь с исходным документом</w:t>
            </w:r>
          </w:p>
        </w:tc>
        <w:tc>
          <w:tcPr>
            <w:tcW w:type="dxa" w:w="24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Было в v1.0</w:t>
            </w:r>
          </w:p>
        </w:tc>
      </w:tr>
      <w:tr>
        <w:tc>
          <w:tcPr>
            <w:tcW w:type="dxa" w:w="2400"/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Флаг публичности / NDA</w:t>
            </w:r>
          </w:p>
        </w:tc>
        <w:tc>
          <w:tcPr>
            <w:tcW w:type="dxa" w:w="4200"/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Можно называть заказчика / только обезличенно («крупный банк из топ-10») / упоминание запрещено полностью</w:t>
            </w:r>
          </w:p>
        </w:tc>
        <w:tc>
          <w:tcPr>
            <w:tcW w:type="dxa" w:w="2426"/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Добавлено</w:t>
            </w:r>
          </w:p>
        </w:tc>
      </w:tr>
      <w:tr>
        <w:tc>
          <w:tcPr>
            <w:tcW w:type="dxa" w:w="2400"/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Результат тендера</w:t>
            </w:r>
          </w:p>
        </w:tc>
        <w:tc>
          <w:tcPr>
            <w:tcW w:type="dxa" w:w="4200"/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Выигран / проигран / не подавался</w:t>
            </w:r>
          </w:p>
        </w:tc>
        <w:tc>
          <w:tcPr>
            <w:tcW w:type="dxa" w:w="2426"/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Добавлено, критично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Отрасль заказчика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Приоритизация похожего отраслевого опыта</w:t>
            </w:r>
          </w:p>
        </w:tc>
        <w:tc>
          <w:tcPr>
            <w:tcW w:type="dxa" w:w="24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Добавлено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Сумма контракта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Подтверждение масштаба опыта — частое требование тендеров</w:t>
            </w:r>
          </w:p>
        </w:tc>
        <w:tc>
          <w:tcPr>
            <w:tcW w:type="dxa" w:w="24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Добавлено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Сроки: начало и окончание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Подтверждение длительности и опыта сопровождения</w:t>
            </w:r>
          </w:p>
        </w:tc>
        <w:tc>
          <w:tcPr>
            <w:tcW w:type="dxa" w:w="24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Добавлено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Роль компании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Генподрядчик / субподрядчик / консультант</w:t>
            </w:r>
          </w:p>
        </w:tc>
        <w:tc>
          <w:tcPr>
            <w:tcW w:type="dxa" w:w="24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Добавлено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Технологии и стек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Поиск по технологическому соответствию</w:t>
            </w:r>
          </w:p>
        </w:tc>
        <w:tc>
          <w:tcPr>
            <w:tcW w:type="dxa" w:w="24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Добавлено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Номер договора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Точная ссылка в заявке</w:t>
            </w:r>
          </w:p>
        </w:tc>
        <w:tc>
          <w:tcPr>
            <w:tcW w:type="dxa" w:w="24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Добавлено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t xml:space="preserve">Механизм запросов к БД подтверждений</w:t>
      </w:r>
    </w:p>
    <w:p>
      <w:pPr>
        <w:spacing w:after="120" w:line="276"/>
        <w:jc w:val="both"/>
      </w:pPr>
      <w:r>
        <w:t xml:space="preserve">В версии 1.0 механизм не был описан. Уточнение: </w:t>
      </w:r>
      <w:r>
        <w:rPr>
          <w:b/>
          <w:bCs/>
        </w:rPr>
        <w:t xml:space="preserve">генерация SQL языковой моделью (text2SQL) не применяется.</w:t>
      </w:r>
      <w:r>
        <w:t xml:space="preserve"> Локальная квантизованная модель делает это по русскоязычным запросам ненадёжно, а ошибка проявляется как молча неверный ответ.</w:t>
      </w:r>
    </w:p>
    <w:p>
      <w:pPr>
        <w:spacing w:after="120" w:line="276"/>
        <w:jc w:val="both"/>
      </w:pPr>
      <w:r>
        <w:t xml:space="preserve">Вместо этого — набор из 10–15 параметризованных запросов, покрывающих реальные сценарии: опыт в отрасли, проекты за период, наличие артефакта по заказчику, проекты с суммой выше порога, проекты с заданной технологией. Языковая модель только выбирает шаблон и подставляет параметры; сам запрос детерминирован и тестируем.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8. Слой 3. Разбор запроса</w:t>
      </w:r>
    </w:p>
    <w:p>
      <w:pPr>
        <w:pBdr>
          <w:top w:val="single" w:color="DCE6F1" w:sz="2"/>
          <w:bottom w:val="single" w:color="DCE6F1" w:sz="2"/>
          <w:left w:val="single" w:color="1F4E79" w:sz="18" w:space="8"/>
          <w:right w:val="single" w:color="DCE6F1" w:sz="2"/>
        </w:pBdr>
        <w:shd w:fill="DCE6F1" w:val="clear"/>
        <w:spacing w:after="160" w:before="120" w:line="276"/>
        <w:ind w:left="120" w:right="120"/>
      </w:pPr>
      <w:r>
        <w:t xml:space="preserve">Новый слой, введённый в версии 2.2. Располагается между запросом пользователя и поиском.</w:t>
      </w:r>
    </w:p>
    <w:p>
      <w:pPr>
        <w:pStyle w:val="Heading2"/>
        <w:spacing w:after="120" w:before="240"/>
      </w:pPr>
      <w:r>
        <w:t xml:space="preserve">8.1. Задача, которую решает слой</w:t>
      </w:r>
    </w:p>
    <w:p>
      <w:pPr>
        <w:spacing w:after="120" w:line="276"/>
        <w:jc w:val="both"/>
      </w:pPr>
      <w:r>
        <w:t xml:space="preserve">Ключевой сценарий системы — не «найти фрагмент», а «описать подход». При этом </w:t>
      </w:r>
      <w:r>
        <w:rPr>
          <w:b/>
          <w:bCs/>
        </w:rPr>
        <w:t xml:space="preserve">подход в документах нигде не обозначен явно.</w:t>
      </w:r>
      <w:r>
        <w:t xml:space="preserve"> Это не недостаток документов, а свойство самого понятия: подход есть композиция из понимания задачи заказчика, выбранной методологии, последовательности этапов, управления рисками и критериев результата. Каждая часть живёт в своём разделе, а иногда и в разных документах.</w:t>
      </w:r>
    </w:p>
    <w:p>
      <w:pPr>
        <w:spacing w:after="120" w:line="276"/>
        <w:jc w:val="both"/>
      </w:pPr>
      <w:r>
        <w:t xml:space="preserve">Одновременно существует второй разрыв — словарный. Пользователь формулирует: «нужен подход к построению ИТ-стратегии для розничного банка». В документе написано: «на первом этапе проведён анализ текущей архитектуры и целевой операционной модели». Общих слов между запросом и ответом практически нет, и векторная близость между ними низкая, хотя это ровно тот текст, который нужен.</w:t>
      </w:r>
    </w:p>
    <w:p>
      <w:pPr>
        <w:spacing w:after="120" w:line="276"/>
        <w:jc w:val="both"/>
      </w:pPr>
      <w:r>
        <w:t xml:space="preserve">Ни один из двух разрывов не закрывается настройкой поиска. Оба закрываются преобразованием запроса до поиска.</w:t>
      </w:r>
    </w:p>
    <w:p>
      <w:pPr>
        <w:pStyle w:val="Heading3"/>
        <w:spacing w:after="100" w:before="200"/>
      </w:pPr>
      <w:r>
        <w:t xml:space="preserve">Почему это не роутер, который был исключён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26"/>
      </w:tblGrid>
      <w:tr>
        <w:trPr>
          <w:tblHeader/>
        </w:trPr>
        <w:tc>
          <w:tcPr>
            <w:tcW w:type="dxa" w:w="1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3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Роутер (исключён в версии 2.0)</w:t>
            </w:r>
          </w:p>
        </w:tc>
        <w:tc>
          <w:tcPr>
            <w:tcW w:type="dxa" w:w="362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Разбор запроса (введён в 2.2)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Решает вопрос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Куда</w:t>
            </w: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 идти: векторная база, реестр или оба</w:t>
            </w:r>
          </w:p>
        </w:tc>
        <w:tc>
          <w:tcPr>
            <w:tcW w:type="dxa" w:w="3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Что</w:t>
            </w: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 искать: в каких формулировках и по каким граням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Устранимость задачи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Устранима: запросить оба источника стоит десятки миллисекунд</w:t>
            </w:r>
          </w:p>
        </w:tc>
        <w:tc>
          <w:tcPr>
            <w:tcW w:type="dxa" w:w="3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Неустранима: разрыв в словаре не закрывается количеством запросов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Что происходит при отказе от компонента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Ничего — просто запрашиваем всё</w:t>
            </w:r>
          </w:p>
        </w:tc>
        <w:tc>
          <w:tcPr>
            <w:tcW w:type="dxa" w:w="3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Поиск ищет вопрос среди ответов и не находит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8.2. Декомпозиция запроса по граням подхода</w:t>
      </w:r>
    </w:p>
    <w:p>
      <w:pPr>
        <w:spacing w:after="120" w:line="276"/>
        <w:jc w:val="both"/>
      </w:pPr>
      <w:r>
        <w:t xml:space="preserve">Один запрос пользователя разворачивается в несколько подзапросов — по одному на грань. Причина техническая: один вектор не может быть одновременно близок к описанию методологии и к календарному плану работ. Это разные по стилю и лексике тексты, и усреднённый запрос попадёт между ними, не найдя ни того, ни другого.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626"/>
      </w:tblGrid>
      <w:tr>
        <w:trPr>
          <w:tblHeader/>
        </w:trPr>
        <w:tc>
          <w:tcPr>
            <w:tcW w:type="dxa" w:w="2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Грань подхода</w:t>
            </w:r>
          </w:p>
        </w:tc>
        <w:tc>
          <w:tcPr>
            <w:tcW w:type="dxa" w:w="3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Что ищем</w:t>
            </w:r>
          </w:p>
        </w:tc>
        <w:tc>
          <w:tcPr>
            <w:tcW w:type="dxa" w:w="362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Где обычно находится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Понимание задачи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Как формулировалась проблема заказчика</w:t>
            </w:r>
          </w:p>
        </w:tc>
        <w:tc>
          <w:tcPr>
            <w:tcW w:type="dxa" w:w="3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Вводные разделы КП, преамбула отчёта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Методология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Какой подход и стандарт применялись</w:t>
            </w:r>
          </w:p>
        </w:tc>
        <w:tc>
          <w:tcPr>
            <w:tcW w:type="dxa" w:w="3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Раздел о методологии, приложения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Этапы и последовательность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Из каких шагов состояла работа</w:t>
            </w:r>
          </w:p>
        </w:tc>
        <w:tc>
          <w:tcPr>
            <w:tcW w:type="dxa" w:w="3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Календарный план, описание этапов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Инструменты и артефакты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Что конкретно создавалось на выходе</w:t>
            </w:r>
          </w:p>
        </w:tc>
        <w:tc>
          <w:tcPr>
            <w:tcW w:type="dxa" w:w="3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Состав работ, перечень результатов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Риски и ограничения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 чем столкнулись и как обошли</w:t>
            </w:r>
          </w:p>
        </w:tc>
        <w:tc>
          <w:tcPr>
            <w:tcW w:type="dxa" w:w="3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Раздел рисков, извлечённые уроки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Результат и эффект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Чем закончилось, что получил заказчик</w:t>
            </w:r>
          </w:p>
        </w:tc>
        <w:tc>
          <w:tcPr>
            <w:tcW w:type="dxa" w:w="3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Заключение, акты, благодарственные письма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t xml:space="preserve">Состав граней задаётся шаблоном и различается по типам задач: для подтверждения опыта достаточно двух граней, для генерации методологического раздела отчёта нужны все шесть.</w:t>
      </w:r>
    </w:p>
    <w:p>
      <w:pPr>
        <w:pStyle w:val="Heading2"/>
        <w:spacing w:after="120" w:before="240"/>
      </w:pPr>
      <w:r>
        <w:t xml:space="preserve">8.3. HyDE: поиск ответа по ответу</w:t>
      </w:r>
    </w:p>
    <w:p>
      <w:pPr>
        <w:spacing w:after="120" w:line="276"/>
        <w:jc w:val="both"/>
      </w:pPr>
      <w:r>
        <w:rPr>
          <w:b/>
          <w:bCs/>
        </w:rPr>
        <w:t xml:space="preserve">Суть приёма.</w:t>
      </w:r>
      <w:r>
        <w:t xml:space="preserve"> Запрос пользователя — это вопрос, а корпус состоит из ответов. Вопрос и ответ на него написаны разными словами, поэтому их векторы закономерно расходятся. HyDE (Hypothetical Document Embeddings) устраняет асимметрию: модель сначала пишет </w:t>
      </w:r>
      <w:r>
        <w:rPr>
          <w:b/>
          <w:bCs/>
        </w:rPr>
        <w:t xml:space="preserve">гипотетический фрагмент документа</w:t>
      </w:r>
      <w:r>
        <w:t xml:space="preserve"> — как выглядел бы ответ, если бы он существовал, — и поиск ведётся по вектору этого фрагмента.</w:t>
      </w:r>
    </w:p>
    <w:p>
      <w:pPr>
        <w:pBdr>
          <w:top w:val="single" w:color="DCE6F1" w:sz="2"/>
          <w:bottom w:val="single" w:color="DCE6F1" w:sz="2"/>
          <w:left w:val="single" w:color="1F4E79" w:sz="18" w:space="8"/>
          <w:right w:val="single" w:color="DCE6F1" w:sz="2"/>
        </w:pBdr>
        <w:shd w:fill="DCE6F1" w:val="clear"/>
        <w:spacing w:after="160" w:before="120" w:line="276"/>
        <w:ind w:left="120" w:right="120"/>
      </w:pPr>
      <w:r>
        <w:rPr>
          <w:b/>
          <w:bCs/>
        </w:rPr>
        <w:t xml:space="preserve">Гипотетический фрагмент не претендует на правильность.</w:t>
      </w:r>
      <w:r>
        <w:t xml:space="preserve"> Факты в нём могут быть выдуманы целиком. Его назначение — перенести запрос из «пространства вопросов» в «пространство ответов»: он написан той же лексикой и в том же жанре, что и целевые документы, и именно это определяет положение вектора. Это поисковый ключ, а не утверждение.</w:t>
      </w:r>
    </w:p>
    <w:p>
      <w:pPr>
        <w:pStyle w:val="Heading3"/>
        <w:spacing w:after="100" w:before="200"/>
      </w:pPr>
      <w:r>
        <w:t xml:space="preserve">Обязательное правило реализации</w:t>
      </w:r>
    </w:p>
    <w:p>
      <w:pPr>
        <w:pBdr>
          <w:top w:val="single" w:color="FBE4D5" w:sz="2"/>
          <w:bottom w:val="single" w:color="FBE4D5" w:sz="2"/>
          <w:left w:val="single" w:color="1F4E79" w:sz="18" w:space="8"/>
          <w:right w:val="single" w:color="FBE4D5" w:sz="2"/>
        </w:pBdr>
        <w:shd w:fill="FBE4D5" w:val="clear"/>
        <w:spacing w:after="160" w:before="120" w:line="276"/>
        <w:ind w:left="120" w:right="120"/>
      </w:pPr>
      <w:r>
        <w:rPr>
          <w:b/>
          <w:bCs/>
        </w:rPr>
        <w:t xml:space="preserve">Гипотетический фрагмент не попадает в контекст генерации ни при каких условиях.</w:t>
      </w:r>
      <w:r>
        <w:t xml:space="preserve"> Его жизненный цикл: сгенерирован → превращён в вектор → использован для поиска → уничтожен. Модель, формирующая итоговый текст, видит только реальные чанки из реальных документов. При соблюдении этого правила HyDE не способен внести вымысел в результат. При нарушении — внесёт немедленно.</w:t>
      </w:r>
    </w:p>
    <w:p>
      <w:pPr>
        <w:pStyle w:val="Heading3"/>
        <w:spacing w:after="100" w:before="200"/>
      </w:pPr>
      <w:r>
        <w:t xml:space="preserve">Принятое решение: два ключа поиска вместо одного</w:t>
      </w:r>
    </w:p>
    <w:p>
      <w:pPr>
        <w:spacing w:after="120" w:line="276"/>
        <w:jc w:val="both"/>
      </w:pPr>
      <w:r>
        <w:t xml:space="preserve">У приёма есть известное ограничение: если модель написала гипотезу в терминах распространённой отраслевой практики, а компания работает по-своему, вектор уводит поиск в сторону и выдача </w:t>
      </w:r>
      <w:r>
        <w:rPr>
          <w:b/>
          <w:bCs/>
        </w:rPr>
        <w:t xml:space="preserve">ухудшается</w:t>
      </w:r>
      <w:r>
        <w:t xml:space="preserve"> по сравнению с обычным запросом.</w:t>
      </w:r>
    </w:p>
    <w:p>
      <w:pPr>
        <w:spacing w:after="120" w:line="276"/>
        <w:jc w:val="both"/>
      </w:pPr>
      <w:r>
        <w:t xml:space="preserve">Поэтому HyDE применяется не как замена, а как </w:t>
      </w:r>
      <w:r>
        <w:rPr>
          <w:b/>
          <w:bCs/>
        </w:rPr>
        <w:t xml:space="preserve">дополнение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Поиск выполняется двумя ключами одновременно: исходной формулировкой подзапроса и гипотетическим фрагментом.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Каждый ключ идёт и в векторный, и в полнотекстовый поиск — итого четыре списка кандидатов на грань.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Списки объединяются через RRF — тем же механизмом, что уже применяется для векторного и лексического поиска.</w:t>
      </w:r>
    </w:p>
    <w:p>
      <w:pPr>
        <w:pBdr>
          <w:top w:val="single" w:color="FBE4D5" w:sz="2"/>
          <w:bottom w:val="single" w:color="FBE4D5" w:sz="2"/>
          <w:left w:val="single" w:color="1F4E79" w:sz="18" w:space="8"/>
          <w:right w:val="single" w:color="FBE4D5" w:sz="2"/>
        </w:pBdr>
        <w:shd w:fill="FBE4D5" w:val="clear"/>
        <w:spacing w:after="160" w:before="120" w:line="276"/>
        <w:ind w:left="120" w:right="120"/>
      </w:pPr>
      <w:r>
        <w:rPr>
          <w:b/>
          <w:bCs/>
        </w:rPr>
        <w:t xml:space="preserve">Уточнение к формулировке гарантии.</w:t>
      </w:r>
      <w:r>
        <w:t xml:space="preserve"> При простом RRF утверждение «гипотеза может только добавить кандидатов» неверно: списки объединяются равноправно, и кандидат исходного запроса может быть вытеснен из среза в 50 позиций. Поэтому применяется </w:t>
      </w:r>
      <w:r>
        <w:rPr>
          <w:b/>
          <w:bCs/>
        </w:rPr>
        <w:t xml:space="preserve">взвешенный RRF</w:t>
      </w:r>
      <w:r>
        <w:t xml:space="preserve"> с весами 1,0 для списков исходного запроса и 0,7 для списков гипотезы. Гипотеза влияет на порядок, но при равных позициях уступает исходной формулировке.</w:t>
      </w:r>
    </w:p>
    <w:p>
      <w:pPr>
        <w:spacing w:after="120" w:line="276"/>
        <w:jc w:val="both"/>
      </w:pPr>
      <w:r>
        <w:t xml:space="preserve">Дополнительный поиск на 20 тыс. чанков стоит миллисекунды, поэтому вторая пара списков не создаёт нагрузки.</w:t>
      </w:r>
    </w:p>
    <w:p>
      <w:pPr>
        <w:pBdr>
          <w:top w:val="single" w:color="DCE6F1" w:sz="2"/>
          <w:bottom w:val="single" w:color="DCE6F1" w:sz="2"/>
          <w:left w:val="single" w:color="1F4E79" w:sz="18" w:space="8"/>
          <w:right w:val="single" w:color="DCE6F1" w:sz="2"/>
        </w:pBdr>
        <w:shd w:fill="DCE6F1" w:val="clear"/>
        <w:spacing w:after="160" w:before="120" w:line="276"/>
        <w:ind w:left="120" w:right="120"/>
      </w:pPr>
      <w:r>
        <w:rPr>
          <w:b/>
          <w:bCs/>
        </w:rPr>
        <w:t xml:space="preserve">Где в этой цепочке MMR.</w:t>
      </w:r>
      <w:r>
        <w:t xml:space="preserve"> RRF объединяет списки кандидатов и работает с позициями, ничего не зная о содержании чанков. Отбор с учётом разнообразия применяется позже — шагом 5 раздела 9.1, после реранкинга, к финальным 5–8 чанкам. Порядок именно такой: сначала собрать всех кандидатов (RRF), затем оценить их точно (реранкер), и только потом отбирать непохожие (MMR). Применять MMR раньше бессмысленно — он бы разнообразил список, который ещё не отранжирован по релевантности.</w:t>
      </w:r>
    </w:p>
    <w:p>
      <w:pPr>
        <w:pStyle w:val="Heading3"/>
        <w:spacing w:after="100" w:before="200"/>
      </w:pPr>
      <w:r>
        <w:t xml:space="preserve">Отдельное решение: гипотеза не заземляется на собственный корпус</w:t>
      </w:r>
    </w:p>
    <w:p>
      <w:pPr>
        <w:spacing w:after="120" w:line="276"/>
        <w:jc w:val="both"/>
      </w:pPr>
      <w:r>
        <w:t xml:space="preserve">Рассматривался вариант подавать модели при генерации гипотезы два-три реальных раздела из собственных документов как образец стиля. Это снизило бы словарное смещение, но </w:t>
      </w:r>
      <w:r>
        <w:rPr>
          <w:b/>
          <w:bCs/>
        </w:rPr>
        <w:t xml:space="preserve">решение принято отрицательное</w:t>
      </w:r>
      <w:r>
        <w:t xml:space="preserve">, и вот почему.</w:t>
      </w:r>
    </w:p>
    <w:p>
      <w:pPr>
        <w:pBdr>
          <w:top w:val="single" w:color="E2EFDA" w:sz="2"/>
          <w:bottom w:val="single" w:color="E2EFDA" w:sz="2"/>
          <w:left w:val="single" w:color="1F4E79" w:sz="18" w:space="8"/>
          <w:right w:val="single" w:color="E2EFDA" w:sz="2"/>
        </w:pBdr>
        <w:shd w:fill="E2EFDA" w:val="clear"/>
        <w:spacing w:after="160" w:before="120" w:line="276"/>
        <w:ind w:left="120" w:right="120"/>
      </w:pPr>
      <w:r>
        <w:t xml:space="preserve">Гипотеза, построенная на собственном корпусе, замыкает систему на то, что компания уже делает. Для сценария подтверждения опыта это безвредно, но для генерации подходов к </w:t>
      </w:r>
      <w:r>
        <w:rPr>
          <w:b/>
          <w:bCs/>
        </w:rPr>
        <w:t xml:space="preserve">новым</w:t>
      </w:r>
      <w:r>
        <w:t xml:space="preserve"> проектам создаёт эхо-камеру: система сможет предложить только уже применявшееся. Гипотеза, порождённая из общих знаний модели, работает мостом наружу — она способна описать задачу отраслевым языком и найти в корпусе релевантный опыт, который сам заказчик описывал иначе.</w:t>
      </w:r>
    </w:p>
    <w:p>
      <w:pPr>
        <w:spacing w:after="120" w:line="276"/>
        <w:jc w:val="both"/>
      </w:pPr>
      <w:r>
        <w:t xml:space="preserve">Риск словарного смещения при этом остаётся, но он закрыт схемой с двумя ключами: исходная формулировка запроса всегда участвует в поиске наравне с гипотезой.</w:t>
      </w:r>
    </w:p>
    <w:p>
      <w:pPr>
        <w:pStyle w:val="Heading2"/>
        <w:spacing w:after="120" w:before="240"/>
      </w:pPr>
      <w:r>
        <w:t xml:space="preserve">8.4. Шаблоны планов поиска</w:t>
      </w:r>
    </w:p>
    <w:p>
      <w:pPr>
        <w:spacing w:after="120" w:line="276"/>
        <w:jc w:val="both"/>
      </w:pPr>
      <w:r>
        <w:t xml:space="preserve">Принцип, определяющий проверяемость всего слоя: </w:t>
      </w:r>
      <w:r>
        <w:rPr>
          <w:b/>
          <w:bCs/>
        </w:rPr>
        <w:t xml:space="preserve">структуру задаёт человек, содержимое заполняет модель.</w:t>
      </w:r>
      <w:r>
        <w:t xml:space="preserve"> Модель не сочиняет план поиска с нуля — она выбирает шаблон из небольшой библиотеки и подставляет параметры. Это тот же подход, по которому в разделе 8.2 отвергнута генерация SQL языковой моделью в пользу параметризованных запросов.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26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Шаг</w:t>
            </w:r>
          </w:p>
        </w:tc>
        <w:tc>
          <w:tcPr>
            <w:tcW w:type="dxa" w:w="3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Кто выполняет</w:t>
            </w:r>
          </w:p>
        </w:tc>
        <w:tc>
          <w:tcPr>
            <w:tcW w:type="dxa" w:w="322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Как проверяется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Определение типа задачи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Языковая модель, классификация в закрытый список</w:t>
            </w:r>
          </w:p>
        </w:tc>
        <w:tc>
          <w:tcPr>
            <w:tcW w:type="dxa" w:w="32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Матрица ошибок на эталонном датасете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Выбор шаблона плана поиска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Детерминированно по типу задачи</w:t>
            </w:r>
          </w:p>
        </w:tc>
        <w:tc>
          <w:tcPr>
            <w:tcW w:type="dxa" w:w="32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Полностью, кодом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Извлечение параметров: отрасль, тип задачи, ограничения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Языковая модель</w:t>
            </w:r>
          </w:p>
        </w:tc>
        <w:tc>
          <w:tcPr>
            <w:tcW w:type="dxa" w:w="32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Сверка со справочниками реестра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Развёртывание шаблона в N подзапросов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Jinja2, детерминированно</w:t>
            </w:r>
          </w:p>
        </w:tc>
        <w:tc>
          <w:tcPr>
            <w:tcW w:type="dxa" w:w="32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Полностью, кодом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Генерация гипотетического фрагмента к каждой грани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Языковая модель</w:t>
            </w:r>
          </w:p>
        </w:tc>
        <w:tc>
          <w:tcPr>
            <w:tcW w:type="dxa" w:w="32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Косвенно, через итоговую полноту поиска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t xml:space="preserve">Шаблоны хранятся в системе контроля версий и редактируются руководителями проектов без участия разработчика — так же, как библиотека шаблонов разделов из раздела 10.3.</w:t>
      </w:r>
    </w:p>
    <w:p>
      <w:pPr>
        <w:pBdr>
          <w:top w:val="single" w:color="FBE4D5" w:sz="2"/>
          <w:bottom w:val="single" w:color="FBE4D5" w:sz="2"/>
          <w:left w:val="single" w:color="1F4E79" w:sz="18" w:space="8"/>
          <w:right w:val="single" w:color="FBE4D5" w:sz="2"/>
        </w:pBdr>
        <w:shd w:fill="FBE4D5" w:val="clear"/>
        <w:spacing w:after="160" w:before="120" w:line="276"/>
        <w:ind w:left="120" w:right="120"/>
      </w:pPr>
      <w:r>
        <w:rPr>
          <w:b/>
          <w:bCs/>
        </w:rPr>
        <w:t xml:space="preserve">Планы поиска и шаблоны разделов образуют не пары, а таблицу соответствия.</w:t>
      </w:r>
      <w:r>
        <w:t xml:space="preserve"> Планов поиска три (по типам задач), шаблонов разделов семь; связь между ними «многие ко многим»: один план обслуживает несколько разделов, один раздел может собираться по разным планам в зависимости от типа задачи. Таблица соответствия «тип задачи → план поиска → допустимые шаблоны разделов» ведётся явно и покрывается тестом на рассинхронизацию: каждый тип задачи имеет план, каждый шаблон раздела достижим хотя бы одним планом.</w:t>
      </w:r>
    </w:p>
    <w:p>
      <w:pPr>
        <w:pStyle w:val="Heading2"/>
        <w:spacing w:after="120" w:before="240"/>
      </w:pPr>
      <w:r>
        <w:t xml:space="preserve">8.5. Издержки слоя</w:t>
      </w:r>
    </w:p>
    <w:p>
      <w:pPr>
        <w:spacing w:after="120" w:line="276"/>
        <w:jc w:val="both"/>
      </w:pPr>
      <w:r>
        <w:t xml:space="preserve">Компонент вводится с открытыми глазами; его цена такова: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Латентность.</w:t>
      </w:r>
      <w:r>
        <w:t xml:space="preserve"> Дополнительный вызов языковой модели перед поиском: разбор запроса и генерация гипотез — ориентировочно 4–8 секунд. При бюджете в минуту приемлемо.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Нагрузка на внешний сервис умножается.</w:t>
      </w:r>
      <w:r>
        <w:t xml:space="preserve"> Шесть граней по два ключа — это двенадцать векторизаций и шесть реранкингов вместо одного набора. При лимите 20 запросов/с и потоке 1–3 документа в месяц это незаметно, но в расчёт внесено.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Собственный класс ошибок.</w:t>
      </w:r>
      <w:r>
        <w:t xml:space="preserve"> Неверно определённый тип задачи даёт неверный план поиска, и система уверенно ищет не то. Это ровно та претензия, которая была предъявлена роутеру, и здесь она снимается не устранением компонента, а измерением: точность классификации отслеживается отдельной метрикой.</w:t>
      </w:r>
    </w:p>
    <w:p>
      <w:pPr>
        <w:pBdr>
          <w:top w:val="single" w:color="E2EFDA" w:sz="2"/>
          <w:bottom w:val="single" w:color="E2EFDA" w:sz="2"/>
          <w:left w:val="single" w:color="1F4E79" w:sz="18" w:space="8"/>
          <w:right w:val="single" w:color="E2EFDA" w:sz="2"/>
        </w:pBdr>
        <w:shd w:fill="E2EFDA" w:val="clear"/>
        <w:spacing w:after="160" w:before="120" w:line="276"/>
        <w:ind w:left="120" w:right="120"/>
      </w:pPr>
      <w:r>
        <w:rPr>
          <w:b/>
          <w:bCs/>
        </w:rPr>
        <w:t xml:space="preserve">Проверка обходится дёшево.</w:t>
      </w:r>
      <w:r>
        <w:t xml:space="preserve"> Слой разбора запроса не затрагивает индекс — это целиком запросная сторона. Включение и отключение выполняются флагом конфигурации, переиндексация не требуется. Поэтому сравнение «с декомпозицией и HyDE» против «без них» на эталонном датасете можно проводить свободно и многократно. Если полнота поиска не растёт — слой отключается без потерь.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9. Слой 4. Поиск</w:t>
      </w:r>
    </w:p>
    <w:p>
      <w:pPr>
        <w:pStyle w:val="Heading2"/>
        <w:spacing w:after="120" w:before="240"/>
      </w:pPr>
      <w:r>
        <w:t xml:space="preserve">9.1. Общая схема</w:t>
      </w:r>
    </w:p>
    <w:p>
      <w:pPr>
        <w:spacing w:after="120" w:line="276"/>
        <w:jc w:val="both"/>
      </w:pPr>
      <w:r>
        <w:t xml:space="preserve">Слой поиска исполняет план, полученный от слоя разбора. На вход приходят N подзапросов по граням подхода, к каждому — два поисковых ключа: исходная формулировка и гипотетический фрагмент.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Векторизация ключей.</w:t>
      </w:r>
      <w:r>
        <w:t xml:space="preserve"> Для каждой грани векторизуются оба ключа.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Гибридный отбор.</w:t>
      </w:r>
      <w:r>
        <w:t xml:space="preserve"> Каждый ключ идёт в векторный и в полнотекстовый поиск — четыре списка кандидатов на грань.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Объединение через RRF.</w:t>
      </w:r>
      <w:r>
        <w:t xml:space="preserve"> Все списки сводятся в один ранжированный, отбирается 50 кандидатов.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Реранкинг.</w:t>
      </w:r>
      <w:r>
        <w:t xml:space="preserve"> Cross-encoder переоценивает 50 кандидатов и переупорядочивает их.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Отбор с учётом разнообразия.</w:t>
      </w:r>
      <w:r>
        <w:t xml:space="preserve"> MMR выбирает финальные 5–8 чанков.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Порог отсечения.</w:t>
      </w:r>
      <w:r>
        <w:t xml:space="preserve"> Если лучший кандидат после реранкинга набрал меньше порогового значения, грань помечается как ненайденная. Система обязана сообщить об этом, а не собирать текст из ближайшего попавшегося.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Параллельно:</w:t>
      </w:r>
      <w:r>
        <w:t xml:space="preserve"> обращение к БД подтверждений по параметризованным запросам.</w:t>
      </w:r>
    </w:p>
    <w:p>
      <w:pPr>
        <w:pBdr>
          <w:top w:val="single" w:color="FBE4D5" w:sz="2"/>
          <w:bottom w:val="single" w:color="FBE4D5" w:sz="2"/>
          <w:left w:val="single" w:color="1F4E79" w:sz="18" w:space="8"/>
          <w:right w:val="single" w:color="FBE4D5" w:sz="2"/>
        </w:pBdr>
        <w:shd w:fill="FBE4D5" w:val="clear"/>
        <w:spacing w:after="160" w:before="120" w:line="276"/>
        <w:ind w:left="120" w:right="120"/>
      </w:pPr>
      <w:r>
        <w:rPr>
          <w:b/>
          <w:bCs/>
        </w:rPr>
        <w:t xml:space="preserve">Порог реранкера — обязательный элемент, а не опция.</w:t>
      </w:r>
      <w:r>
        <w:t xml:space="preserve"> Гипотетический фрагмент HyDE по построению всегда находит что-нибудь похожее, поэтому без порога система никогда не скажет «не найдено». Значение порога определяется на эталонном датасете по запросам, ответа на которые в корпусе заведомо нет.</w:t>
      </w:r>
    </w:p>
    <w:p>
      <w:pPr>
        <w:pStyle w:val="Heading2"/>
        <w:spacing w:after="120" w:before="240"/>
      </w:pPr>
      <w:r>
        <w:t xml:space="preserve">9.2. Гибридный поиск: плотный и лексический</w:t>
      </w:r>
    </w:p>
    <w:p>
      <w:pPr>
        <w:spacing w:after="120" w:line="276"/>
        <w:jc w:val="both"/>
      </w:pPr>
      <w:r>
        <w:t xml:space="preserve">Плотный поиск (по эмбеддингам) находит смысловое сходство, но плохо справляется с точными обозначениями: номерами договоров, названиями стандартов (ГОСТ Р 57580), аббревиатурами, редкими именами продуктов. Лексический поиск делает ровно обратное. Их комбинация закрывает обе слабости.</w:t>
      </w:r>
    </w:p>
    <w:p>
      <w:pPr>
        <w:spacing w:after="120" w:line="276"/>
        <w:jc w:val="both"/>
      </w:pPr>
      <w:r>
        <w:rPr>
          <w:b/>
          <w:bCs/>
        </w:rPr>
        <w:t xml:space="preserve">Изменение относительно версии 2.0.</w:t>
      </w:r>
      <w:r>
        <w:t xml:space="preserve"> Ранее предполагалось получать лексический сигнал из разреженных векторов BGE-M3 — модель умеет выдавать их нативно. Однако предоставленный сервис работает по OpenAI-совместимому протоколу, а стандартный ответ `/v1/embeddings` содержит только плотный вектор размерностью 1024. Разреженные представления через этот интерфейс, вероятнее всего, недоступны (уточняется у владельца сервиса).</w:t>
      </w:r>
    </w:p>
    <w:p>
      <w:pPr>
        <w:spacing w:after="120" w:line="276"/>
        <w:jc w:val="both"/>
      </w:pPr>
      <w:r>
        <w:rPr>
          <w:b/>
          <w:bCs/>
        </w:rPr>
        <w:t xml:space="preserve">Решение: полнотекстовый поиск PostgreSQL.</w:t>
      </w:r>
      <w:r>
        <w:t xml:space="preserve"> Это оказывается даже проще исходного замысла: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В PostgreSQL встроена морфология русского языка. Конструкция `to_tsvector('russian', текст)` приводит «стратегии», «стратегией» и «стратегиям» к единой основе автоматически — отдельный лемматизатор не требуется.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Лексический и векторный поиск выполняются </w:t>
      </w:r>
      <w:r>
        <w:rPr>
          <w:b/>
          <w:bCs/>
        </w:rPr>
        <w:t xml:space="preserve">в одном SQL-запросе к одной таблице</w:t>
      </w:r>
      <w:r>
        <w:t xml:space="preserve">, без отдельного сервиса и без синхронизации индексов.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Инфраструктура не добавляется: PostgreSQL уже используется под pgvector и БД подтверждений.</w:t>
      </w:r>
    </w:p>
    <w:p>
      <w:pPr>
        <w:spacing w:after="120" w:line="276"/>
        <w:jc w:val="both"/>
      </w:pPr>
      <w:r>
        <w:rPr>
          <w:b/>
          <w:bCs/>
        </w:rPr>
        <w:t xml:space="preserve">Объединение результатов — Reciprocal Rank Fusion (RRF).</w:t>
      </w:r>
      <w:r>
        <w:t xml:space="preserve"> Метод складывает не сами оценки (они несопоставимы по шкале: косинусная близость и ts_rank измеряются в разных единицах), а обратные значения позиций в двух списках:</w:t>
      </w:r>
    </w:p>
    <w:p>
      <w:pPr>
        <w:shd w:fill="F2F2F2" w:val="clear"/>
        <w:spacing w:after="100"/>
        <w:ind w:left="240" w:right="120"/>
      </w:pPr>
      <w:r>
        <w:rPr>
          <w:rFonts w:ascii="Consolas" w:cs="Consolas" w:eastAsia="Consolas" w:hAnsi="Consolas"/>
          <w:sz w:val="18"/>
          <w:szCs w:val="18"/>
        </w:rPr>
        <w:t xml:space="preserve">RRF(документ) = 1/(k + позиция_в_векторном) + 1/(k + позиция_в_лексическом),   k ≈ 60</w:t>
      </w:r>
    </w:p>
    <w:p>
      <w:pPr>
        <w:spacing w:after="120" w:line="276"/>
        <w:jc w:val="both"/>
      </w:pPr>
      <w:r>
        <w:t xml:space="preserve">RRF не требует калибровки шкал; веса задаются только для разделения исходного запроса и гипотезы.</w:t>
      </w:r>
    </w:p>
    <w:p>
      <w:pPr>
        <w:pBdr>
          <w:top w:val="single" w:color="FBE4D5" w:sz="2"/>
          <w:bottom w:val="single" w:color="FBE4D5" w:sz="2"/>
          <w:left w:val="single" w:color="1F4E79" w:sz="18" w:space="8"/>
          <w:right w:val="single" w:color="FBE4D5" w:sz="2"/>
        </w:pBdr>
        <w:shd w:fill="FBE4D5" w:val="clear"/>
        <w:spacing w:after="160" w:before="120" w:line="276"/>
        <w:ind w:left="120" w:right="120"/>
      </w:pPr>
      <w:r>
        <w:rPr>
          <w:b/>
          <w:bCs/>
        </w:rPr>
        <w:t xml:space="preserve">Построение полнотекстового запроса.</w:t>
      </w:r>
      <w:r>
        <w:t xml:space="preserve"> Прямое преобразование текста в `plainto_tsquery` даёт конъюнкцию всех лемм. Для гипотезы HyDE длиной в 100–150 слов это гарантированно ноль совпадений, и лексическая половина поиска молча вырождается. Правило: из текста ключа отбираются </w:t>
      </w:r>
      <w:r>
        <w:rPr>
          <w:b/>
          <w:bCs/>
        </w:rPr>
        <w:t xml:space="preserve">8 наиболее редких лемм по IDF</w:t>
      </w:r>
      <w:r>
        <w:t xml:space="preserve">, из них строится дизъюнкция, ранжирование — `ts_rank_cd`.</w:t>
      </w:r>
    </w:p>
    <w:p>
      <w:pPr>
        <w:pBdr>
          <w:top w:val="single" w:color="E2EFDA" w:sz="2"/>
          <w:bottom w:val="single" w:color="E2EFDA" w:sz="2"/>
          <w:left w:val="single" w:color="1F4E79" w:sz="18" w:space="8"/>
          <w:right w:val="single" w:color="E2EFDA" w:sz="2"/>
        </w:pBdr>
        <w:shd w:fill="E2EFDA" w:val="clear"/>
        <w:spacing w:after="160" w:before="120" w:line="276"/>
        <w:ind w:left="120" w:right="120"/>
      </w:pPr>
      <w:r>
        <w:t xml:space="preserve">Если владелец сервиса подтвердит доступность разреженных векторов BGE-M3, схема упростится: лексический сигнал придёт из той же модели, а полнотекстовый поиск PostgreSQL останется как дополнительный сигнал для точных обозначений — номеров договоров, ГОСТов, артикулов.</w:t>
      </w:r>
    </w:p>
    <w:p>
      <w:pPr>
        <w:pStyle w:val="Heading2"/>
        <w:spacing w:after="120" w:before="240"/>
      </w:pPr>
      <w:r>
        <w:t xml:space="preserve">9.3. Что такое реранкер и зачем он нужен</w:t>
      </w:r>
    </w:p>
    <w:p>
      <w:pPr>
        <w:spacing w:after="120" w:line="276"/>
        <w:jc w:val="both"/>
      </w:pPr>
      <w:r>
        <w:t xml:space="preserve">Это ключевой компонент, поэтому разберём его механику подробно.</w:t>
      </w:r>
    </w:p>
    <w:p>
      <w:pPr>
        <w:pStyle w:val="Heading3"/>
        <w:spacing w:after="100" w:before="200"/>
      </w:pPr>
      <w:r>
        <w:t xml:space="preserve">Проблема, которую он решает</w:t>
      </w:r>
    </w:p>
    <w:p>
      <w:pPr>
        <w:spacing w:after="120" w:line="276"/>
        <w:jc w:val="both"/>
      </w:pPr>
      <w:r>
        <w:t xml:space="preserve">Эмбеддинг-модель (её называют </w:t>
      </w:r>
      <w:r>
        <w:rPr>
          <w:b/>
          <w:bCs/>
        </w:rPr>
        <w:t xml:space="preserve">bi-encoder</w:t>
      </w:r>
      <w:r>
        <w:t xml:space="preserve">) сжимает любой текст — и запрос, и чанк — в один вектор фиксированной длины, например 1024 числа. Это сжатие с потерями: весь смысл абзаца на 500 слов приходится уместить в тысячу чисел. Зато векторы чанков вычисляются заранее, один раз при индексации, а поиск сводится к сравнению чисел и работает мгновенно на любом объёме.</w:t>
      </w:r>
    </w:p>
    <w:p>
      <w:pPr>
        <w:spacing w:after="120" w:line="276"/>
        <w:jc w:val="both"/>
      </w:pPr>
      <w:r>
        <w:rPr>
          <w:b/>
          <w:bCs/>
        </w:rPr>
        <w:t xml:space="preserve">Cross-encoder</w:t>
      </w:r>
      <w:r>
        <w:t xml:space="preserve"> (реранкер) устроен иначе. Он не строит отдельных векторов. Он берёт пару «запрос + чанк» и пропускает их через нейросеть </w:t>
      </w:r>
      <w:r>
        <w:rPr>
          <w:b/>
          <w:bCs/>
        </w:rPr>
        <w:t xml:space="preserve">вместе, одним текстом</w:t>
      </w:r>
      <w:r>
        <w:t xml:space="preserve">, так что механизм внимания видит взаимодействие каждого слова запроса с каждым словом чанка. Модель отвечает на вопрос «насколько этот конкретный текст отвечает на этот конкретный запрос» и выдаёт одно число — оценку релевантности.</w:t>
      </w:r>
    </w:p>
    <w:p>
      <w:pPr>
        <w:spacing w:after="120" w:line="276"/>
        <w:jc w:val="both"/>
      </w:pPr>
      <w:r>
        <w:t xml:space="preserve">Точность cross-encoder заметно выше. Но у него есть фундаментальное ограничение: результат зависит от пары, а значит </w:t>
      </w:r>
      <w:r>
        <w:rPr>
          <w:b/>
          <w:bCs/>
        </w:rPr>
        <w:t xml:space="preserve">его нельзя вычислить заранее</w:t>
      </w:r>
      <w:r>
        <w:t xml:space="preserve">. На каждый запрос требуется отдельный прогон нейросети для каждого кандидата.</w:t>
      </w:r>
    </w:p>
    <w:p>
      <w:pPr>
        <w:pStyle w:val="Heading3"/>
        <w:spacing w:after="100" w:before="200"/>
      </w:pPr>
      <w:r>
        <w:t xml:space="preserve">Почему нельзя обойтись только реранкером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1600"/>
        <w:gridCol w:w="2026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Подход</w:t>
            </w:r>
          </w:p>
        </w:tc>
        <w:tc>
          <w:tcPr>
            <w:tcW w:type="dxa" w:w="2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Операций на запрос</w:t>
            </w:r>
          </w:p>
        </w:tc>
        <w:tc>
          <w:tcPr>
            <w:tcW w:type="dxa" w:w="1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Время</w:t>
            </w:r>
          </w:p>
        </w:tc>
        <w:tc>
          <w:tcPr>
            <w:tcW w:type="dxa" w:w="202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Вывод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Только cross-encoder по всей базе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20 000 прогонов сети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Минуты — десятки минут</w:t>
            </w:r>
          </w:p>
        </w:tc>
        <w:tc>
          <w:tcPr>
            <w:tcW w:type="dxa" w:w="20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Неприемлемо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Только bi-encoder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 прогон + сравнение векторов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≈30 мс</w:t>
            </w:r>
          </w:p>
        </w:tc>
        <w:tc>
          <w:tcPr>
            <w:tcW w:type="dxa" w:w="20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Быстро, но точность на границе выдачи низкая</w:t>
            </w:r>
          </w:p>
        </w:tc>
      </w:tr>
      <w:tr>
        <w:tc>
          <w:tcPr>
            <w:tcW w:type="dxa" w:w="30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Двухэтапная схема</w:t>
            </w:r>
          </w:p>
        </w:tc>
        <w:tc>
          <w:tcPr>
            <w:tcW w:type="dxa" w:w="24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1 прогон + 50 прогонов</w:t>
            </w:r>
          </w:p>
        </w:tc>
        <w:tc>
          <w:tcPr>
            <w:tcW w:type="dxa" w:w="16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≈250 мс</w:t>
            </w:r>
          </w:p>
        </w:tc>
        <w:tc>
          <w:tcPr>
            <w:tcW w:type="dxa" w:w="2026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Оптимум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rPr>
          <w:b/>
          <w:bCs/>
        </w:rPr>
        <w:t xml:space="preserve">Аналогия.</w:t>
      </w:r>
      <w:r>
        <w:t xml:space="preserve"> Отбор резюме на вакансию. Первый этап — HR-специалист фильтрует 2000 откликов по формальным признакам за час: быстро, грубо, часть хороших кандидатов теряется. Второй этап — руководитель внимательно читает отобранные 50 резюме целиком: медленно, точно, с пониманием нюансов. Прочитать внимательно все 2000 физически невозможно, а полагаться только на формальный фильтр — значит нанять не того. Реранкер — это второй этап.</w:t>
      </w:r>
    </w:p>
    <w:p>
      <w:pPr>
        <w:pStyle w:val="Heading3"/>
        <w:spacing w:after="100" w:before="200"/>
      </w:pPr>
      <w:r>
        <w:t xml:space="preserve">Замер на реальной паре моделей</w:t>
      </w:r>
    </w:p>
    <w:p>
      <w:pPr>
        <w:spacing w:after="120" w:line="276"/>
        <w:jc w:val="both"/>
      </w:pPr>
      <w:r>
        <w:t xml:space="preserve">Владелец сервиса эмбеддингов предоставил измерение, наглядно показывающее, почему одних эмбеддингов недостаточно. Запрос — «выручка выросла»: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1700"/>
        <w:gridCol w:w="3026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Кандидат</w:t>
            </w:r>
          </w:p>
        </w:tc>
        <w:tc>
          <w:tcPr>
            <w:tcW w:type="dxa" w:w="1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Оценка эмбеддинга</w:t>
            </w:r>
          </w:p>
        </w:tc>
        <w:tc>
          <w:tcPr>
            <w:tcW w:type="dxa" w:w="1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Оценка реранкера</w:t>
            </w:r>
          </w:p>
        </w:tc>
        <w:tc>
          <w:tcPr>
            <w:tcW w:type="dxa" w:w="302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Вывод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Правильный (о росте выручки)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0,813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0,935</w:t>
            </w:r>
          </w:p>
        </w:tc>
        <w:tc>
          <w:tcPr>
            <w:tcW w:type="dxa" w:w="30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Похожий, но о другом (о прибыли)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0,783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0,861</w:t>
            </w:r>
          </w:p>
        </w:tc>
        <w:tc>
          <w:tcPr>
            <w:tcW w:type="dxa" w:w="30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Разрыв вырос с 0,03 до 0,074</w:t>
            </w:r>
          </w:p>
        </w:tc>
      </w:tr>
      <w:tr>
        <w:tc>
          <w:tcPr>
            <w:tcW w:type="dxa" w:w="2600"/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Отрицание («выручка НЕ выросла»)</w:t>
            </w:r>
          </w:p>
        </w:tc>
        <w:tc>
          <w:tcPr>
            <w:tcW w:type="dxa" w:w="1700"/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высокая</w:t>
            </w:r>
          </w:p>
        </w:tc>
        <w:tc>
          <w:tcPr>
            <w:tcW w:type="dxa" w:w="1700"/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0,012</w:t>
            </w:r>
          </w:p>
        </w:tc>
        <w:tc>
          <w:tcPr>
            <w:tcW w:type="dxa" w:w="3026"/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Эмбеддинг отрицания не замечает, реранкер отбрасывает кандидата полностью</w:t>
            </w:r>
          </w:p>
        </w:tc>
      </w:tr>
    </w:tbl>
    <w:p>
      <w:pPr>
        <w:spacing w:after="120"/>
      </w:pPr>
    </w:p>
    <w:p>
      <w:pPr>
        <w:pBdr>
          <w:top w:val="single" w:color="DCE6F1" w:sz="2"/>
          <w:bottom w:val="single" w:color="DCE6F1" w:sz="2"/>
          <w:left w:val="single" w:color="1F4E79" w:sz="18" w:space="8"/>
          <w:right w:val="single" w:color="DCE6F1" w:sz="2"/>
        </w:pBdr>
        <w:shd w:fill="DCE6F1" w:val="clear"/>
        <w:spacing w:after="160" w:before="120" w:line="276"/>
        <w:ind w:left="120" w:right="120"/>
      </w:pPr>
      <w:r>
        <w:rPr>
          <w:b/>
          <w:bCs/>
        </w:rPr>
        <w:t xml:space="preserve">Колонки таблицы измеряются в разных шкалах и напрямую не сравниваются.</w:t>
      </w:r>
      <w:r>
        <w:t xml:space="preserve"> Косинусная близость эмбеддингов формально лежит в диапазоне от −1 до 1, но осмысленные тексты кучкуются в узкой полосе 0,6–0,9; абсолютное значение почти ничего не говорит, значим только порядок кандидатов. Оценка cross-encoder — это вероятность после сигмоиды, и модель обучена так, что 0,9 означает «уверенно да», а 0,01 — «уверенно нет». Она откалибрована. Осмысленно сопоставлять не колонки между собой, а </w:t>
      </w:r>
      <w:r>
        <w:rPr>
          <w:b/>
          <w:bCs/>
        </w:rPr>
        <w:t xml:space="preserve">разрыв между кандидатами внутри каждой шкалы</w:t>
      </w:r>
      <w:r>
        <w:t xml:space="preserve">.</w:t>
      </w:r>
    </w:p>
    <w:p>
      <w:pPr>
        <w:spacing w:after="120" w:line="276"/>
        <w:jc w:val="both"/>
      </w:pPr>
      <w:r>
        <w:t xml:space="preserve">Отсюда следует практическое решение: </w:t>
      </w:r>
      <w:r>
        <w:rPr>
          <w:b/>
          <w:bCs/>
        </w:rPr>
        <w:t xml:space="preserve">порог отсечения «не найдено» ставится на оценке реранкера, а не на косинусной близости</w:t>
      </w:r>
      <w:r>
        <w:t xml:space="preserve"> — именно потому, что первая откалибрована, а вторая нет.</w:t>
      </w:r>
    </w:p>
    <w:p>
      <w:pPr>
        <w:spacing w:after="120" w:line="276"/>
        <w:jc w:val="both"/>
      </w:pPr>
      <w:r>
        <w:t xml:space="preserve">Первая строка показывает главную слабость эмбеддингов: разрыв в 0,03 между правильным и почти правильным кандидатом теряется в шуме — при таком разбросе порядок выдачи фактически случаен. Реранкер увеличивает разрыв более чем вдвое.</w:t>
      </w:r>
    </w:p>
    <w:p>
      <w:pPr>
        <w:spacing w:after="120" w:line="276"/>
        <w:jc w:val="both"/>
      </w:pPr>
      <w:r>
        <w:t xml:space="preserve">Третья строка важнее. Плотный вектор плохо кодирует отрицание: «выручка выросла» и «выручка не выросла» состоят почти из одних и тех же слов и оказываются рядом в векторном пространстве. Cross-encoder видит частицу «не» в контексте всей фразы и снижает оценку до 0,012, то есть исключает кандидата. </w:t>
      </w:r>
      <w:r>
        <w:rPr>
          <w:b/>
          <w:bCs/>
        </w:rPr>
        <w:t xml:space="preserve">Для нашей задачи это критично:</w:t>
      </w:r>
      <w:r>
        <w:t xml:space="preserve"> в коммерческих предложениях и отчётах постоянно встречаются формулировки вида «работы по данному направлению не выполнялись» или «требование не применимо», и попадание такой фразы в контекст как подтверждения опыта дало бы прямо противоположный смысл в тендерной заявке.</w:t>
      </w:r>
    </w:p>
    <w:p>
      <w:pPr>
        <w:pBdr>
          <w:top w:val="single" w:color="DCE6F1" w:sz="2"/>
          <w:bottom w:val="single" w:color="DCE6F1" w:sz="2"/>
          <w:left w:val="single" w:color="1F4E79" w:sz="18" w:space="8"/>
          <w:right w:val="single" w:color="DCE6F1" w:sz="2"/>
        </w:pBdr>
        <w:shd w:fill="DCE6F1" w:val="clear"/>
        <w:spacing w:after="160" w:before="120" w:line="276"/>
        <w:ind w:left="120" w:right="120"/>
      </w:pPr>
      <w:r>
        <w:rPr>
          <w:b/>
          <w:bCs/>
        </w:rPr>
        <w:t xml:space="preserve">Замер выполнен на финансовых формулировках, а не на нашем корпусе.</w:t>
      </w:r>
      <w:r>
        <w:t xml:space="preserve"> Он иллюстрирует механизм и подтверждает правильность выбора, но собственные значения по нашим документам необходимо получить на этапе 3 дорожной карты.</w:t>
      </w:r>
    </w:p>
    <w:p>
      <w:pPr>
        <w:pStyle w:val="Heading3"/>
        <w:spacing w:after="100" w:before="200"/>
      </w:pPr>
      <w:r>
        <w:t xml:space="preserve">Общий практический эффект</w:t>
      </w:r>
    </w:p>
    <w:p>
      <w:pPr>
        <w:spacing w:after="120" w:line="276"/>
        <w:jc w:val="both"/>
      </w:pPr>
      <w:r>
        <w:t xml:space="preserve">Типичная картина: bi-encoder возвращает 50 кандидатов, среди которых нужный чанк находится, скажем, на 23-й позиции. Если передать модели первые 5 без реранкинга — нужный фрагмент не попадёт в контекст, и система ответит либо неполно, либо выдумает ответ. Реранкер поднимает его на 2–3 позицию. </w:t>
      </w:r>
      <w:r>
        <w:rPr>
          <w:b/>
          <w:bCs/>
        </w:rPr>
        <w:t xml:space="preserve">Прирост качества выдачи от реранкинга обычно составляет 10–25 процентных пунктов</w:t>
      </w:r>
      <w:r>
        <w:t xml:space="preserve"> и является самым дешёвым улучшением в RAG-системе.</w:t>
      </w:r>
    </w:p>
    <w:p>
      <w:pPr>
        <w:pStyle w:val="Heading3"/>
        <w:spacing w:after="100" w:before="200"/>
      </w:pPr>
      <w:r>
        <w:t xml:space="preserve">О выборе модели реранкера</w:t>
      </w:r>
    </w:p>
    <w:p>
      <w:pPr>
        <w:spacing w:after="120" w:line="276"/>
        <w:jc w:val="both"/>
      </w:pPr>
      <w:r>
        <w:t xml:space="preserve">В версии 1.0 предлагался Qwen3-Reranker-8B; в версии 2.0 было предложено заменить его на модель на 568 млн параметров. Предоставленный сервис использует </w:t>
      </w:r>
      <w:r>
        <w:rPr>
          <w:b/>
          <w:bCs/>
        </w:rPr>
        <w:t xml:space="preserve">bge-reranker-v2-m3</w:t>
      </w:r>
      <w:r>
        <w:t xml:space="preserve"> — ровно ту модель, которая была рекомендована, и из того же семейства, что и модель эмбеддингов. Вопрос закрыт: выбор зафиксирован внешним сервисом и совпадает с нашим.</w:t>
      </w:r>
    </w:p>
    <w:p>
      <w:pPr>
        <w:spacing w:after="120" w:line="276"/>
        <w:jc w:val="both"/>
      </w:pPr>
      <w:r>
        <w:t xml:space="preserve">Аргументы, приведшие к этому выбору, сохраняют силу и на случай переноса реранкера на собственное железо: реранкер вызывается на 50 кандидатов при каждом запросе, поэтому разница между моделью на 568 млн и на 8 млрд параметров умножается на 50 и превращается из десятков миллисекунд в секунды. Задача реранкера — оценить релевантность пары, а не рассуждать; выигрыш от увеличения модели здесь быстро выходит на плато.</w:t>
      </w:r>
    </w:p>
    <w:p>
      <w:pPr>
        <w:pStyle w:val="Heading2"/>
        <w:spacing w:after="120" w:before="240"/>
      </w:pPr>
      <w:r>
        <w:t xml:space="preserve">9.4. Фильтрация по метаданным: почему жёсткий фильтр опасен</w:t>
      </w:r>
    </w:p>
    <w:p>
      <w:pPr>
        <w:spacing w:after="120" w:line="276"/>
        <w:jc w:val="both"/>
      </w:pPr>
      <w:r>
        <w:t xml:space="preserve">Уточнение к пункту, вызвавшему вопрос. Метаданные хранить нужно — этот вопрос не обсуждается, и предложенный состав полей верен. Возражение касалось не хранения, а </w:t>
      </w:r>
      <w:r>
        <w:rPr>
          <w:b/>
          <w:bCs/>
        </w:rPr>
        <w:t xml:space="preserve">использования метаданных как жёсткого фильтра, отсекающего документы до выполнения поиска</w:t>
      </w:r>
      <w:r>
        <w:t xml:space="preserve">.</w:t>
      </w:r>
    </w:p>
    <w:p>
      <w:pPr>
        <w:pStyle w:val="Heading3"/>
        <w:spacing w:after="100" w:before="200"/>
      </w:pPr>
      <w:r>
        <w:t xml:space="preserve">В чём разница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326"/>
      </w:tblGrid>
      <w:tr>
        <w:trPr>
          <w:tblHeader/>
        </w:trPr>
        <w:tc>
          <w:tcPr>
            <w:tcW w:type="dxa" w:w="23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Подход</w:t>
            </w:r>
          </w:p>
        </w:tc>
        <w:tc>
          <w:tcPr>
            <w:tcW w:type="dxa" w:w="3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Как работает</w:t>
            </w:r>
          </w:p>
        </w:tc>
        <w:tc>
          <w:tcPr>
            <w:tcW w:type="dxa" w:w="332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Риск</w:t>
            </w:r>
          </w:p>
        </w:tc>
      </w:tr>
      <w:tr>
        <w:tc>
          <w:tcPr>
            <w:tcW w:type="dxa" w:w="2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Жёсткий фильтр</w:t>
            </w: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 (было в v1.0)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Из запроса извлекается сущность → формируется условие WHERE → поиск выполняется только внутри отфильтрованного подмножества</w:t>
            </w:r>
          </w:p>
        </w:tc>
        <w:tc>
          <w:tcPr>
            <w:tcW w:type="dxa" w:w="3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Ошибка в определении сущности </w:t>
            </w:r>
            <w:r>
              <w:rPr>
                <w:b/>
                <w:bCs/>
                <w:color w:val="000000"/>
                <w:sz w:val="19"/>
                <w:szCs w:val="19"/>
              </w:rPr>
              <w:t xml:space="preserve">молча уничтожает правильный ответ ещё до поиска</w:t>
            </w: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. Система уверенно отвечает по неверным документам, и метрики достоверности при этом остаются высокими</w:t>
            </w:r>
          </w:p>
        </w:tc>
      </w:tr>
      <w:tr>
        <w:tc>
          <w:tcPr>
            <w:tcW w:type="dxa" w:w="2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Мягкое повышение приоритета</w:t>
            </w: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 (рекомендуется)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Поиск идёт по всей базе; совпадение метаданных добавляет вес при переранжировании</w:t>
            </w:r>
          </w:p>
        </w:tc>
        <w:tc>
          <w:tcPr>
            <w:tcW w:type="dxa" w:w="3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Худший случай — релевантный документ окажется чуть ниже в выдаче. Ничего не теряется безвозвратно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t xml:space="preserve">Конкретный пример отказа</w:t>
      </w:r>
    </w:p>
    <w:p>
      <w:pPr>
        <w:spacing w:after="120" w:line="276"/>
        <w:jc w:val="both"/>
      </w:pPr>
      <w:r>
        <w:t xml:space="preserve">Запрос: «какой у нас опыт построения ИТ-стратегии для банков?»</w:t>
      </w:r>
    </w:p>
    <w:p>
      <w:pPr>
        <w:spacing w:after="120" w:line="276"/>
        <w:jc w:val="both"/>
      </w:pPr>
      <w:r>
        <w:t xml:space="preserve">При жёсткой фильтрации система определяет отрасль как «банк» и ограничивает поиск проектами с этим значением. Что теряется: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Проект, у которого в реестре указано «финансовый сектор», а не «банк» — расхождение в справочнике.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Проект для страховой компании, где применялась ровно та же методология и который был бы отличным образцом.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Проект, у которого поле отрасли просто не заполнено.</w:t>
      </w:r>
    </w:p>
    <w:p>
      <w:pPr>
        <w:spacing w:after="120" w:line="276"/>
        <w:jc w:val="both"/>
      </w:pPr>
      <w:r>
        <w:t xml:space="preserve">Во всех трёх случаях система не сообщает о потере. Она выдаёт связный ответ по оставшимся документам, и пользователь не знает, что лучший материал был отброшен на первом шаге.</w:t>
      </w:r>
    </w:p>
    <w:p>
      <w:pPr>
        <w:pStyle w:val="Heading3"/>
        <w:spacing w:after="100" w:before="200"/>
      </w:pPr>
      <w:r>
        <w:t xml:space="preserve">Правило, которое предлагается закрепить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Ситуация</w:t>
            </w:r>
          </w:p>
        </w:tc>
        <w:tc>
          <w:tcPr>
            <w:tcW w:type="dxa" w:w="572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Поведение системы</w:t>
            </w:r>
          </w:p>
        </w:tc>
      </w:tr>
      <w:tr>
        <w:tc>
          <w:tcPr>
            <w:tcW w:type="dxa" w:w="3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Пользователь </w:t>
            </w:r>
            <w:r>
              <w:rPr>
                <w:b/>
                <w:bCs/>
                <w:color w:val="000000"/>
                <w:sz w:val="19"/>
                <w:szCs w:val="19"/>
              </w:rPr>
              <w:t xml:space="preserve">явно выбрал</w:t>
            </w: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 проект, тип документа или период в интерфейсе (чекбоксы, выпадающие списки)</w:t>
            </w:r>
          </w:p>
        </w:tc>
        <w:tc>
          <w:tcPr>
            <w:tcW w:type="dxa" w:w="57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Жёсткий фильтр применяется: это осознанное намерение пользователя, и он видит, что фильтр включён. </w:t>
            </w:r>
            <w:r>
              <w:rPr>
                <w:b/>
                <w:bCs/>
                <w:color w:val="000000"/>
                <w:sz w:val="19"/>
                <w:szCs w:val="19"/>
              </w:rPr>
              <w:t xml:space="preserve">Отнесено к MVP+</w:t>
            </w: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 — требует проработанного интерфейса с выбором, которого на PoC не будет</w:t>
            </w:r>
          </w:p>
        </w:tc>
      </w:tr>
      <w:tr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Пользователь ввёл </w:t>
            </w:r>
            <w:r>
              <w:rPr>
                <w:b/>
                <w:bCs/>
                <w:color w:val="000000"/>
                <w:sz w:val="19"/>
                <w:szCs w:val="19"/>
              </w:rPr>
              <w:t xml:space="preserve">свободный текстовый запрос</w:t>
            </w:r>
          </w:p>
        </w:tc>
        <w:tc>
          <w:tcPr>
            <w:tcW w:type="dxa" w:w="57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Фильтр не применяется. Поиск идёт по всей базе; метаданные используются как повышающий вес при переранжировании</w:t>
            </w:r>
          </w:p>
        </w:tc>
      </w:tr>
      <w:tr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Совпадение по отрасли, свежести документа, статусу «тендер выигран»</w:t>
            </w:r>
          </w:p>
        </w:tc>
        <w:tc>
          <w:tcPr>
            <w:tcW w:type="dxa" w:w="57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Повышающий коэффициент при ранжировании, не отсечение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t xml:space="preserve">При объёме в 20 тыс. чанков отказ от предварительной фильтрации не создаёт проблем с производительностью: поиск по всей базе и по её десятой части занимает одинаково незаметное время.</w:t>
      </w:r>
    </w:p>
    <w:p>
      <w:pPr>
        <w:pStyle w:val="Heading3"/>
        <w:spacing w:after="100" w:before="200"/>
      </w:pPr>
      <w:r>
        <w:t xml:space="preserve">Как именно применяется повышение приоритета</w:t>
      </w:r>
    </w:p>
    <w:p>
      <w:pPr>
        <w:spacing w:after="120" w:line="276"/>
        <w:jc w:val="both"/>
      </w:pPr>
      <w:r>
        <w:t xml:space="preserve">Метаданные влияют на выдачу </w:t>
      </w:r>
      <w:r>
        <w:rPr>
          <w:b/>
          <w:bCs/>
        </w:rPr>
        <w:t xml:space="preserve">после реранкинга и до отбора разнообразия</w:t>
      </w:r>
      <w:r>
        <w:t xml:space="preserve">. Итоговая оценка кандидата:</w:t>
      </w:r>
    </w:p>
    <w:p>
      <w:pPr>
        <w:shd w:fill="F2F2F2" w:val="clear"/>
        <w:spacing w:after="100"/>
        <w:ind w:left="240" w:right="120"/>
      </w:pPr>
      <w:r>
        <w:rPr>
          <w:rFonts w:ascii="Consolas" w:cs="Consolas" w:eastAsia="Consolas" w:hAnsi="Consolas"/>
          <w:sz w:val="18"/>
          <w:szCs w:val="18"/>
        </w:rPr>
        <w:t xml:space="preserve">score = score_rerank * (1 + w_industry*совпала_отрасль + w_won*тендер_выигран + w_fresh*свежесть)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600"/>
        <w:gridCol w:w="2626"/>
      </w:tblGrid>
      <w:tr>
        <w:trPr>
          <w:tblHeader/>
        </w:trPr>
        <w:tc>
          <w:tcPr>
            <w:tcW w:type="dxa" w:w="1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Коэффициент</w:t>
            </w:r>
          </w:p>
        </w:tc>
        <w:tc>
          <w:tcPr>
            <w:tcW w:type="dxa" w:w="4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Условие</w:t>
            </w:r>
          </w:p>
        </w:tc>
        <w:tc>
          <w:tcPr>
            <w:tcW w:type="dxa" w:w="262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Значение по умолчанию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`w_industry`</w:t>
            </w:r>
          </w:p>
        </w:tc>
        <w:tc>
          <w:tcPr>
            <w:tcW w:type="dxa" w:w="4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Отрасль проекта совпала с отраслью из параметров запроса</w:t>
            </w:r>
          </w:p>
        </w:tc>
        <w:tc>
          <w:tcPr>
            <w:tcW w:type="dxa" w:w="2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0,10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`w_won`</w:t>
            </w:r>
          </w:p>
        </w:tc>
        <w:tc>
          <w:tcPr>
            <w:tcW w:type="dxa" w:w="4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`tender_result = 'won'`</w:t>
            </w:r>
          </w:p>
        </w:tc>
        <w:tc>
          <w:tcPr>
            <w:tcW w:type="dxa" w:w="2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0,15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`w_fresh`</w:t>
            </w:r>
          </w:p>
        </w:tc>
        <w:tc>
          <w:tcPr>
            <w:tcW w:type="dxa" w:w="4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Линейно убывает от 1 до 0 на горизонте 5 лет от даты документа</w:t>
            </w:r>
          </w:p>
        </w:tc>
        <w:tc>
          <w:tcPr>
            <w:tcW w:type="dxa" w:w="2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0,05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t xml:space="preserve">Веса вынесены в конфигурацию и подбираются на эталонном датасете. </w:t>
      </w:r>
      <w:r>
        <w:rPr>
          <w:b/>
          <w:bCs/>
        </w:rPr>
        <w:t xml:space="preserve">Это единственное место, где используются поля отрасли, результата тендера и даты</w:t>
      </w:r>
      <w:r>
        <w:t xml:space="preserve"> — без него их заполнение не имеет потребителя.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10. Слой 5. Генерация</w:t>
      </w:r>
    </w:p>
    <w:p>
      <w:pPr>
        <w:pStyle w:val="Heading2"/>
        <w:spacing w:after="120" w:before="240"/>
      </w:pPr>
      <w:r>
        <w:t xml:space="preserve">10.1. Генерация по образцу, а не ответ на вопрос</w:t>
      </w:r>
    </w:p>
    <w:p>
      <w:pPr>
        <w:spacing w:after="120" w:line="276"/>
        <w:jc w:val="both"/>
      </w:pPr>
      <w:r>
        <w:t xml:space="preserve">Наиболее существенное изменение по сравнению с версией 1.0. Обе целевые задачи — подготовка раздела КП и генерация раздела отчёта — являются генерацией по образцу. Различие принципиальное: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400"/>
        <w:gridCol w:w="3526"/>
      </w:tblGrid>
      <w:tr>
        <w:trPr>
          <w:tblHeader/>
        </w:trPr>
        <w:tc>
          <w:tcPr>
            <w:tcW w:type="dxa" w:w="2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3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Вопросно-ответная система (было)</w:t>
            </w:r>
          </w:p>
        </w:tc>
        <w:tc>
          <w:tcPr>
            <w:tcW w:type="dxa" w:w="352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Генерация по образцу (нужно)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Единица поиска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Абзац, 400–600 токенов</w:t>
            </w:r>
          </w:p>
        </w:tc>
        <w:tc>
          <w:tcPr>
            <w:tcW w:type="dxa" w:w="35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Целый раздел документа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Что подаётся модели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5–8 разрозненных фрагментов</w:t>
            </w:r>
          </w:p>
        </w:tc>
        <w:tc>
          <w:tcPr>
            <w:tcW w:type="dxa" w:w="35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2–3 полных раздела из прошлых документов + фактические данные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Формулировка задачи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«Ответь на вопрос по контексту»</w:t>
            </w:r>
          </w:p>
        </w:tc>
        <w:tc>
          <w:tcPr>
            <w:tcW w:type="dxa" w:w="35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«Напиши раздел такого же типа для нового заказчика, следуя структуре и стилю образцов»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Результат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Ответ на вопрос</w:t>
            </w:r>
          </w:p>
        </w:tc>
        <w:tc>
          <w:tcPr>
            <w:tcW w:type="dxa" w:w="35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Готовый фрагмент документа в стиле компании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t xml:space="preserve">Человек, готовящий КП, поступает именно так: находит два-три похожих раздела из прошлых предложений и переписывает их под нового заказчика. Он не собирает раздел из семи абзацев-обрывков. Система должна воспроизводить этот же способ работы.</w:t>
      </w:r>
    </w:p>
    <w:p>
      <w:pPr>
        <w:pBdr>
          <w:top w:val="single" w:color="DCE6F1" w:sz="2"/>
          <w:bottom w:val="single" w:color="DCE6F1" w:sz="2"/>
          <w:left w:val="single" w:color="1F4E79" w:sz="18" w:space="8"/>
          <w:right w:val="single" w:color="DCE6F1" w:sz="2"/>
        </w:pBdr>
        <w:shd w:fill="DCE6F1" w:val="clear"/>
        <w:spacing w:after="160" w:before="120" w:line="276"/>
        <w:ind w:left="120" w:right="120"/>
      </w:pPr>
      <w:r>
        <w:rPr>
          <w:b/>
          <w:bCs/>
        </w:rPr>
        <w:t xml:space="preserve">Для сценария А приоритет в сборке контекста отдаётся подтверждениям.</w:t>
      </w:r>
      <w:r>
        <w:t xml:space="preserve"> Тендерная заявка оценивается прежде всего по доказанному опыту, поэтому факты из БД подтверждений размещаются в контексте раньше описательных фрагментов и не усекаются при исчерпании бюджета токенов.</w:t>
      </w:r>
    </w:p>
    <w:p>
      <w:pPr>
        <w:pStyle w:val="Heading2"/>
        <w:spacing w:after="120" w:before="240"/>
      </w:pPr>
      <w:r>
        <w:t xml:space="preserve">10.2. Двухуровневый индекс</w:t>
      </w:r>
    </w:p>
    <w:p>
      <w:pPr>
        <w:spacing w:after="120" w:line="276"/>
        <w:jc w:val="both"/>
      </w:pPr>
      <w:r>
        <w:t xml:space="preserve">Из этого следует необходимость двух индексов над одним корпусом: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626"/>
      </w:tblGrid>
      <w:tr>
        <w:trPr>
          <w:tblHeader/>
        </w:trPr>
        <w:tc>
          <w:tcPr>
            <w:tcW w:type="dxa" w:w="1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Индекс</w:t>
            </w:r>
          </w:p>
        </w:tc>
        <w:tc>
          <w:tcPr>
            <w:tcW w:type="dxa" w:w="2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Единица</w:t>
            </w:r>
          </w:p>
        </w:tc>
        <w:tc>
          <w:tcPr>
            <w:tcW w:type="dxa" w:w="462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Применение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Чанковый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Абзац, 400–600 токенов</w:t>
            </w:r>
          </w:p>
        </w:tc>
        <w:tc>
          <w:tcPr>
            <w:tcW w:type="dxa" w:w="4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Фактические запросы, подтверждение опыта, поиск конкретных сведений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Секционный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Целый раздел документа со всей структурой</w:t>
            </w:r>
          </w:p>
        </w:tc>
        <w:tc>
          <w:tcPr>
            <w:tcW w:type="dxa" w:w="4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Генерация по образцу — сценарии А и Б. Отбирается 2–3 наиболее похожих раздела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t xml:space="preserve">Секционный индекс строится поверх той же разметки, что и чанковый, и обходится в дополнительные 500–800 векторов.</w:t>
      </w:r>
    </w:p>
    <w:p>
      <w:pPr>
        <w:pStyle w:val="Heading3"/>
        <w:spacing w:after="100" w:before="200"/>
      </w:pPr>
      <w:r>
        <w:t xml:space="preserve">Механизм отбора разделов-образцов</w:t>
      </w:r>
    </w:p>
    <w:p>
      <w:pPr>
        <w:pBdr>
          <w:top w:val="single" w:color="FBE4D5" w:sz="2"/>
          <w:bottom w:val="single" w:color="FBE4D5" w:sz="2"/>
          <w:left w:val="single" w:color="1F4E79" w:sz="18" w:space="8"/>
          <w:right w:val="single" w:color="FBE4D5" w:sz="2"/>
        </w:pBdr>
        <w:shd w:fill="FBE4D5" w:val="clear"/>
        <w:spacing w:after="160" w:before="120" w:line="276"/>
        <w:ind w:left="120" w:right="120"/>
      </w:pPr>
      <w:r>
        <w:rPr>
          <w:b/>
          <w:bCs/>
        </w:rPr>
        <w:t xml:space="preserve">Секционная ветвь поиска обязательна и выполняется параллельно чанковой.</w:t>
      </w:r>
      <w:r>
        <w:t xml:space="preserve"> Без неё система вырождается в вопросно-ответную, от которой концепция отказалась в разделе 10.1: в контекст попадают только разрозненные абзацы, и генерация по образцу становится невозможной.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Запрос (исходная формулировка и гипотеза) векторизуется и ищется по индексу `sections` — независимо от поиска по чанкам.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Кандидаты-разделы переранжируются тем же cross-encoder'ом.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Отбираются </w:t>
      </w:r>
      <w:r>
        <w:rPr>
          <w:b/>
          <w:bCs/>
        </w:rPr>
        <w:t xml:space="preserve">2 раздела</w:t>
      </w:r>
      <w:r>
        <w:t xml:space="preserve"> с наибольшей оценкой. Приоритет при равных оценках: раздел из выигранного предложения того же типа задачи, затем из той же отрасли, затем более свежий.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Разделы подаются в контекст </w:t>
      </w:r>
      <w:r>
        <w:rPr>
          <w:b/>
          <w:bCs/>
        </w:rPr>
        <w:t xml:space="preserve">как основной материал</w:t>
      </w:r>
      <w:r>
        <w:t xml:space="preserve"> — образец структуры, объёма и стиля. Чанки из чанковой ветви дополняют их фактами.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Если запись секционного индекса превышает предел длины входа эмбеддера, она разбивается на части по границам подразделов.</w:t>
      </w:r>
    </w:p>
    <w:p>
      <w:pPr>
        <w:spacing w:after="120" w:line="276"/>
        <w:jc w:val="both"/>
      </w:pPr>
      <w:r>
        <w:rPr>
          <w:b/>
          <w:bCs/>
        </w:rPr>
        <w:t xml:space="preserve">Порядок сборки контекста:</w:t>
      </w:r>
      <w:r>
        <w:t xml:space="preserve"> разделы-образцы → факты из БД подтверждений → чанки по граням. Дедупликация между гранями выполняется по идентификатору чанка и по идентификатору кластера. </w:t>
      </w:r>
      <w:r>
        <w:rPr>
          <w:b/>
          <w:bCs/>
        </w:rPr>
        <w:t xml:space="preserve">Бюджет контекста — 12 000 токенов</w:t>
      </w:r>
      <w:r>
        <w:t xml:space="preserve"> при рабочем окне модели 16 384. При превышении усекается только хвост чанков; образцы и факты не усекаются.</w:t>
      </w:r>
    </w:p>
    <w:p>
      <w:pPr>
        <w:pStyle w:val="Heading2"/>
        <w:spacing w:after="120" w:before="240"/>
      </w:pPr>
      <w:r>
        <w:t xml:space="preserve">10.3. Библиотека шаблонов разделов</w:t>
      </w:r>
    </w:p>
    <w:p>
      <w:pPr>
        <w:spacing w:after="120" w:line="276"/>
        <w:jc w:val="both"/>
      </w:pPr>
      <w:r>
        <w:t xml:space="preserve">Для каждого типового раздела создаётся собственный шаблон промпта, задающий обязательную структуру, целевой объём, стиль изложения и требования к ссылкам. Ориентировочный перечень: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Понимание задачи заказчика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Предлагаемый подход и методология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Этапы и календарный план работ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Подтверждение релевантного опыта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Состав и квалификация проектной команды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Управление рисками проекта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Ожидаемые результаты и эффекты</w:t>
      </w:r>
    </w:p>
    <w:p>
      <w:pPr>
        <w:spacing w:after="120" w:line="276"/>
        <w:jc w:val="both"/>
      </w:pPr>
      <w:r>
        <w:t xml:space="preserve">Шаблоны — это обычные текстовые файлы, редактируемые без участия разработчика. Их наполнение и уточнение — работа руководителей проектов, а не программистов, и это правильное разделение ответственности.</w:t>
      </w:r>
    </w:p>
    <w:p>
      <w:pPr>
        <w:pStyle w:val="Heading2"/>
        <w:spacing w:after="120" w:before="240"/>
      </w:pPr>
      <w:r>
        <w:t xml:space="preserve">10.4. Обязательное цитирование источников</w:t>
      </w:r>
    </w:p>
    <w:p>
      <w:pPr>
        <w:spacing w:after="120" w:line="276"/>
        <w:jc w:val="both"/>
      </w:pPr>
      <w:r>
        <w:t xml:space="preserve">Требование зафиксировано: система всегда выдаёт точные ссылки на первоисточники. Реализация: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Каждый чанк в промпте помечается идентификатором; модель обязана проставлять эти идентификаторы в тексте.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В тексте проставляются только компактные маркеры вида [1], [2], [3]</w:t>
      </w:r>
      <w:r>
        <w:t xml:space="preserve"> — они не разрывают чтение и не мешают вставить фрагмент в готовый документ.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В конце сгенерированного текста формируются два раздельных списка</w:t>
      </w:r>
      <w:r>
        <w:t xml:space="preserve"> — их смешивание недопустимо, поскольку природа записей принципиально различна:</w:t>
      </w:r>
    </w:p>
    <w:p>
      <w:pPr>
        <w:pStyle w:val="ListParagraph"/>
        <w:numPr>
          <w:ilvl w:val="1"/>
          <w:numId w:val="2"/>
        </w:numPr>
        <w:spacing w:after="80" w:line="276"/>
      </w:pPr>
      <w:r>
        <w:t xml:space="preserve">«</w:t>
      </w:r>
      <w:r>
        <w:rPr>
          <w:b/>
          <w:bCs/>
        </w:rPr>
        <w:t xml:space="preserve">Источники</w:t>
      </w:r>
      <w:r>
        <w:t xml:space="preserve">» — фрагменты текста, использованные при генерации: документ, раздел, страницы. Получены поиском, содержание проходило через языковую модель.</w:t>
      </w:r>
    </w:p>
    <w:p>
      <w:pPr>
        <w:pStyle w:val="ListParagraph"/>
        <w:numPr>
          <w:ilvl w:val="1"/>
          <w:numId w:val="2"/>
        </w:numPr>
        <w:spacing w:after="80" w:line="276"/>
      </w:pPr>
      <w:r>
        <w:t xml:space="preserve">«</w:t>
      </w:r>
      <w:r>
        <w:rPr>
          <w:b/>
          <w:bCs/>
        </w:rPr>
        <w:t xml:space="preserve">Подтверждения</w:t>
      </w:r>
      <w:r>
        <w:t xml:space="preserve">» — акты, договоры, благодарственные письма: наименование, номер, дата, заказчик, ссылка на файл. Берутся из БД подтверждений напрямую как точные факты и в свободной форме через модель не проходят.</w:t>
      </w:r>
    </w:p>
    <w:p>
      <w:pPr>
        <w:pBdr>
          <w:top w:val="single" w:color="DCE6F1" w:sz="2"/>
          <w:bottom w:val="single" w:color="DCE6F1" w:sz="2"/>
          <w:left w:val="single" w:color="1F4E79" w:sz="18" w:space="8"/>
          <w:right w:val="single" w:color="DCE6F1" w:sz="2"/>
        </w:pBdr>
        <w:shd w:fill="DCE6F1" w:val="clear"/>
        <w:spacing w:after="160" w:before="120" w:line="276"/>
        <w:ind w:left="120" w:right="120"/>
      </w:pPr>
      <w:r>
        <w:rPr>
          <w:b/>
          <w:bCs/>
        </w:rPr>
        <w:t xml:space="preserve">Почему списка два, а не один.</w:t>
      </w:r>
      <w:r>
        <w:t xml:space="preserve"> Запись из списка источников — это «где мы про это писали», её можно перепроверить чтением. Запись из списка подтверждений — это юридический факт, который заказчик тендера может затребовать в оригинале. Смешение приведёт к тому, что фрагмент текста окажется в заявке на позиции доказательства опыта.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Утверждение без корректной ссылки помечается в интерфейсе как непроверенное — пользователь видит, какие фразы модель сформулировала самостоятельно.</w:t>
      </w:r>
    </w:p>
    <w:p>
      <w:pPr>
        <w:pStyle w:val="Heading2"/>
        <w:spacing w:after="120" w:before="240"/>
      </w:pPr>
      <w:r>
        <w:t xml:space="preserve">10.5. Контроль конфиденциальности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00"/>
        <w:gridCol w:w="1726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Рубеж</w:t>
            </w:r>
          </w:p>
        </w:tc>
        <w:tc>
          <w:tcPr>
            <w:tcW w:type="dxa" w:w="5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Что делает</w:t>
            </w:r>
          </w:p>
        </w:tc>
        <w:tc>
          <w:tcPr>
            <w:tcW w:type="dxa" w:w="172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Контур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1. Фильтрация контекста</w:t>
            </w:r>
          </w:p>
        </w:tc>
        <w:tc>
          <w:tcPr>
            <w:tcW w:type="dxa" w:w="5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Чанки проектов, чей уровень публичности не входит в разрешённый конфигурацией список, исключаются из выдачи до передачи в модель. Реализуется условием в каждом поисковом запросе</w:t>
            </w:r>
          </w:p>
        </w:tc>
        <w:tc>
          <w:tcPr>
            <w:tcW w:type="dxa" w:w="17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PoC</w:t>
            </w:r>
          </w:p>
        </w:tc>
      </w:tr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2. Инструкция обезличивания</w:t>
            </w:r>
          </w:p>
        </w:tc>
        <w:tc>
          <w:tcPr>
            <w:tcW w:type="dxa" w:w="5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Для проектов уровня «обезличенный» в промпт добавляется указание использовать утверждённую формулировку категории вместо наименования</w:t>
            </w:r>
          </w:p>
        </w:tc>
        <w:tc>
          <w:tcPr>
            <w:tcW w:type="dxa" w:w="17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3. Сверка результата</w:t>
            </w:r>
          </w:p>
        </w:tc>
        <w:tc>
          <w:tcPr>
            <w:tcW w:type="dxa" w:w="5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Сгенерированный текст проверяется на упоминание закрытых наименований и синонимов, при совпадении выдача блокируется</w:t>
            </w:r>
          </w:p>
        </w:tc>
        <w:tc>
          <w:tcPr>
            <w:tcW w:type="dxa" w:w="17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MVP</w:t>
            </w:r>
          </w:p>
        </w:tc>
      </w:tr>
    </w:tbl>
    <w:p>
      <w:pPr>
        <w:spacing w:after="120"/>
      </w:pPr>
    </w:p>
    <w:p>
      <w:pPr>
        <w:pBdr>
          <w:top w:val="single" w:color="FBE4D5" w:sz="2"/>
          <w:bottom w:val="single" w:color="FBE4D5" w:sz="2"/>
          <w:left w:val="single" w:color="1F4E79" w:sz="18" w:space="8"/>
          <w:right w:val="single" w:color="FBE4D5" w:sz="2"/>
        </w:pBdr>
        <w:shd w:fill="FBE4D5" w:val="clear"/>
        <w:spacing w:after="160" w:before="120" w:line="276"/>
        <w:ind w:left="120" w:right="120"/>
      </w:pPr>
      <w:r>
        <w:rPr>
          <w:b/>
          <w:bCs/>
        </w:rPr>
        <w:t xml:space="preserve">Рубежи 2 и 3 вынесены за пределы PoC.</w:t>
      </w:r>
      <w:r>
        <w:t xml:space="preserve"> Первый рубеж сохраняется: он реализуется условием в SQL и закрывает основной риск. Следствие, которое необходимо принять явно: </w:t>
      </w:r>
      <w:r>
        <w:rPr>
          <w:b/>
          <w:bCs/>
        </w:rPr>
        <w:t xml:space="preserve">на PoC любой исходящий документ вычитывается человеком без исключений.</w:t>
      </w:r>
      <w:r>
        <w:t xml:space="preserve"> Полная схема из трёх рубежей описана в части 1, раздел 8.3.</w:t>
      </w:r>
    </w:p>
    <w:p>
      <w:pPr>
        <w:pStyle w:val="Heading3"/>
        <w:spacing w:after="100" w:before="200"/>
      </w:pPr>
      <w:r>
        <w:t xml:space="preserve">Как исключаются обезличенные проекты на PoC</w:t>
      </w:r>
    </w:p>
    <w:p>
      <w:pPr>
        <w:pBdr>
          <w:top w:val="single" w:color="E2EFDA" w:sz="2"/>
          <w:bottom w:val="single" w:color="E2EFDA" w:sz="2"/>
          <w:left w:val="single" w:color="1F4E79" w:sz="18" w:space="8"/>
          <w:right w:val="single" w:color="E2EFDA" w:sz="2"/>
        </w:pBdr>
        <w:shd w:fill="E2EFDA" w:val="clear"/>
        <w:spacing w:after="160" w:before="120" w:line="276"/>
        <w:ind w:left="120" w:right="120"/>
      </w:pPr>
      <w:r>
        <w:rPr>
          <w:b/>
          <w:bCs/>
        </w:rPr>
        <w:t xml:space="preserve">Через конфигурацию, а не изменением данных.</w:t>
      </w:r>
      <w:r>
        <w:t xml:space="preserve"> Параметр `ALLOWED_PUBLICITY` на PoC равен `['open']`, поэтому проекты уровня «обезличенный» в выдачу не попадают. Перевод их в статус «закрытый» в самой базе недопустим: разметка публичности необратимо потеряется, а восстанавливать её придётся вручную по 25 проектам при переходе к MVP.</w:t>
      </w:r>
    </w:p>
    <w:p>
      <w:pPr>
        <w:pStyle w:val="Heading3"/>
        <w:spacing w:after="100" w:before="200"/>
      </w:pPr>
      <w:r>
        <w:t xml:space="preserve">Условие целостности</w:t>
      </w:r>
    </w:p>
    <w:p>
      <w:pPr>
        <w:spacing w:after="120" w:line="276"/>
        <w:jc w:val="both"/>
      </w:pPr>
      <w:r>
        <w:t xml:space="preserve">Фильтр опирается на связь чанка с проектом, поэтому эта связь обязана существовать всегда: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Ссылка чанка на проект — </w:t>
      </w:r>
      <w:r>
        <w:rPr>
          <w:b/>
          <w:bCs/>
        </w:rPr>
        <w:t xml:space="preserve">обязательное поле с внешним ключом</w:t>
      </w:r>
      <w:r>
        <w:t xml:space="preserve">. Пустое значение недопустимо: при обычном соединении таблиц такой чанк молча исчезает из выдачи, при внешнем — молча проходит мимо фильтра.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В офлайн-конвейере предусмотрен отдельный шаг </w:t>
      </w:r>
      <w:r>
        <w:rPr>
          <w:b/>
          <w:bCs/>
        </w:rPr>
        <w:t xml:space="preserve">сопоставления файла с проектом реестра</w:t>
      </w:r>
      <w:r>
        <w:t xml:space="preserve">, предшествующий индексации.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Файл, которому не сопоставлен проект, </w:t>
      </w:r>
      <w:r>
        <w:rPr>
          <w:b/>
          <w:bCs/>
        </w:rPr>
        <w:t xml:space="preserve">в индекс не попадает</w:t>
      </w:r>
      <w:r>
        <w:t xml:space="preserve">. Умолчание — «закрыт».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Значения поля публичности ограничены перечислением на уровне схемы. Опечатка в регистре иначе проходит фильтр и означает раскрытие закрытого заказчика.</w:t>
      </w:r>
    </w:p>
    <w:p>
      <w:pPr>
        <w:pBdr>
          <w:top w:val="single" w:color="FBE4D5" w:sz="2"/>
          <w:bottom w:val="single" w:color="FBE4D5" w:sz="2"/>
          <w:left w:val="single" w:color="1F4E79" w:sz="18" w:space="8"/>
          <w:right w:val="single" w:color="FBE4D5" w:sz="2"/>
        </w:pBdr>
        <w:shd w:fill="FBE4D5" w:val="clear"/>
        <w:spacing w:after="160" w:before="120" w:line="276"/>
        <w:ind w:left="120" w:right="120"/>
      </w:pPr>
      <w:r>
        <w:rPr>
          <w:b/>
          <w:bCs/>
        </w:rPr>
        <w:t xml:space="preserve">Стоп-гейт до старта PoC.</w:t>
      </w:r>
      <w:r>
        <w:t xml:space="preserve"> Необходимо посчитать долю корпуса, остающуюся доступной после фильтрации. Если в статусе «открытый» окажется менее 60% чанков, жизнеспособность PoC пересматривается: материала для генерации не хватит, и отрицательный результат замеров будет объясняться не качеством поиска, а нехваткой данных.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11. Модельный стек и расчёт оборудования</w:t>
      </w:r>
    </w:p>
    <w:p>
      <w:pPr>
        <w:pStyle w:val="Heading2"/>
        <w:spacing w:after="120" w:before="240"/>
      </w:pPr>
      <w:r>
        <w:t xml:space="preserve">11.1. Внешний сервис эмбеддингов и реранкинга</w:t>
      </w:r>
    </w:p>
    <w:p>
      <w:pPr>
        <w:spacing w:after="120" w:line="276"/>
        <w:jc w:val="both"/>
      </w:pPr>
      <w:r>
        <w:t xml:space="preserve">Компания предоставляет внутренний сервис с развёрнутыми моделями эмбеддингов и реранкинга. </w:t>
      </w:r>
      <w:r>
        <w:rPr>
          <w:b/>
          <w:bCs/>
        </w:rPr>
        <w:t xml:space="preserve">Это единственный внешний компонент системы.</w:t>
      </w:r>
      <w:r>
        <w:t xml:space="preserve"> Генеративная модель, Langfuse и PostgreSQL разворачиваются на собственном оборудовании проектной команды.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642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Значение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Модель эмбеддингов</w:t>
            </w:r>
          </w:p>
        </w:tc>
        <w:tc>
          <w:tcPr>
            <w:tcW w:type="dxa" w:w="64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BAAI/bge-m3 — вектор 1024, контекст 8192, русский язык родной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Модель реранкинга</w:t>
            </w:r>
          </w:p>
        </w:tc>
        <w:tc>
          <w:tcPr>
            <w:tcW w:type="dxa" w:w="64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BAAI/bge-reranker-v2-m3 — то же семейство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Протокол</w:t>
            </w:r>
          </w:p>
        </w:tc>
        <w:tc>
          <w:tcPr>
            <w:tcW w:type="dxa" w:w="64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OpenAI-совместимые эндпоинты, персональный токен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Измеренная производительность</w:t>
            </w:r>
          </w:p>
        </w:tc>
        <w:tc>
          <w:tcPr>
            <w:tcW w:type="dxa" w:w="64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214 чанков/с (86 400 токенов/с) при размере пачки 128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Ограничение нагрузки</w:t>
            </w:r>
          </w:p>
        </w:tc>
        <w:tc>
          <w:tcPr>
            <w:tcW w:type="dxa" w:w="64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≈20 запросов/с; общая A100, рядом работают ещё три сервиса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Смена моделей</w:t>
            </w:r>
          </w:p>
        </w:tc>
        <w:tc>
          <w:tcPr>
            <w:tcW w:type="dxa" w:w="64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Невозможна — набор зафиксирован владельцем сервиса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Генерация</w:t>
            </w:r>
          </w:p>
        </w:tc>
        <w:tc>
          <w:tcPr>
            <w:tcW w:type="dxa" w:w="64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Не предоставляется и не запрашивается.</w:t>
            </w: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 Генеративная модель разворачивается нами самостоятельно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Хранение векторов</w:t>
            </w:r>
          </w:p>
        </w:tc>
        <w:tc>
          <w:tcPr>
            <w:tcW w:type="dxa" w:w="64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На стороне сервиса не хранятся; база данных полностью наша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Гарантии доступности</w:t>
            </w:r>
          </w:p>
        </w:tc>
        <w:tc>
          <w:tcPr>
            <w:tcW w:type="dxa" w:w="64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SLA отсутствует, при выкладке возможен перезапуск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t xml:space="preserve">Что это даёт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Векторизация перестаёт быть узким местом.</w:t>
      </w:r>
      <w:r>
        <w:t xml:space="preserve"> При 214 чанках/с корпус в 20 тыс. чанков векторизуется примерно за полторы минуты.</w:t>
      </w:r>
    </w:p>
    <w:p>
      <w:pPr>
        <w:pBdr>
          <w:top w:val="single" w:color="FBE4D5" w:sz="2"/>
          <w:bottom w:val="single" w:color="FBE4D5" w:sz="2"/>
          <w:left w:val="single" w:color="1F4E79" w:sz="18" w:space="8"/>
          <w:right w:val="single" w:color="FBE4D5" w:sz="2"/>
        </w:pBdr>
        <w:shd w:fill="FBE4D5" w:val="clear"/>
        <w:spacing w:after="160" w:before="120" w:line="276"/>
        <w:ind w:left="120" w:right="120"/>
      </w:pPr>
      <w:r>
        <w:rPr>
          <w:b/>
          <w:bCs/>
        </w:rPr>
        <w:t xml:space="preserve">Оговорка: полторы минуты относятся только к векторизации.</w:t>
      </w:r>
      <w:r>
        <w:t xml:space="preserve"> Полная индексация включает шаг обогащения контекстом — 18–20 тыс. вызовов генеративной модели, то есть ночь работы GPU. Смена модели эмбеддингов действительно обходится в минуты, поскольку обогащение берётся из кэша. Смена параметров чанкинга меняет тексты чанков, кэш не срабатывает, и переиндексация снова требует ночи. Это учтено в контракте шага обогащения, раздел 6.2.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Освобождается 3,5 ГБ видеопамяти</w:t>
      </w:r>
      <w:r>
        <w:t xml:space="preserve"> на нашем сервере: эмбеддинги и реранкер больше не конкурируют за неё с генеративной моделью.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Выбор моделей подтверждён независимо.</w:t>
      </w:r>
      <w:r>
        <w:t xml:space="preserve"> Развёрнутая пара совпала с той, к которой мы пришли самостоятельно в версии 2.0.</w:t>
      </w:r>
    </w:p>
    <w:p>
      <w:pPr>
        <w:pStyle w:val="Heading3"/>
        <w:spacing w:after="100" w:before="200"/>
      </w:pPr>
      <w:r>
        <w:t xml:space="preserve">Что это создаёт</w:t>
      </w:r>
    </w:p>
    <w:p>
      <w:pPr>
        <w:spacing w:after="120" w:line="276"/>
        <w:jc w:val="both"/>
      </w:pPr>
      <w:r>
        <w:t xml:space="preserve">Эмбеддинги требуются не только при индексации, но и на каждый запрос: без векторизации запроса искать не с чем. При недоступности сервиса поиск не замедляется, а прекращает работать. Отсюда набор обязательных технических мер: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00"/>
        <w:gridCol w:w="1726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Мера</w:t>
            </w:r>
          </w:p>
        </w:tc>
        <w:tc>
          <w:tcPr>
            <w:tcW w:type="dxa" w:w="5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Что конкретно</w:t>
            </w:r>
          </w:p>
        </w:tc>
        <w:tc>
          <w:tcPr>
            <w:tcW w:type="dxa" w:w="172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Контур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Спецификация API</w:t>
            </w:r>
          </w:p>
        </w:tc>
        <w:tc>
          <w:tcPr>
            <w:tcW w:type="dxa" w:w="5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Запросить у владельца сервиса OpenAPI/Swagger-описание эндпоинтов. Оно даёт точные форматы запроса и ответа, коды ошибок и лимиты — без него интеграция пишется методом проб. Postman нужен только для ручной проверки на старте, в конвейере не участвует</w:t>
            </w:r>
          </w:p>
        </w:tc>
        <w:tc>
          <w:tcPr>
            <w:tcW w:type="dxa" w:w="17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PoC, этап 0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Синтетическая проба доступности</w:t>
            </w:r>
          </w:p>
        </w:tc>
        <w:tc>
          <w:tcPr>
            <w:tcW w:type="dxa" w:w="5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Выделенного health-эндпоинта у сервиса нет. Вместо него раз в 30 секунд выполняется `GET /v1/models` либо векторизация константной строки в 2–3 слова. Позволяет отличить «сервис перезапускается» от «наш запрос некорректен». Подробности — раздел 11.5</w:t>
            </w:r>
          </w:p>
        </w:tc>
        <w:tc>
          <w:tcPr>
            <w:tcW w:type="dxa" w:w="17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PoC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Повторы с нарастающей задержкой</w:t>
            </w:r>
          </w:p>
        </w:tc>
        <w:tc>
          <w:tcPr>
            <w:tcW w:type="dxa" w:w="5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 попытки с интервалами 1 / 3 / 9 секунд. Перезапуск при выкладке длится десятки секунд, поэтому часть сбоев гасится автоматически</w:t>
            </w:r>
          </w:p>
        </w:tc>
        <w:tc>
          <w:tcPr>
            <w:tcW w:type="dxa" w:w="17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PoC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Кэш векторов запросов</w:t>
            </w:r>
          </w:p>
        </w:tc>
        <w:tc>
          <w:tcPr>
            <w:tcW w:type="dxa" w:w="5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Повторяющиеся и близкие запросы не отправляются повторно. При 18 пользователях и типовых формулировках доля попаданий заметная</w:t>
            </w:r>
          </w:p>
        </w:tc>
        <w:tc>
          <w:tcPr>
            <w:tcW w:type="dxa" w:w="17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PoC</w:t>
            </w:r>
          </w:p>
        </w:tc>
      </w:tr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Перенос моделей на своё оборудование</w:t>
            </w:r>
          </w:p>
        </w:tc>
        <w:tc>
          <w:tcPr>
            <w:tcW w:type="dxa" w:w="5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Крайняя мера при систематических сбоях: +3,5 ГБ VRAM, запас на карте 24 ГБ есть. Переключение выполняется конфигурацией благодаря модулю изоляции</w:t>
            </w:r>
          </w:p>
        </w:tc>
        <w:tc>
          <w:tcPr>
            <w:tcW w:type="dxa" w:w="17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MVP+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t xml:space="preserve">Дополнительные следствия: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Обновление модели на стороне сервиса делает наш индекс несовместимым.</w:t>
      </w:r>
      <w:r>
        <w:t xml:space="preserve"> Векторы, построенные разными версиями модели, несопоставимы между собой, и поиск деградирует без явных признаков. Требуется уведомление о смене версии; переиндексация при этом дёшева (полторы минуты), поэтому проблема решаема при своевременном оповещении.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Часть латентности выходит из-под нашего контроля.</w:t>
      </w:r>
      <w:r>
        <w:t xml:space="preserve"> Реранкинг выполняется на общей карте, поэтому показатель p95 зависит от активности соседних сервисов.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Токен персональный.</w:t>
      </w:r>
      <w:r>
        <w:t xml:space="preserve"> Приложение, обслуживающее 18 пользователей, не может работать от имени конкретного сотрудника: при его уходе или смене роли система остановится. Требуется сервисный токен, привязанный к приложению.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Сравнение альтернативных моделей эмбеддингов невозможно.</w:t>
      </w:r>
      <w:r>
        <w:t xml:space="preserve"> Проверка USER-bge-m3 или GigaEmbeddings, предложенная в версии 2.0, требует собственного хостинга и переносится на вторую фазу.</w:t>
      </w:r>
    </w:p>
    <w:p>
      <w:pPr>
        <w:pStyle w:val="Heading3"/>
        <w:spacing w:after="100" w:before="200"/>
      </w:pPr>
      <w:r>
        <w:t xml:space="preserve">Требование к разработке: изоляция внешней зависимости</w:t>
      </w:r>
    </w:p>
    <w:p>
      <w:pPr>
        <w:spacing w:after="120" w:line="276"/>
        <w:jc w:val="both"/>
      </w:pPr>
      <w:r>
        <w:t xml:space="preserve">Модели bge-m3 и bge-reranker-v2-m3 распространяются с открытыми весами и могут быть развёрнуты на собственном оборудовании. Внешний сервис — это удобство, а не незаменимый ресурс. Отсюда обязательное требование к реализации:</w:t>
      </w:r>
    </w:p>
    <w:p>
      <w:pPr>
        <w:pBdr>
          <w:top w:val="single" w:color="E2EFDA" w:sz="2"/>
          <w:bottom w:val="single" w:color="E2EFDA" w:sz="2"/>
          <w:left w:val="single" w:color="1F4E79" w:sz="18" w:space="8"/>
          <w:right w:val="single" w:color="E2EFDA" w:sz="2"/>
        </w:pBdr>
        <w:shd w:fill="E2EFDA" w:val="clear"/>
        <w:spacing w:after="160" w:before="120" w:line="276"/>
        <w:ind w:left="120" w:right="120"/>
      </w:pPr>
      <w:r>
        <w:rPr>
          <w:b/>
          <w:bCs/>
        </w:rPr>
        <w:t xml:space="preserve">Обращение к эмбеддингам и реранкеру инкапсулируется в отдельный модуль с двумя взаимозаменяемыми реализациями: внешний сервис и локальный хостинг.</w:t>
      </w:r>
      <w:r>
        <w:t xml:space="preserve"> Остальной код вызывает функцию получения векторов и не знает, откуда они поступают. Переключение источника выполняется изменением конфигурации, а не правкой кода.</w:t>
      </w:r>
    </w:p>
    <w:p>
      <w:pPr>
        <w:spacing w:after="120" w:line="276"/>
        <w:jc w:val="both"/>
      </w:pPr>
      <w:r>
        <w:t xml:space="preserve">Это не архитектурное усложнение, а стандартная практика: объём кода в обоих случаях одинаков, различается лишь то, собран он в одном месте или продублирован по всем точкам вызова. Обращений к эмбеддингам в системе минимум пять — индексация корпуса, построение секционного индекса, обогащение контекстом, векторизация пользовательского запроса, переиндексация при обновлении документа. Реализованное с самого начала, это требование не стоит ничего; выполненное задним числом — обходится в переработку и перепроверку всех точек вызова.</w:t>
      </w:r>
    </w:p>
    <w:p>
      <w:pPr>
        <w:pStyle w:val="Heading2"/>
        <w:spacing w:after="120" w:before="240"/>
      </w:pPr>
      <w:r>
        <w:t xml:space="preserve">11.2. Состав моделей и расход видеопамяти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100"/>
        <w:gridCol w:w="2326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Компонент</w:t>
            </w:r>
          </w:p>
        </w:tc>
        <w:tc>
          <w:tcPr>
            <w:tcW w:type="dxa" w:w="2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Модель</w:t>
            </w:r>
          </w:p>
        </w:tc>
        <w:tc>
          <w:tcPr>
            <w:tcW w:type="dxa" w:w="2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Где работает</w:t>
            </w:r>
          </w:p>
        </w:tc>
        <w:tc>
          <w:tcPr>
            <w:tcW w:type="dxa" w:w="232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Наша VRAM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Эмбеддинги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BAAI/bge-m3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Внешний сервис</w:t>
            </w:r>
          </w:p>
        </w:tc>
        <w:tc>
          <w:tcPr>
            <w:tcW w:type="dxa" w:w="2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Реранкинг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BAAI/bge-reranker-v2-m3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Внешний сервис</w:t>
            </w:r>
          </w:p>
        </w:tc>
        <w:tc>
          <w:tcPr>
            <w:tcW w:type="dxa" w:w="2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Генерация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GigaChat-20B-A3B</w:t>
            </w: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, q4_K_M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Наш сервер, Ollama</w:t>
            </w:r>
          </w:p>
        </w:tc>
        <w:tc>
          <w:tcPr>
            <w:tcW w:type="dxa" w:w="2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≈12 ГБ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KV-кэш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Наш сервер</w:t>
            </w:r>
          </w:p>
        </w:tc>
        <w:tc>
          <w:tcPr>
            <w:tcW w:type="dxa" w:w="2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2–4 ГБ при контексте 16 тыс. токенов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Наблюдаемость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Langfuse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Наш сервер, docker</w:t>
            </w:r>
          </w:p>
        </w:tc>
        <w:tc>
          <w:tcPr>
            <w:tcW w:type="dxa" w:w="2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 (CPU)</w:t>
            </w:r>
          </w:p>
        </w:tc>
      </w:tr>
      <w:tr>
        <w:tc>
          <w:tcPr>
            <w:tcW w:type="dxa" w:w="22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Итого на нашем оборудовании</w:t>
            </w:r>
          </w:p>
        </w:tc>
        <w:tc>
          <w:tcPr>
            <w:tcW w:type="dxa" w:w="24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21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2326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14–16 ГБ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t xml:space="preserve">Расчёт менялся трижды. В версии 2.0 он давал 25–28 ГБ и требовал карты на 32 ГБ. В версии 2.1 вынос эмбеддингов и реранкера во внешний сервис снизил требование до 21–25 ГБ. В версии 2.5 переход на GigaChat-20B-A3B снижает его до </w:t>
      </w:r>
      <w:r>
        <w:rPr>
          <w:b/>
          <w:bCs/>
        </w:rPr>
        <w:t xml:space="preserve">14–16 ГБ</w:t>
      </w:r>
      <w:r>
        <w:t xml:space="preserve">: модель на 20 млрд параметров в квантизации q4_K_M занимает вдвое меньше, чем 35-миллиардная.</w:t>
      </w:r>
    </w:p>
    <w:p>
      <w:pPr>
        <w:pBdr>
          <w:top w:val="single" w:color="E2EFDA" w:sz="2"/>
          <w:bottom w:val="single" w:color="E2EFDA" w:sz="2"/>
          <w:left w:val="single" w:color="1F4E79" w:sz="18" w:space="8"/>
          <w:right w:val="single" w:color="E2EFDA" w:sz="2"/>
        </w:pBdr>
        <w:shd w:fill="E2EFDA" w:val="clear"/>
        <w:spacing w:after="160" w:before="120" w:line="276"/>
        <w:ind w:left="120" w:right="120"/>
      </w:pPr>
      <w:r>
        <w:rPr>
          <w:b/>
          <w:bCs/>
        </w:rPr>
        <w:t xml:space="preserve">Основание выбора GigaChat-20B-A3B.</w:t>
      </w:r>
      <w:r>
        <w:t xml:space="preserve"> Модель обучена на русском языке с нуля, а не адаптирована с английского. Архитектура MoE: из 20 млрд параметров при генерации активны 3 млрд, поэтому скорость соответствует модели на 3 млрд при качестве заметно выше. Разворачивается через Ollama, что снимает вопрос настройки инференса.</w:t>
      </w:r>
    </w:p>
    <w:p>
      <w:pPr>
        <w:pBdr>
          <w:top w:val="single" w:color="FBE4D5" w:sz="2"/>
          <w:bottom w:val="single" w:color="FBE4D5" w:sz="2"/>
          <w:left w:val="single" w:color="1F4E79" w:sz="18" w:space="8"/>
          <w:right w:val="single" w:color="FBE4D5" w:sz="2"/>
        </w:pBdr>
        <w:shd w:fill="FBE4D5" w:val="clear"/>
        <w:spacing w:after="160" w:before="120" w:line="276"/>
        <w:ind w:left="120" w:right="120"/>
      </w:pPr>
      <w:r>
        <w:rPr>
          <w:b/>
          <w:bCs/>
        </w:rPr>
        <w:t xml:space="preserve">Реальное окно контекста — 16 тыс. токенов, а не 131 тыс.</w:t>
      </w:r>
      <w:r>
        <w:t xml:space="preserve"> Значение из карточки модели на карте 24 ГБ недостижимо: KV-кэш при таком окне превышает всю доступную память. Рабочее окно задаётся явно параметром `num_ctx = 16384`. </w:t>
      </w:r>
      <w:r>
        <w:rPr>
          <w:b/>
          <w:bCs/>
        </w:rPr>
        <w:t xml:space="preserve">Значение по умолчанию в Ollama — 2048 токенов</w:t>
      </w:r>
      <w:r>
        <w:t xml:space="preserve">, и при нём подача разделов-образцов молча усекается, а дефект не проявляется ни в каких сообщениях об ошибке. Параметр обязателен к установке и подлежит проверке автотестом.</w:t>
      </w:r>
    </w:p>
    <w:p>
      <w:pPr>
        <w:spacing w:after="120" w:line="276"/>
        <w:jc w:val="both"/>
      </w:pPr>
      <w:r>
        <w:t xml:space="preserve">Ранее рассматривались Qwen3.5-27B и Qwen3.5-35B-A3B. Они остаются запасным вариантом, если качество генерации на русских тендерных текстах окажется недостаточным, но требуют вдвое больше видеопамяти.</w:t>
      </w:r>
    </w:p>
    <w:p>
      <w:pPr>
        <w:pStyle w:val="Heading2"/>
        <w:spacing w:after="120" w:before="240"/>
      </w:pPr>
      <w:r>
        <w:t xml:space="preserve">11.3. Об эмбеддингах: что такое BGE и какие есть русские варианты</w:t>
      </w:r>
    </w:p>
    <w:p>
      <w:pPr>
        <w:spacing w:after="120" w:line="276"/>
        <w:jc w:val="both"/>
      </w:pPr>
      <w:r>
        <w:rPr>
          <w:b/>
          <w:bCs/>
        </w:rPr>
        <w:t xml:space="preserve">BGE</w:t>
      </w:r>
      <w:r>
        <w:t xml:space="preserve"> (BAAI General Embedding) — семейство моделей векторного представления текста, разработанное Пекинской академией искусственного интеллекта. Модель принимает текст и возвращает вектор чисел так, что близкие по смыслу тексты получают близкие векторы. Это основа смыслового поиска.</w:t>
      </w:r>
    </w:p>
    <w:p>
      <w:pPr>
        <w:spacing w:after="120" w:line="276"/>
        <w:jc w:val="both"/>
      </w:pPr>
      <w:r>
        <w:rPr>
          <w:b/>
          <w:bCs/>
        </w:rPr>
        <w:t xml:space="preserve">BGE-M3</w:t>
      </w:r>
      <w:r>
        <w:t xml:space="preserve"> — модель, название которой раскрывается как три «M»: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Multi-Lingual</w:t>
      </w:r>
      <w:r>
        <w:t xml:space="preserve"> — более 100 языков в одной модели, русский и английский обрабатываются одинаково хорошо, включая смешанные тексты.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Multi-Functionality</w:t>
      </w:r>
      <w:r>
        <w:t xml:space="preserve"> — из одной модели одновременно получаются три типа представлений: плотный вектор для смыслового поиска, разреженный вектор для лексического совпадения (аналог BM25, но с учётом морфологии), и множественные векторы в стиле ColBERT для тонкого сопоставления.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Multi-Granularity</w:t>
      </w:r>
      <w:r>
        <w:t xml:space="preserve"> — контекст до 8192 токенов, что позволяет векторизовать не только абзацы, но и целые разделы (нужно для секционного индекса).</w:t>
      </w:r>
    </w:p>
    <w:p>
      <w:pPr>
        <w:pBdr>
          <w:top w:val="single" w:color="FBE4D5" w:sz="2"/>
          <w:bottom w:val="single" w:color="FBE4D5" w:sz="2"/>
          <w:left w:val="single" w:color="1F4E79" w:sz="18" w:space="8"/>
          <w:right w:val="single" w:color="FBE4D5" w:sz="2"/>
        </w:pBdr>
        <w:shd w:fill="FBE4D5" w:val="clear"/>
        <w:spacing w:after="160" w:before="120" w:line="276"/>
        <w:ind w:left="120" w:right="120"/>
      </w:pPr>
      <w:r>
        <w:rPr>
          <w:b/>
          <w:bCs/>
        </w:rPr>
        <w:t xml:space="preserve">Оговорка к второму пункту.</w:t>
      </w:r>
      <w:r>
        <w:t xml:space="preserve"> Способность выдавать разреженные векторы принадлежит модели, но реализуется ли она в предоставленном сервисе — вопрос его интерфейса. Стандартный OpenAI-совместимый ответ содержит только плотный вектор. До подтверждения обратного лексическая половина гибридного поиска строится на полнотекстовом поиске PostgreSQL (раздел 9.2).</w:t>
      </w:r>
    </w:p>
    <w:p>
      <w:pPr>
        <w:pStyle w:val="Heading3"/>
        <w:spacing w:after="100" w:before="200"/>
      </w:pPr>
      <w:r>
        <w:t xml:space="preserve">Русскоязычные и альтернативные варианты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000"/>
        <w:gridCol w:w="3926"/>
      </w:tblGrid>
      <w:tr>
        <w:trPr>
          <w:tblHeader/>
        </w:trPr>
        <w:tc>
          <w:tcPr>
            <w:tcW w:type="dxa" w:w="2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Модель</w:t>
            </w:r>
          </w:p>
        </w:tc>
        <w:tc>
          <w:tcPr>
            <w:tcW w:type="dxa" w:w="3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Что это</w:t>
            </w:r>
          </w:p>
        </w:tc>
        <w:tc>
          <w:tcPr>
            <w:tcW w:type="dxa" w:w="392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Когда предпочтительнее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deepvk/USER-bge-m3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Дообучение BGE-M3 на русских текстах от команды VK. Полностью совместима по интерфейсу</w:t>
            </w:r>
          </w:p>
        </w:tc>
        <w:tc>
          <w:tcPr>
            <w:tcW w:type="dxa" w:w="39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Выигрывает на узких русских доменах (юридические, медицинские тексты). </w:t>
            </w:r>
            <w:r>
              <w:rPr>
                <w:b/>
                <w:bCs/>
                <w:color w:val="000000"/>
                <w:sz w:val="19"/>
                <w:szCs w:val="19"/>
              </w:rPr>
              <w:t xml:space="preserve">Проигрывает базовой модели на смешанных RU+EN корпусах</w:t>
            </w: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 — а наш корпус именно такой: русский текст с английскими ИТ-терминами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GigaEmbeddings</w:t>
            </w: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 (Сбер)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Русскоязычная модель, лидер бенчмарка ruMTEB в категории Retrieval</w:t>
            </w:r>
          </w:p>
        </w:tc>
        <w:tc>
          <w:tcPr>
            <w:tcW w:type="dxa" w:w="39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Лучшие результаты на чисто русских текстах. Требуется проверка условий лицензии для коммерческого on-premise использования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Qwen3-Embedding-8B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Крупная мультиязычная модель</w:t>
            </w:r>
          </w:p>
        </w:tc>
        <w:tc>
          <w:tcPr>
            <w:tcW w:type="dxa" w:w="39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Формально выше по качеству, но 8 млрд параметров означают заметный расход VRAM и времени. При наших 32 ГБ конкурирует за память с генеративной моделью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multilingual-e5-large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Предыдущее поколение мультиязычных моделей</w:t>
            </w:r>
          </w:p>
        </w:tc>
        <w:tc>
          <w:tcPr>
            <w:tcW w:type="dxa" w:w="39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Устарела относительно BGE-M3 и не даёт разреженных векторов. Отдельного смысла включать в рассмотрение нет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ru-en-RoSBERTa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Русско-английская модель на 0,3 млрд параметров</w:t>
            </w:r>
          </w:p>
        </w:tc>
        <w:tc>
          <w:tcPr>
            <w:tcW w:type="dxa" w:w="39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Отстаёт от актуальных моделей на 4–5 пунктов. Только если критична скорость на слабом железе</w:t>
            </w:r>
          </w:p>
        </w:tc>
      </w:tr>
    </w:tbl>
    <w:p>
      <w:pPr>
        <w:spacing w:after="120"/>
      </w:pPr>
    </w:p>
    <w:p>
      <w:pPr>
        <w:pBdr>
          <w:top w:val="single" w:color="E2EFDA" w:sz="2"/>
          <w:bottom w:val="single" w:color="E2EFDA" w:sz="2"/>
          <w:left w:val="single" w:color="1F4E79" w:sz="18" w:space="8"/>
          <w:right w:val="single" w:color="E2EFDA" w:sz="2"/>
        </w:pBdr>
        <w:shd w:fill="E2EFDA" w:val="clear"/>
        <w:spacing w:after="160" w:before="120" w:line="276"/>
        <w:ind w:left="120" w:right="120"/>
      </w:pPr>
      <w:r>
        <w:rPr>
          <w:b/>
          <w:bCs/>
        </w:rPr>
        <w:t xml:space="preserve">Текущий статус выбора.</w:t>
      </w:r>
      <w:r>
        <w:t xml:space="preserve"> Модель зафиксирована внешним сервисом: доступна только BGE-M3, поднять свою нельзя. Это приемлемо — BGE-M3 является сильным базовым выбором и лучше остальных подходит для смешанных русско-английских текстов, каковыми и является наш корпус. Сравнение с USER-bge-m3 и GigaEmbeddings переносится на вторую фазу и потребует собственного хостинга. Модуль изоляции зависимости (раздел 11.1) обеспечивает возможность такого сравнения без переработки системы.</w:t>
      </w:r>
    </w:p>
    <w:p>
      <w:pPr>
        <w:pStyle w:val="Heading2"/>
        <w:spacing w:after="120" w:before="240"/>
      </w:pPr>
      <w:r>
        <w:t xml:space="preserve">11.4. Расчёт латентности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Этап</w:t>
            </w:r>
          </w:p>
        </w:tc>
        <w:tc>
          <w:tcPr>
            <w:tcW w:type="dxa" w:w="3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GigaChat-20B-A3B (MoE, 3 млрд активных)</w:t>
            </w:r>
          </w:p>
        </w:tc>
        <w:tc>
          <w:tcPr>
            <w:tcW w:type="dxa" w:w="302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Комментарий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Классификация типа задачи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1–2 с</w:t>
            </w:r>
          </w:p>
        </w:tc>
        <w:tc>
          <w:tcPr>
            <w:tcW w:type="dxa" w:w="30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Вызов модели на нашем сервере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Извлечение параметров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1–2 с</w:t>
            </w:r>
          </w:p>
        </w:tc>
        <w:tc>
          <w:tcPr>
            <w:tcW w:type="dxa" w:w="30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Вызов модели</w:t>
            </w:r>
          </w:p>
        </w:tc>
      </w:tr>
      <w:tr>
        <w:tc>
          <w:tcPr>
            <w:tcW w:type="dxa" w:w="3000"/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Генерация гипотез HyDE</w:t>
            </w:r>
          </w:p>
        </w:tc>
        <w:tc>
          <w:tcPr>
            <w:tcW w:type="dxa" w:w="3000"/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7–11 с</w:t>
            </w:r>
          </w:p>
        </w:tc>
        <w:tc>
          <w:tcPr>
            <w:tcW w:type="dxa" w:w="3026"/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Шесть граней — шесть последовательных вызовов.</w:t>
            </w: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 Ollama обрабатывает запросы последовательно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Векторизация ключей (внешний сервис + сеть)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≈50–150 мс</w:t>
            </w:r>
          </w:p>
        </w:tc>
        <w:tc>
          <w:tcPr>
            <w:tcW w:type="dxa" w:w="30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На каждую грань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Поиск по 20 тыс. векторов + полнотекстовый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≈10–20 мс</w:t>
            </w:r>
          </w:p>
        </w:tc>
        <w:tc>
          <w:tcPr>
            <w:tcW w:type="dxa" w:w="30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PostgreSQL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Реранкинг 50 кандидатов (внешний сервис)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≈200–500 мс</w:t>
            </w:r>
          </w:p>
        </w:tc>
        <w:tc>
          <w:tcPr>
            <w:tcW w:type="dxa" w:w="30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Общая карта, разброс возможен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Генерация раздела (≈800 токенов)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6–10 с</w:t>
            </w: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 (80–130 ток/с)</w:t>
            </w:r>
          </w:p>
        </w:tc>
        <w:tc>
          <w:tcPr>
            <w:tcW w:type="dxa" w:w="30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Оценочно; уточняется замером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Генерация крупного раздела (≈2500 токенов)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20–30 с</w:t>
            </w:r>
          </w:p>
        </w:tc>
        <w:tc>
          <w:tcPr>
            <w:tcW w:type="dxa" w:w="30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Укладывается в бюджет</w:t>
            </w:r>
          </w:p>
        </w:tc>
      </w:tr>
      <w:tr>
        <w:tc>
          <w:tcPr>
            <w:tcW w:type="dxa" w:w="3000"/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Итого на типовой запрос</w:t>
            </w:r>
          </w:p>
        </w:tc>
        <w:tc>
          <w:tcPr>
            <w:tcW w:type="dxa" w:w="3000"/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17–60 с</w:t>
            </w:r>
          </w:p>
        </w:tc>
        <w:tc>
          <w:tcPr>
            <w:tcW w:type="dxa" w:w="3026"/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Впритык к бюджету. Требуются компенсаторы</w:t>
            </w:r>
          </w:p>
        </w:tc>
      </w:tr>
    </w:tbl>
    <w:p>
      <w:pPr>
        <w:spacing w:after="120"/>
      </w:pPr>
    </w:p>
    <w:p>
      <w:pPr>
        <w:pBdr>
          <w:top w:val="single" w:color="FBE4D5" w:sz="2"/>
          <w:bottom w:val="single" w:color="FBE4D5" w:sz="2"/>
          <w:left w:val="single" w:color="1F4E79" w:sz="18" w:space="8"/>
          <w:right w:val="single" w:color="FBE4D5" w:sz="2"/>
        </w:pBdr>
        <w:shd w:fill="FBE4D5" w:val="clear"/>
        <w:spacing w:after="160" w:before="120" w:line="276"/>
        <w:ind w:left="120" w:right="120"/>
      </w:pPr>
      <w:r>
        <w:rPr>
          <w:b/>
          <w:bCs/>
        </w:rPr>
        <w:t xml:space="preserve">Итог укладывается в бюджет впритык, а не с запасом.</w:t>
      </w:r>
      <w:r>
        <w:t xml:space="preserve"> Причина — восемь последовательных вызовов генеративной модели на один пользовательский запрос: классификация, извлечение параметров, шесть гипотез. </w:t>
      </w:r>
      <w:r>
        <w:rPr>
          <w:b/>
          <w:bCs/>
        </w:rPr>
        <w:t xml:space="preserve">Ollama обрабатывает запросы последовательно</w:t>
      </w:r>
      <w:r>
        <w:t xml:space="preserve">, поэтому второй одновременный пользователь ждёт завершения первого.</w:t>
      </w:r>
    </w:p>
    <w:p>
      <w:pPr>
        <w:spacing w:after="120" w:line="276"/>
        <w:jc w:val="both"/>
      </w:pPr>
      <w:r>
        <w:t xml:space="preserve">Компенсаторы, применяемые при выходе за бюджет, в порядке предпочтения: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Одна гипотеза на две смежные грани вместо шести отдельных — сокращает разбор примерно вдвое.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Классификация и извлечение параметров одним вызовом с общей схемой ответа.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Отказ от гипотез для граней, где замер не показал прироста полноты.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Параллельная генерация гипотез — требует второго экземпляра модели либо перехода с Ollama на vLLM.</w:t>
      </w:r>
    </w:p>
    <w:p>
      <w:pPr>
        <w:pBdr>
          <w:top w:val="single" w:color="DCE6F1" w:sz="2"/>
          <w:bottom w:val="single" w:color="DCE6F1" w:sz="2"/>
          <w:left w:val="single" w:color="1F4E79" w:sz="18" w:space="8"/>
          <w:right w:val="single" w:color="DCE6F1" w:sz="2"/>
        </w:pBdr>
        <w:shd w:fill="DCE6F1" w:val="clear"/>
        <w:spacing w:after="160" w:before="120" w:line="276"/>
        <w:ind w:left="120" w:right="120"/>
      </w:pPr>
      <w:r>
        <w:rPr>
          <w:b/>
          <w:bCs/>
        </w:rPr>
        <w:t xml:space="preserve">Все значения расчётные и подлежат замеру.</w:t>
      </w:r>
      <w:r>
        <w:t xml:space="preserve"> Langfuse фиксирует длительность каждой стадии отдельно (раздел 13.2), поэтому фактические тайминги появятся с первых запросов на этапе 3 — отдельный счётчик разрабатывать не требуется. Замер p50 и p95 по стадиям входит в критерий завершения этапа 3.</w:t>
      </w:r>
    </w:p>
    <w:p>
      <w:pPr>
        <w:pStyle w:val="Heading2"/>
        <w:spacing w:after="120" w:before="240"/>
      </w:pPr>
      <w:r>
        <w:t xml:space="preserve">11.5. Интеграция с внешним сервисом: форматы и доступность</w:t>
      </w:r>
    </w:p>
    <w:p>
      <w:pPr>
        <w:spacing w:after="120" w:line="276"/>
        <w:jc w:val="both"/>
      </w:pPr>
      <w:r>
        <w:t xml:space="preserve">Сервис OpenAI-совместим, поэтому спецификация известна и не требует запроса у владельца.</w:t>
      </w:r>
    </w:p>
    <w:p>
      <w:pPr>
        <w:pStyle w:val="Heading3"/>
        <w:spacing w:after="100" w:before="200"/>
      </w:pPr>
      <w:r>
        <w:t xml:space="preserve">Эмбеддинги</w:t>
      </w:r>
    </w:p>
    <w:p>
      <w:pPr>
        <w:shd w:fill="F2F2F2" w:val="clear"/>
        <w:spacing w:after="100"/>
        <w:ind w:left="240" w:right="120"/>
      </w:pPr>
      <w:r>
        <w:rPr>
          <w:rFonts w:ascii="Consolas" w:cs="Consolas" w:eastAsia="Consolas" w:hAnsi="Consolas"/>
          <w:sz w:val="18"/>
          <w:szCs w:val="18"/>
        </w:rPr>
        <w:t xml:space="preserve">POST /v1/embeddings</w:t>
      </w:r>
    </w:p>
    <w:p>
      <w:pPr>
        <w:shd w:fill="F2F2F2" w:val="clear"/>
        <w:spacing w:after="100"/>
        <w:ind w:left="240" w:right="120"/>
      </w:pPr>
      <w:r>
        <w:rPr>
          <w:rFonts w:ascii="Consolas" w:cs="Consolas" w:eastAsia="Consolas" w:hAnsi="Consolas"/>
          <w:sz w:val="18"/>
          <w:szCs w:val="18"/>
        </w:rPr>
        <w:t xml:space="preserve">{"model": "BAAI/bge-m3", "input": ["текст1", "текст2"], "encoding_format": "float"}</w:t>
      </w:r>
    </w:p>
    <w:p>
      <w:pPr>
        <w:shd w:fill="F2F2F2" w:val="clear"/>
        <w:spacing w:after="100"/>
        <w:ind w:left="240" w:right="120"/>
      </w:pPr>
      <w:r>
        <w:rPr>
          <w:rFonts w:ascii="Consolas" w:cs="Consolas" w:eastAsia="Consolas" w:hAnsi="Consolas"/>
          <w:sz w:val="18"/>
          <w:szCs w:val="18"/>
        </w:rPr>
        <w:t xml:space="preserve">→ {"data": [{"index": 0, "embedding": [ ...1024 чисел... ]}], "usage": {...}}</w:t>
      </w:r>
    </w:p>
    <w:p>
      <w:pPr>
        <w:spacing w:after="120" w:line="276"/>
        <w:jc w:val="both"/>
      </w:pPr>
      <w:r>
        <w:t xml:space="preserve">Разреженные векторы через этот интерфейс, по всей вероятности, недоступны — лексическая половина поиска строится на полнотекстовом индексе PostgreSQL (раздел 9.2).</w:t>
      </w:r>
    </w:p>
    <w:p>
      <w:pPr>
        <w:pStyle w:val="Heading3"/>
        <w:spacing w:after="100" w:before="200"/>
      </w:pPr>
      <w:r>
        <w:t xml:space="preserve">Реранкинг: два возможных диалекта</w:t>
      </w:r>
    </w:p>
    <w:p>
      <w:pPr>
        <w:spacing w:after="120" w:line="276"/>
        <w:jc w:val="both"/>
      </w:pPr>
      <w:r>
        <w:t xml:space="preserve">Единого стандарта нет. Развёрнутым может оказаться один из двух несовместимых форматов: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900"/>
        <w:gridCol w:w="3126"/>
      </w:tblGrid>
      <w:tr>
        <w:trPr>
          <w:tblHeader/>
        </w:trPr>
        <w:tc>
          <w:tcPr>
            <w:tcW w:type="dxa" w:w="2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Диалект</w:t>
            </w:r>
          </w:p>
        </w:tc>
        <w:tc>
          <w:tcPr>
            <w:tcW w:type="dxa" w:w="3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Запрос</w:t>
            </w:r>
          </w:p>
        </w:tc>
        <w:tc>
          <w:tcPr>
            <w:tcW w:type="dxa" w:w="312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Ответ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TEI</w:t>
            </w: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 (HuggingFace)</w:t>
            </w:r>
          </w:p>
        </w:tc>
        <w:tc>
          <w:tcPr>
            <w:tcW w:type="dxa" w:w="3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 /rerank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{"query": …, "texts": [ … ], "raw_scores": false}</w:t>
            </w:r>
          </w:p>
        </w:tc>
        <w:tc>
          <w:tcPr>
            <w:tcW w:type="dxa" w:w="31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[{"index": 0, "score": 0.93}, …]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Cohere / Jina / vLLM</w:t>
            </w:r>
          </w:p>
        </w:tc>
        <w:tc>
          <w:tcPr>
            <w:tcW w:type="dxa" w:w="3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 /v1/rerank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{"model": …, "query": …, "documents": [ … ]}</w:t>
            </w:r>
          </w:p>
        </w:tc>
        <w:tc>
          <w:tcPr>
            <w:tcW w:type="dxa" w:w="31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{"results": [{"index": 0, "relevance_score": 0.93}, …]}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t xml:space="preserve">Диалект определяется прогоном скрипта разведки на этапе 0; ответ владельца сервиса не требуется. Тот же прогон уточняет реальный предел длины входа, схему учёта лимита (по HTTP-запросам или по элементам) и наличие путей, пригодных для проверки доступности.</w:t>
      </w:r>
    </w:p>
    <w:p>
      <w:pPr>
        <w:pStyle w:val="Heading3"/>
        <w:spacing w:after="100" w:before="200"/>
      </w:pPr>
      <w:r>
        <w:t xml:space="preserve">Проверка доступности</w:t>
      </w:r>
    </w:p>
    <w:p>
      <w:pPr>
        <w:pBdr>
          <w:top w:val="single" w:color="FBE4D5" w:sz="2"/>
          <w:bottom w:val="single" w:color="FBE4D5" w:sz="2"/>
          <w:left w:val="single" w:color="1F4E79" w:sz="18" w:space="8"/>
          <w:right w:val="single" w:color="FBE4D5" w:sz="2"/>
        </w:pBdr>
        <w:shd w:fill="FBE4D5" w:val="clear"/>
        <w:spacing w:after="160" w:before="120" w:line="276"/>
        <w:ind w:left="120" w:right="120"/>
      </w:pPr>
      <w:r>
        <w:rPr>
          <w:b/>
          <w:bCs/>
        </w:rPr>
        <w:t xml:space="preserve">Выделенного health-эндпоинта у сервиса нет</w:t>
      </w:r>
      <w:r>
        <w:t xml:space="preserve"> (подтверждено владельцем). Вместо него применяется синтетическая проба раз в 30 секунд: `GET /v1/models` либо векторизация константной строки в 2–3 слова. Проба позволяет отличить перезапуск сервиса от некорректного запроса и показать пользователю осмысленное сообщение.</w:t>
      </w:r>
    </w:p>
    <w:p>
      <w:pPr>
        <w:pStyle w:val="Heading3"/>
        <w:spacing w:after="100" w:before="200"/>
      </w:pPr>
      <w:r>
        <w:t xml:space="preserve">Контракт интеграции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Раздельные таймауты на соединение и чтение; повторы 3 попытки с задержками 1 / 3 / 9 секунд; учёт заголовка Retry-After при коде 429.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Ответ сортируется по полю `index`</w:t>
      </w:r>
      <w:r>
        <w:t xml:space="preserve"> — порядок элементов в ответе не гарантирован ни одним из диалектов.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Кэш векторов запросов по ключу (хэш текста, модель, ревизия модели). Гипотезы HyDE не кэшируются.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Векторы нормализуются (L2 = 1)</w:t>
      </w:r>
      <w:r>
        <w:t xml:space="preserve">, сравнение оператором `&lt;=&gt;`. Без этого пороги 0,95 и 0,80 не определены.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При отказе посреди обработки запроса — </w:t>
      </w:r>
      <w:r>
        <w:rPr>
          <w:b/>
          <w:bCs/>
        </w:rPr>
        <w:t xml:space="preserve">отказ целиком</w:t>
      </w:r>
      <w:r>
        <w:t xml:space="preserve">. Частичный ответ не выдаётся: в тендерном тексте немаркированная неполнота опаснее явного отказа.</w:t>
      </w:r>
    </w:p>
    <w:p>
      <w:pPr>
        <w:pStyle w:val="Heading2"/>
        <w:spacing w:after="120" w:before="240"/>
      </w:pPr>
      <w:r>
        <w:t xml:space="preserve">11.6. Оборудование</w:t>
      </w:r>
    </w:p>
    <w:p>
      <w:pPr>
        <w:spacing w:after="120" w:line="276"/>
        <w:jc w:val="both"/>
      </w:pPr>
      <w:r>
        <w:t xml:space="preserve">Вопрос о запросе генерации у внешнего сервиса снят: генеративная модель разворачивается самостоятельно. Расчёт ведётся под GigaChat-20B-A3B.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00"/>
        <w:gridCol w:w="1600"/>
        <w:gridCol w:w="3926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Вариант</w:t>
            </w:r>
          </w:p>
        </w:tc>
        <w:tc>
          <w:tcPr>
            <w:tcW w:type="dxa" w:w="1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VRAM</w:t>
            </w:r>
          </w:p>
        </w:tc>
        <w:tc>
          <w:tcPr>
            <w:tcW w:type="dxa" w:w="1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Пригодность</w:t>
            </w:r>
          </w:p>
        </w:tc>
        <w:tc>
          <w:tcPr>
            <w:tcW w:type="dxa" w:w="392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Комментарий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16 ГБ (RTX 4060 Ti 16G, A4000)</w:t>
            </w:r>
          </w:p>
        </w:tc>
        <w:tc>
          <w:tcPr>
            <w:tcW w:type="dxa" w:w="1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16 ГБ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Впритык</w:t>
            </w:r>
          </w:p>
        </w:tc>
        <w:tc>
          <w:tcPr>
            <w:tcW w:type="dxa" w:w="39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Модель 12 ГБ + KV-кэш 2–4 ГБ заполняют карту целиком. Длинный контекст под секционные образцы ограничен, запаса нет</w:t>
            </w:r>
          </w:p>
        </w:tc>
      </w:tr>
      <w:tr>
        <w:tc>
          <w:tcPr>
            <w:tcW w:type="dxa" w:w="24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24 ГБ (RTX 4090 / A5000) — рекомендуется</w:t>
            </w:r>
          </w:p>
        </w:tc>
        <w:tc>
          <w:tcPr>
            <w:tcW w:type="dxa" w:w="11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24 ГБ</w:t>
            </w:r>
          </w:p>
        </w:tc>
        <w:tc>
          <w:tcPr>
            <w:tcW w:type="dxa" w:w="16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Достаточно с запасом</w:t>
            </w:r>
          </w:p>
        </w:tc>
        <w:tc>
          <w:tcPr>
            <w:tcW w:type="dxa" w:w="3926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Модель 12 ГБ + KV-кэш до 6 ГБ + запас 6 ГБ. </w:t>
            </w:r>
            <w:r>
              <w:rPr>
                <w:b/>
                <w:bCs/>
                <w:color w:val="000000"/>
                <w:sz w:val="19"/>
                <w:szCs w:val="19"/>
              </w:rPr>
              <w:t xml:space="preserve">Позволяет при необходимости перенести эмбеддинги и реранкер на своё оборудование (+3,5 ГБ), полностью сняв внешнюю зависимость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32 ГБ (RTX 5090)</w:t>
            </w:r>
          </w:p>
        </w:tc>
        <w:tc>
          <w:tcPr>
            <w:tcW w:type="dxa" w:w="1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32 ГБ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 запасом на рост</w:t>
            </w:r>
          </w:p>
        </w:tc>
        <w:tc>
          <w:tcPr>
            <w:tcW w:type="dxa" w:w="39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Оправдана при переходе на модель большего размера или при параллельной работе 100 пользователей</w:t>
            </w:r>
          </w:p>
        </w:tc>
      </w:tr>
    </w:tbl>
    <w:p>
      <w:pPr>
        <w:spacing w:after="120"/>
      </w:pPr>
    </w:p>
    <w:p>
      <w:pPr>
        <w:pBdr>
          <w:top w:val="single" w:color="E2EFDA" w:sz="2"/>
          <w:bottom w:val="single" w:color="E2EFDA" w:sz="2"/>
          <w:left w:val="single" w:color="1F4E79" w:sz="18" w:space="8"/>
          <w:right w:val="single" w:color="E2EFDA" w:sz="2"/>
        </w:pBdr>
        <w:shd w:fill="E2EFDA" w:val="clear"/>
        <w:spacing w:after="160" w:before="120" w:line="276"/>
        <w:ind w:left="120" w:right="120"/>
      </w:pPr>
      <w:r>
        <w:rPr>
          <w:b/>
          <w:bCs/>
        </w:rPr>
        <w:t xml:space="preserve">Требование к оборудованию снизилось с 32 до 24 ГБ.</w:t>
      </w:r>
      <w:r>
        <w:t xml:space="preserve"> Причина — переход на GigaChat-20B-A3B: модель на 20 млрд параметров в квантизации q4_K_M занимает вдвое меньше памяти, чем рассматривавшаяся ранее 35-миллиардная. При этом сохраняется возможность полного отказа от внешнего сервиса, ради которой в версии 2.1 рекомендовались 32 ГБ.</w:t>
      </w:r>
    </w:p>
    <w:p>
      <w:pPr>
        <w:spacing w:after="120" w:line="276"/>
        <w:jc w:val="both"/>
      </w:pPr>
      <w:r>
        <w:rPr>
          <w:b/>
          <w:bCs/>
        </w:rPr>
        <w:t xml:space="preserve">Прочие требования к серверу:</w:t>
      </w:r>
      <w:r>
        <w:t xml:space="preserve"> 64 ГБ оперативной памяти, 1 ТБ SSD под документы, индексы, веса моделей и журналы Langfuse, 8+ ядер CPU. PostgreSQL, Ollama и Langfuse размещаются на том же сервере.</w:t>
      </w:r>
    </w:p>
    <w:p>
      <w:pPr>
        <w:pStyle w:val="Heading1"/>
        <w:spacing w:after="160" w:before="320"/>
      </w:pPr>
      <w:r>
        <w:t xml:space="preserve">12. Метрики и подход к оценке качества</w:t>
      </w:r>
    </w:p>
    <w:p>
      <w:pPr>
        <w:spacing w:after="120" w:line="276"/>
        <w:jc w:val="both"/>
      </w:pPr>
      <w:r>
        <w:t xml:space="preserve">Раздел переработан полностью. Основное изменение: </w:t>
      </w:r>
      <w:r>
        <w:rPr>
          <w:b/>
          <w:bCs/>
        </w:rPr>
        <w:t xml:space="preserve">метрики разделены на четыре уровня, и наибольший вес имеют не технические, а продуктовые.</w:t>
      </w:r>
    </w:p>
    <w:p>
      <w:pPr>
        <w:pStyle w:val="Heading2"/>
        <w:spacing w:after="120" w:before="240"/>
      </w:pPr>
      <w:r>
        <w:t xml:space="preserve">12.1. Эталонный датасет: первая задача проекта</w:t>
      </w:r>
    </w:p>
    <w:p>
      <w:pPr>
        <w:spacing w:after="120" w:line="276"/>
        <w:jc w:val="both"/>
      </w:pPr>
      <w:r>
        <w:t xml:space="preserve">Эталонного набора данных сейчас нет, и его создание должно предшествовать написанию кода. Без него невозможно сравнить два варианта чанкинга, две модели эмбеддингов или два шаблона промпта — любые изменения будут оцениваться на глаз.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426"/>
      </w:tblGrid>
      <w:tr>
        <w:trPr>
          <w:tblHeader/>
        </w:trPr>
        <w:tc>
          <w:tcPr>
            <w:tcW w:type="dxa" w:w="1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2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Значение</w:t>
            </w:r>
          </w:p>
        </w:tc>
        <w:tc>
          <w:tcPr>
            <w:tcW w:type="dxa" w:w="442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Обоснование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Объём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100–150 пар</w:t>
            </w: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, не 30–50</w:t>
            </w:r>
          </w:p>
        </w:tc>
        <w:tc>
          <w:tcPr>
            <w:tcW w:type="dxa" w:w="44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На 40 примерах доверительный интервал составляет ±8–10 п.п. Улучшение на 5% неотличимо от случайного шума, и решения принимаются по колебаниям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Как собрать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По 8–10 реальных запросов от каждого из 12 РП</w:t>
            </w:r>
          </w:p>
        </w:tc>
        <w:tc>
          <w:tcPr>
            <w:tcW w:type="dxa" w:w="44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Суммарно 2–3 часа рабочего времени команды. Запросы должны быть настоящими, а не придуманными для теста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Состав записи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Запрос → ожидаемый ответ → </w:t>
            </w:r>
            <w:r>
              <w:rPr>
                <w:b/>
                <w:bCs/>
                <w:color w:val="000000"/>
                <w:sz w:val="19"/>
                <w:szCs w:val="19"/>
              </w:rPr>
              <w:t xml:space="preserve">перечень якорей: (документ, раздел или диапазон страниц, цитата в 1–2 предложения)</w:t>
            </w:r>
          </w:p>
        </w:tc>
        <w:tc>
          <w:tcPr>
            <w:tcW w:type="dxa" w:w="44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Третий элемент важнее второго: он позволяет измерять поиск детерминированно, без языковой модели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Разбиение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70% для настройки, 30% отложенная выборка</w:t>
            </w:r>
          </w:p>
        </w:tc>
        <w:tc>
          <w:tcPr>
            <w:tcW w:type="dxa" w:w="44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Отложенная выборка не используется при настройке — иначе система подгоняется под тест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Покрытие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Оба сценария (КП и отчёты), все типы разделов, запросы с отсутствующим ответом</w:t>
            </w:r>
          </w:p>
        </w:tc>
        <w:tc>
          <w:tcPr>
            <w:tcW w:type="dxa" w:w="44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Последняя категория проверяет, умеет ли система сказать «не найдено» вместо выдумывания, и задаёт порог отсечения реранкера</w:t>
            </w:r>
          </w:p>
        </w:tc>
      </w:tr>
      <w:tr>
        <w:tc>
          <w:tcPr>
            <w:tcW w:type="dxa" w:w="1800"/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Формулировки</w:t>
            </w:r>
          </w:p>
        </w:tc>
        <w:tc>
          <w:tcPr>
            <w:tcW w:type="dxa" w:w="2800"/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Запросы записываются словами пользователя, а не терминами документов</w:t>
            </w:r>
          </w:p>
        </w:tc>
        <w:tc>
          <w:tcPr>
            <w:tcW w:type="dxa" w:w="4426"/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Датасет в терминах корпуса проверит поиск, но не проверит слой разбора запроса — то есть именно то звено, ради которого он вводится</w:t>
            </w:r>
          </w:p>
        </w:tc>
      </w:tr>
    </w:tbl>
    <w:p>
      <w:pPr>
        <w:spacing w:after="120"/>
      </w:pPr>
    </w:p>
    <w:p>
      <w:pPr>
        <w:pBdr>
          <w:top w:val="single" w:color="FBE4D5" w:sz="2"/>
          <w:bottom w:val="single" w:color="FBE4D5" w:sz="2"/>
          <w:left w:val="single" w:color="1F4E79" w:sz="18" w:space="8"/>
          <w:right w:val="single" w:color="FBE4D5" w:sz="2"/>
        </w:pBdr>
        <w:shd w:fill="FBE4D5" w:val="clear"/>
        <w:spacing w:after="160" w:before="120" w:line="276"/>
        <w:ind w:left="120" w:right="120"/>
      </w:pPr>
      <w:r>
        <w:rPr>
          <w:b/>
          <w:bCs/>
        </w:rPr>
        <w:t xml:space="preserve">Разметка ведётся на устойчивых якорях, а не на идентификаторах чанков.</w:t>
      </w:r>
      <w:r>
        <w:t xml:space="preserve"> Идентификаторы пересоздаются при каждой смене параметров чанкинга, а сравнение вариантов чанкинга — одно из главных назначений датасета. Привязка к идентификаторам обнуляла бы разметку при первом же эксперименте. Якорь разрешается в чанки текущей версии индекса отдельным резолвером: по документу, разделу и цитате находятся чанки, содержащие эту цитату.</w:t>
      </w:r>
    </w:p>
    <w:p>
      <w:pPr>
        <w:pBdr>
          <w:top w:val="single" w:color="FBE4D5" w:sz="2"/>
          <w:bottom w:val="single" w:color="FBE4D5" w:sz="2"/>
          <w:left w:val="single" w:color="1F4E79" w:sz="18" w:space="8"/>
          <w:right w:val="single" w:color="FBE4D5" w:sz="2"/>
        </w:pBdr>
        <w:shd w:fill="FBE4D5" w:val="clear"/>
        <w:spacing w:after="160" w:before="120" w:line="276"/>
        <w:ind w:left="120" w:right="120"/>
      </w:pPr>
      <w:r>
        <w:rPr>
          <w:b/>
          <w:bCs/>
        </w:rPr>
        <w:t xml:space="preserve">Трудоёмкость якорной разметки — 3–5 рабочих дней человека, знающего корпус.</w:t>
      </w:r>
      <w:r>
        <w:t xml:space="preserve"> Оценка «2–3 часа», приводимая для сбора формулировок запросов, относится только к ним. Разметка того, какие именно фрагменты из 12 500 страниц обязаны быть найдены, — самостоятельная работа. Назначение исполнителя и срока входит в блокирующие пункты этапа 0.</w:t>
      </w:r>
    </w:p>
    <w:p>
      <w:pPr>
        <w:pStyle w:val="Heading2"/>
        <w:spacing w:after="120" w:before="240"/>
      </w:pPr>
      <w:r>
        <w:t xml:space="preserve">12.2. Уровень 1. Метрики поиска — детерминированные, без участия LLM</w:t>
      </w:r>
    </w:p>
    <w:p>
      <w:pPr>
        <w:spacing w:after="120" w:line="276"/>
        <w:jc w:val="both"/>
      </w:pPr>
      <w:r>
        <w:t xml:space="preserve">Это главные технические метрики этапа PoC. Они считаются мгновенно, бесплатно и абсолютно воспроизводимо — при наличии размеченных эталонных чанков языковая модель для их расчёта не требуется вообще.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2626"/>
      </w:tblGrid>
      <w:tr>
        <w:trPr>
          <w:tblHeader/>
        </w:trPr>
        <w:tc>
          <w:tcPr>
            <w:tcW w:type="dxa" w:w="2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Метрика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Что измеряет</w:t>
            </w:r>
          </w:p>
        </w:tc>
        <w:tc>
          <w:tcPr>
            <w:tcW w:type="dxa" w:w="262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Целевой ориентир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Recall@50</w:t>
            </w:r>
          </w:p>
        </w:tc>
        <w:tc>
          <w:tcPr>
            <w:tcW w:type="dxa" w:w="4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Доля эталонных чанков, попавших в 50 кандидатов до реранкинга. Ключевая метрика: чего нет здесь, того не будет нигде дальше</w:t>
            </w:r>
          </w:p>
        </w:tc>
        <w:tc>
          <w:tcPr>
            <w:tcW w:type="dxa" w:w="2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≥ 0,95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Recall@8</w:t>
            </w:r>
          </w:p>
        </w:tc>
        <w:tc>
          <w:tcPr>
            <w:tcW w:type="dxa" w:w="4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Доля эталонных чанков в финальной выдаче после реранкинга</w:t>
            </w:r>
          </w:p>
        </w:tc>
        <w:tc>
          <w:tcPr>
            <w:tcW w:type="dxa" w:w="2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≥ 0,85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nDCG@8</w:t>
            </w:r>
          </w:p>
        </w:tc>
        <w:tc>
          <w:tcPr>
            <w:tcW w:type="dxa" w:w="4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Качество порядка выдачи с учётом позиции</w:t>
            </w:r>
          </w:p>
        </w:tc>
        <w:tc>
          <w:tcPr>
            <w:tcW w:type="dxa" w:w="2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Отслеживать динамику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MRR</w:t>
            </w:r>
          </w:p>
        </w:tc>
        <w:tc>
          <w:tcPr>
            <w:tcW w:type="dxa" w:w="4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Позиция первого релевантного результата</w:t>
            </w:r>
          </w:p>
        </w:tc>
        <w:tc>
          <w:tcPr>
            <w:tcW w:type="dxa" w:w="2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≥ 0,7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Доля уникальных блоков в топ-8</w:t>
            </w:r>
          </w:p>
        </w:tc>
        <w:tc>
          <w:tcPr>
            <w:tcW w:type="dxa" w:w="4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Контроль эффективности дедупликации типовых текстов</w:t>
            </w:r>
          </w:p>
        </w:tc>
        <w:tc>
          <w:tcPr>
            <w:tcW w:type="dxa" w:w="2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≥ 0,75</w:t>
            </w:r>
          </w:p>
        </w:tc>
      </w:tr>
      <w:tr>
        <w:tc>
          <w:tcPr>
            <w:tcW w:type="dxa" w:w="20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Recall@8 по граням подхода</w:t>
            </w:r>
          </w:p>
        </w:tc>
        <w:tc>
          <w:tcPr>
            <w:tcW w:type="dxa" w:w="44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Полнота отдельно по каждой грани: методология, этапы, риски и т. д. Показывает, какая грань проваливается</w:t>
            </w:r>
          </w:p>
        </w:tc>
        <w:tc>
          <w:tcPr>
            <w:tcW w:type="dxa" w:w="2626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≥ 0,80 по каждой</w:t>
            </w:r>
          </w:p>
        </w:tc>
      </w:tr>
      <w:tr>
        <w:tc>
          <w:tcPr>
            <w:tcW w:type="dxa" w:w="2000"/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Recall@K_ctx</w:t>
            </w:r>
          </w:p>
        </w:tc>
        <w:tc>
          <w:tcPr>
            <w:tcW w:type="dxa" w:w="4400"/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Полнота на итоговом контексте при равном бюджете токенов.</w:t>
            </w: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 Единственная метрика, пригодная для сравнения конфигураций с разным числом граней</w:t>
            </w:r>
          </w:p>
        </w:tc>
        <w:tc>
          <w:tcPr>
            <w:tcW w:type="dxa" w:w="2626"/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Основной критерий этапа 3.5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t xml:space="preserve">Метрики слоя разбора запроса</w:t>
      </w:r>
    </w:p>
    <w:p>
      <w:pPr>
        <w:spacing w:after="120" w:line="276"/>
        <w:jc w:val="both"/>
      </w:pPr>
      <w:r>
        <w:t xml:space="preserve">Слой введён в версии 2.2 и требует собственных измерений — иначе повторяется ошибка исходной концепции, где точность роутера не измерялась вовсе.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26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Метрика</w:t>
            </w:r>
          </w:p>
        </w:tc>
        <w:tc>
          <w:tcPr>
            <w:tcW w:type="dxa" w:w="3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Что показывает</w:t>
            </w:r>
          </w:p>
        </w:tc>
        <w:tc>
          <w:tcPr>
            <w:tcW w:type="dxa" w:w="342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Как считается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Прирост Recall@8 от декомпозиции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Оправдан ли слой в принципе</w:t>
            </w:r>
          </w:p>
        </w:tc>
        <w:tc>
          <w:tcPr>
            <w:tcW w:type="dxa" w:w="34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Сравнение с одиночным запросом без разбора на одном датасете. </w:t>
            </w:r>
            <w:r>
              <w:rPr>
                <w:b/>
                <w:bCs/>
                <w:color w:val="000000"/>
                <w:sz w:val="19"/>
                <w:szCs w:val="19"/>
              </w:rPr>
              <w:t xml:space="preserve">Если прироста нет — слой отключается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Прирост Recall@8 от HyDE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Оправдан ли второй поисковый ключ</w:t>
            </w:r>
          </w:p>
        </w:tc>
        <w:tc>
          <w:tcPr>
            <w:tcW w:type="dxa" w:w="34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Три режима на одном датасете: только запрос, только гипотеза, объединение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Точность классификации типа задачи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Правильно ли выбирается шаблон плана поиска</w:t>
            </w:r>
          </w:p>
        </w:tc>
        <w:tc>
          <w:tcPr>
            <w:tcW w:type="dxa" w:w="34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Матрица ошибок на размеченных запросах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Точность извлечения параметров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Верно ли определены отрасль и тип задачи</w:t>
            </w:r>
          </w:p>
        </w:tc>
        <w:tc>
          <w:tcPr>
            <w:tcW w:type="dxa" w:w="34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Сверка со справочниками реестра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Доля запросов, где HyDE ухудшил выдачу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Величина словарного смещения на нашем корпусе</w:t>
            </w:r>
          </w:p>
        </w:tc>
        <w:tc>
          <w:tcPr>
            <w:tcW w:type="dxa" w:w="34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Сравнение позиций эталонных чанков в двух режимах</w:t>
            </w:r>
          </w:p>
        </w:tc>
      </w:tr>
    </w:tbl>
    <w:p>
      <w:pPr>
        <w:spacing w:after="120"/>
      </w:pPr>
    </w:p>
    <w:p>
      <w:pPr>
        <w:pBdr>
          <w:top w:val="single" w:color="DCE6F1" w:sz="2"/>
          <w:bottom w:val="single" w:color="DCE6F1" w:sz="2"/>
          <w:left w:val="single" w:color="1F4E79" w:sz="18" w:space="8"/>
          <w:right w:val="single" w:color="DCE6F1" w:sz="2"/>
        </w:pBdr>
        <w:shd w:fill="DCE6F1" w:val="clear"/>
        <w:spacing w:after="160" w:before="120" w:line="276"/>
        <w:ind w:left="120" w:right="120"/>
      </w:pPr>
      <w:r>
        <w:rPr>
          <w:b/>
          <w:bCs/>
        </w:rPr>
        <w:t xml:space="preserve">Полнота считается на уровне кластера дедупликации, а не отдельного чанка.</w:t>
      </w:r>
      <w:r>
        <w:t xml:space="preserve"> Если эталонный якорь разрешился в чанк, оказавшийся неканоническим представителем кластера, а в выдачу попал канонический — это попадание, а не промах: текст тот же самый.</w:t>
      </w:r>
    </w:p>
    <w:p>
      <w:pPr>
        <w:pBdr>
          <w:top w:val="single" w:color="FBE4D5" w:sz="2"/>
          <w:bottom w:val="single" w:color="FBE4D5" w:sz="2"/>
          <w:left w:val="single" w:color="1F4E79" w:sz="18" w:space="8"/>
          <w:right w:val="single" w:color="FBE4D5" w:sz="2"/>
        </w:pBdr>
        <w:shd w:fill="FBE4D5" w:val="clear"/>
        <w:spacing w:after="160" w:before="120" w:line="276"/>
        <w:ind w:left="120" w:right="120"/>
      </w:pPr>
      <w:r>
        <w:rPr>
          <w:b/>
          <w:bCs/>
        </w:rPr>
        <w:t xml:space="preserve">О достижимости цели Recall@8 ≥ 0,85.</w:t>
      </w:r>
      <w:r>
        <w:t xml:space="preserve"> Число якорей на запрос не ограничено: широкий запрос может иметь 15 эталонных фрагментов, и тогда арифметический максимум Recall@8 составляет 0,53. Поэтому цель трактуется </w:t>
      </w:r>
      <w:r>
        <w:rPr>
          <w:b/>
          <w:bCs/>
        </w:rPr>
        <w:t xml:space="preserve">по медиане по датасету</w:t>
      </w:r>
      <w:r>
        <w:t xml:space="preserve">, а запросы с числом якорей больше восьми выделяются в отдельную группу и отслеживаются по Recall@K_ctx.</w:t>
      </w:r>
    </w:p>
    <w:p>
      <w:pPr>
        <w:pBdr>
          <w:top w:val="single" w:color="FBE4D5" w:sz="2"/>
          <w:bottom w:val="single" w:color="FBE4D5" w:sz="2"/>
          <w:left w:val="single" w:color="1F4E79" w:sz="18" w:space="8"/>
          <w:right w:val="single" w:color="FBE4D5" w:sz="2"/>
        </w:pBdr>
        <w:shd w:fill="FBE4D5" w:val="clear"/>
        <w:spacing w:after="160" w:before="120" w:line="276"/>
        <w:ind w:left="120" w:right="120"/>
      </w:pPr>
      <w:r>
        <w:rPr>
          <w:b/>
          <w:bCs/>
        </w:rPr>
        <w:t xml:space="preserve">Сравнение этапов 3 и 3.5 требует равного бюджета.</w:t>
      </w:r>
      <w:r>
        <w:t xml:space="preserve"> Базовая конфигурация выдаёт 8 чанков, конфигурация со слоем разбора — до 48 чанков по шести граням из 300 кандидатов. Прирост полноты при таком сравнении обеспечен арифметикой размера выдачи, и критерий «нет прироста — слой отключается» не смог бы сработать никогда. Сравнение ведётся только по Recall@K_ctx при одинаковом бюджете токенов контекста.</w:t>
      </w:r>
    </w:p>
    <w:p>
      <w:pPr>
        <w:pBdr>
          <w:top w:val="single" w:color="DCE6F1" w:sz="2"/>
          <w:bottom w:val="single" w:color="DCE6F1" w:sz="2"/>
          <w:left w:val="single" w:color="1F4E79" w:sz="18" w:space="8"/>
          <w:right w:val="single" w:color="DCE6F1" w:sz="2"/>
        </w:pBdr>
        <w:shd w:fill="DCE6F1" w:val="clear"/>
        <w:spacing w:after="160" w:before="120" w:line="276"/>
        <w:ind w:left="120" w:right="120"/>
      </w:pPr>
      <w:r>
        <w:rPr>
          <w:b/>
          <w:bCs/>
        </w:rPr>
        <w:t xml:space="preserve">Принцип приоритезации:</w:t>
      </w:r>
      <w:r>
        <w:t xml:space="preserve"> оптимизировать в первую очередь поиск. При качественном контексте современная языковая модель почти всегда формулирует приемлемый ответ. Обратное неверно: при плохом контексте никакая модель не спасёт. Основные усилия по улучшению системы следует направлять в слои 1–3, а не в подбор формулировок промптов.</w:t>
      </w:r>
    </w:p>
    <w:p>
      <w:pPr>
        <w:pStyle w:val="Heading2"/>
        <w:spacing w:after="120" w:before="240"/>
      </w:pPr>
      <w:r>
        <w:t xml:space="preserve">12.3. Уровень 2. Метрики генерации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226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Метрика</w:t>
            </w:r>
          </w:p>
        </w:tc>
        <w:tc>
          <w:tcPr>
            <w:tcW w:type="dxa" w:w="3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Что измеряет</w:t>
            </w:r>
          </w:p>
        </w:tc>
        <w:tc>
          <w:tcPr>
            <w:tcW w:type="dxa" w:w="322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Метод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Faithfulness (достоверность)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Подтверждается ли каждое утверждение ответа найденным контекстом — защита от вымысла</w:t>
            </w:r>
          </w:p>
        </w:tc>
        <w:tc>
          <w:tcPr>
            <w:tcW w:type="dxa" w:w="32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Разбиение ответа на атомарные утверждения, проверка каждого против контекста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Точность цитирования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Доля утверждений с корректной ссылкой на источник. Для наших задач критична: текст идёт в тендерную заявку</w:t>
            </w:r>
          </w:p>
        </w:tc>
        <w:tc>
          <w:tcPr>
            <w:tcW w:type="dxa" w:w="32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Автоматическая сверка идентификаторов ссылок с составом контекста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Answer Relevance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Соответствие ответа поставленному запросу</w:t>
            </w:r>
          </w:p>
        </w:tc>
        <w:tc>
          <w:tcPr>
            <w:tcW w:type="dxa" w:w="32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Генерация обратных вопросов и сравнение с исходным</w:t>
            </w:r>
          </w:p>
        </w:tc>
      </w:tr>
      <w:tr>
        <w:tc>
          <w:tcPr>
            <w:tcW w:type="dxa" w:w="2200"/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Нарушения NDA</w:t>
            </w:r>
          </w:p>
        </w:tc>
        <w:tc>
          <w:tcPr>
            <w:tcW w:type="dxa" w:w="3600"/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Упоминание заказчиков, запрещённых к раскрытию</w:t>
            </w:r>
          </w:p>
        </w:tc>
        <w:tc>
          <w:tcPr>
            <w:tcW w:type="dxa" w:w="3226"/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Детерминированная сверка со списком. Допустимое значение — ноль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Доля корректных отказов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Способность ответить «не найдено» при отсутствии данных в корпусе</w:t>
            </w:r>
          </w:p>
        </w:tc>
        <w:tc>
          <w:tcPr>
            <w:tcW w:type="dxa" w:w="32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Проверяется на специально подготовленных запросах без ответа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t xml:space="preserve">Кто выступает судьёй</w:t>
      </w:r>
    </w:p>
    <w:p>
      <w:pPr>
        <w:spacing w:after="120" w:line="276"/>
        <w:jc w:val="both"/>
      </w:pPr>
      <w:r>
        <w:t xml:space="preserve">Существенная методологическая поправка. Если оценивать ответы той же моделью, которая их генерирует, оценка становится самореферентной: модель систематически одобряет собственный стиль рассуждения и не замечает своих типовых ошибок. Варианты решения: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4026"/>
      </w:tblGrid>
      <w:tr>
        <w:trPr>
          <w:tblHeader/>
        </w:trPr>
        <w:tc>
          <w:tcPr>
            <w:tcW w:type="dxa" w:w="1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Этап</w:t>
            </w:r>
          </w:p>
        </w:tc>
        <w:tc>
          <w:tcPr>
            <w:tcW w:type="dxa" w:w="3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Кто оценивает</w:t>
            </w:r>
          </w:p>
        </w:tc>
        <w:tc>
          <w:tcPr>
            <w:tcW w:type="dxa" w:w="402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Обоснование</w:t>
            </w:r>
          </w:p>
        </w:tc>
      </w:tr>
      <w:tr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PoC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Человек: 2 руководителя проектов оценивают 100–150 ответов по фиксированному чек-листу.</w:t>
            </w: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 Пересечение — 30 общих ответов для проверки согласованности</w:t>
            </w:r>
          </w:p>
        </w:tc>
        <w:tc>
          <w:tcPr>
            <w:tcW w:type="dxa" w:w="40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Согласованность оценщиков должна быть не ниже 0,7; при меньшем значении чек-лист уточняется, а оценки до этого момента признаются ненадёжными</w:t>
            </w:r>
          </w:p>
        </w:tc>
      </w:tr>
      <w:tr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Промышленная эксплуатация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Автоматическая оценка (RAGAS), откалиброванная по человеческим оценкам с PoC</w:t>
            </w:r>
          </w:p>
        </w:tc>
        <w:tc>
          <w:tcPr>
            <w:tcW w:type="dxa" w:w="40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Регулярный прогон при каждом изменении системы</w:t>
            </w:r>
          </w:p>
        </w:tc>
      </w:tr>
      <w:tr>
        <w:tc>
          <w:tcPr>
            <w:tcW w:type="dxa" w:w="1400"/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Контрольные замеры</w:t>
            </w:r>
          </w:p>
        </w:tc>
        <w:tc>
          <w:tcPr>
            <w:tcW w:type="dxa" w:w="3600"/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Внешняя модель, отличная от генерирующей</w:t>
            </w: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, офлайн на обезличенной подвыборке</w:t>
            </w:r>
          </w:p>
        </w:tc>
        <w:tc>
          <w:tcPr>
            <w:tcW w:type="dxa" w:w="4026"/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Автоматическая оценка не может выполняться той же GigaChat, что генерирует ответы</w:t>
            </w: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 — оценка станет самореферентной. При строгом on-premise допустима только человеческая оценка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rPr>
          <w:b/>
          <w:bCs/>
        </w:rPr>
        <w:t xml:space="preserve">О пороговых значениях.</w:t>
      </w:r>
      <w:r>
        <w:t xml:space="preserve"> Значение Faithfulness 0,85 в версии 1.0 задано без основания. Правильный порядок: сначала измерить базовый уровень на первой работающей версии, затем установить порог как «не хуже достигнутого» и повышать его по мере улучшений. Порог, назначенный до первого замера, либо недостижим, либо бессмыслен.</w:t>
      </w:r>
    </w:p>
    <w:p>
      <w:pPr>
        <w:pStyle w:val="Heading2"/>
        <w:spacing w:after="120" w:before="240"/>
      </w:pPr>
      <w:r>
        <w:t xml:space="preserve">12.4. Уровень 3. Продуктовые метрики — главные</w:t>
      </w:r>
    </w:p>
    <w:p>
      <w:pPr>
        <w:spacing w:after="120" w:line="276"/>
        <w:jc w:val="both"/>
      </w:pPr>
      <w:r>
        <w:t xml:space="preserve">Технические показатели могут расти, а система при этом оставаться невостребованной. Решающими являются следующие метрики: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Метрика</w:t>
            </w:r>
          </w:p>
        </w:tc>
        <w:tc>
          <w:tcPr>
            <w:tcW w:type="dxa" w:w="3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Как измеряется</w:t>
            </w:r>
          </w:p>
        </w:tc>
        <w:tc>
          <w:tcPr>
            <w:tcW w:type="dxa" w:w="342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Почему важна</w:t>
            </w:r>
          </w:p>
        </w:tc>
      </w:tr>
      <w:tr>
        <w:tc>
          <w:tcPr>
            <w:tcW w:type="dxa" w:w="22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Доля текста, оставленная без правок</w:t>
            </w:r>
          </w:p>
        </w:tc>
        <w:tc>
          <w:tcPr>
            <w:tcW w:type="dxa" w:w="34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Расстояние редактирования между сгенерированным текстом и финальной версией документа</w:t>
            </w:r>
          </w:p>
        </w:tc>
        <w:tc>
          <w:tcPr>
            <w:tcW w:type="dxa" w:w="3426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Единственный честный ответ на вопрос, полезна ли система. Если РП переписывает всё заново — качество генерации не имеет значения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Календарное время подготовки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От постановки задачи до готового документа. Базовая линия: 3–5 дней</w:t>
            </w:r>
          </w:p>
        </w:tc>
        <w:tc>
          <w:tcPr>
            <w:tcW w:type="dxa" w:w="34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Прямой эффект, заявленный в обосновании проекта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Частота обращений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Число запросов на пользователя в неделю</w:t>
            </w:r>
          </w:p>
        </w:tc>
        <w:tc>
          <w:tcPr>
            <w:tcW w:type="dxa" w:w="34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Показатель реального принятия инструмента. Падение после первых недель означает, что система не оправдала ожиданий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Доля запросов без результата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Процент запросов, где пользователь не получил ничего полезного</w:t>
            </w:r>
          </w:p>
        </w:tc>
        <w:tc>
          <w:tcPr>
            <w:tcW w:type="dxa" w:w="34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Указывает на пробелы в корпусе или в поиске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Обращения к директорам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Число вопросов «был ли у нас опыт…», замеряется опросом</w:t>
            </w:r>
          </w:p>
        </w:tc>
        <w:tc>
          <w:tcPr>
            <w:tcW w:type="dxa" w:w="34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Проверка эффекта разгрузки экспертов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12.5. Уровень 4. Эксплуатационные метрики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Латентность p50 и p95 по этапам конвейера — отдельно поиск, отдельно генерация.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Полнота индексации: доля страниц корпуса, успешно распознанных и попавших в индекс.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Доля страниц, помеченных как требующие ручной проверки после OCR.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Актуальность: задержка между добавлением документа и его доступностью в поиске.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13. Наблюдаемость и цикл улучшения</w:t>
      </w:r>
    </w:p>
    <w:p>
      <w:pPr>
        <w:spacing w:after="120" w:line="276"/>
        <w:jc w:val="both"/>
      </w:pPr>
      <w:r>
        <w:t xml:space="preserve">Глава отвечает на вопрос, за счёт чего система улучшается после запуска. Метрики предыдущей главы показывают </w:t>
      </w:r>
      <w:r>
        <w:rPr>
          <w:b/>
          <w:bCs/>
        </w:rPr>
        <w:t xml:space="preserve">что</w:t>
      </w:r>
      <w:r>
        <w:t xml:space="preserve"> работает плохо; настоящая глава описывает, как узнать </w:t>
      </w:r>
      <w:r>
        <w:rPr>
          <w:b/>
          <w:bCs/>
        </w:rPr>
        <w:t xml:space="preserve">почему</w:t>
      </w:r>
      <w:r>
        <w:t xml:space="preserve"> и как накапливать данные для исправления.</w:t>
      </w:r>
    </w:p>
    <w:p>
      <w:pPr>
        <w:pStyle w:val="Heading2"/>
        <w:spacing w:after="120" w:before="240"/>
      </w:pPr>
      <w:r>
        <w:t xml:space="preserve">13.1. Принцип</w:t>
      </w:r>
    </w:p>
    <w:p>
      <w:pPr>
        <w:pBdr>
          <w:top w:val="single" w:color="DCE6F1" w:sz="2"/>
          <w:bottom w:val="single" w:color="DCE6F1" w:sz="2"/>
          <w:left w:val="single" w:color="1F4E79" w:sz="18" w:space="8"/>
          <w:right w:val="single" w:color="DCE6F1" w:sz="2"/>
        </w:pBdr>
        <w:shd w:fill="DCE6F1" w:val="clear"/>
        <w:spacing w:after="160" w:before="120" w:line="276"/>
        <w:ind w:left="120" w:right="120"/>
      </w:pPr>
      <w:r>
        <w:t xml:space="preserve">Логируется не «что произошло», а всё необходимое, чтобы </w:t>
      </w:r>
      <w:r>
        <w:rPr>
          <w:b/>
          <w:bCs/>
        </w:rPr>
        <w:t xml:space="preserve">задним числом переоценить решение, не переигрывая запрос заново.</w:t>
      </w:r>
      <w:r>
        <w:t xml:space="preserve"> Разница существенная: журнал вида «запрос обработан за 12 секунд, выдано 6 источников» бесполезен для разбора, потому что не позволяет понять, какие кандидаты рассматривались и почему были отброшены.</w:t>
      </w:r>
    </w:p>
    <w:p>
      <w:pPr>
        <w:spacing w:after="120" w:line="276"/>
        <w:jc w:val="both"/>
      </w:pPr>
      <w:r>
        <w:t xml:space="preserve">Единица наблюдения — </w:t>
      </w:r>
      <w:r>
        <w:rPr>
          <w:b/>
          <w:bCs/>
        </w:rPr>
        <w:t xml:space="preserve">трасса</w:t>
      </w:r>
      <w:r>
        <w:t xml:space="preserve"> (trace): одна запись на пользовательский запрос со вложенными стадиями конвейера.</w:t>
      </w:r>
    </w:p>
    <w:p>
      <w:pPr>
        <w:pStyle w:val="Heading2"/>
        <w:spacing w:after="120" w:before="240"/>
      </w:pPr>
      <w:r>
        <w:t xml:space="preserve">13.2. Состав трассы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Стадия</w:t>
            </w:r>
          </w:p>
        </w:tc>
        <w:tc>
          <w:tcPr>
            <w:tcW w:type="dxa" w:w="702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Что записывается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Общее</w:t>
            </w:r>
          </w:p>
        </w:tc>
        <w:tc>
          <w:tcPr>
            <w:tcW w:type="dxa" w:w="70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Идентификатор трассы, время, пользователь, исходный текст запроса. </w:t>
            </w:r>
            <w:r>
              <w:rPr>
                <w:b/>
                <w:bCs/>
                <w:color w:val="000000"/>
                <w:sz w:val="19"/>
                <w:szCs w:val="19"/>
              </w:rPr>
              <w:t xml:space="preserve">Версии всего:</w:t>
            </w: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 промптов, шаблонов планов, шаблонов разделов, модели эмбеддингов, реранкера, индекса, конфигурации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Разбор запроса</w:t>
            </w:r>
          </w:p>
        </w:tc>
        <w:tc>
          <w:tcPr>
            <w:tcW w:type="dxa" w:w="70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Определённый тип задачи и уверенность классификации; выбранный шаблон плана; извлечённые параметры; список подзапросов по граням; </w:t>
            </w:r>
            <w:r>
              <w:rPr>
                <w:b/>
                <w:bCs/>
                <w:color w:val="000000"/>
                <w:sz w:val="19"/>
                <w:szCs w:val="19"/>
              </w:rPr>
              <w:t xml:space="preserve">полный текст каждой гипотезы HyDE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Поиск, по каждой грани</w:t>
            </w:r>
          </w:p>
        </w:tc>
        <w:tc>
          <w:tcPr>
            <w:tcW w:type="dxa" w:w="70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Четыре исходных списка кандидатов раздельно: запрос×вектор, запрос×полнотекстовый, гипотеза×вектор, гипотеза×полнотекстовый — с идентификаторами чанков, оценками и позициями. Далее: результат RRF (50 кандидатов), результат реранкинга (те же 50 с новыми оценками), финальные 5–8 после MMR, факт срабатывания порога отсечения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Генерация</w:t>
            </w:r>
          </w:p>
        </w:tc>
        <w:tc>
          <w:tcPr>
            <w:tcW w:type="dxa" w:w="70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Идентификаторы чанков, вошедших в контекст; сгенерированный текст; проставленные ссылки; утверждения без источника; срабатывания контроля публичности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Тайминги</w:t>
            </w:r>
          </w:p>
        </w:tc>
        <w:tc>
          <w:tcPr>
            <w:tcW w:type="dxa" w:w="70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Длительность каждой стадии отдельно</w:t>
            </w:r>
          </w:p>
        </w:tc>
      </w:tr>
    </w:tbl>
    <w:p>
      <w:pPr>
        <w:spacing w:after="120"/>
      </w:pPr>
    </w:p>
    <w:p>
      <w:pPr>
        <w:pBdr>
          <w:top w:val="single" w:color="FBE4D5" w:sz="2"/>
          <w:bottom w:val="single" w:color="FBE4D5" w:sz="2"/>
          <w:left w:val="single" w:color="1F4E79" w:sz="18" w:space="8"/>
          <w:right w:val="single" w:color="FBE4D5" w:sz="2"/>
        </w:pBdr>
        <w:shd w:fill="FBE4D5" w:val="clear"/>
        <w:spacing w:after="160" w:before="120" w:line="276"/>
        <w:ind w:left="120" w:right="120"/>
      </w:pPr>
      <w:r>
        <w:rPr>
          <w:b/>
          <w:bCs/>
        </w:rPr>
        <w:t xml:space="preserve">Гипотезы HyDE записываются в журнал целиком.</w:t>
      </w:r>
      <w:r>
        <w:t xml:space="preserve"> Из контекста генерации они удаляются согласно требованию раздела 8.3, но из журнала — нет. Без них невозможно установить, почему поиск ушёл в сторону: видна будет только странная выдача без объяснимой причины.</w:t>
      </w:r>
    </w:p>
    <w:p>
      <w:pPr>
        <w:pStyle w:val="Heading2"/>
        <w:spacing w:after="120" w:before="240"/>
      </w:pPr>
      <w:r>
        <w:t xml:space="preserve">13.3. Раздельный учёт источников — метрика HyDE без разметки</w:t>
      </w:r>
    </w:p>
    <w:p>
      <w:pPr>
        <w:spacing w:after="120" w:line="276"/>
        <w:jc w:val="both"/>
      </w:pPr>
      <w:r>
        <w:t xml:space="preserve">Ключевая причина, по которой четыре списка кандидатов записываются раздельно, а не только итог объединения.</w:t>
      </w:r>
    </w:p>
    <w:p>
      <w:pPr>
        <w:spacing w:after="120" w:line="276"/>
        <w:jc w:val="both"/>
      </w:pPr>
      <w:r>
        <w:t xml:space="preserve">Для каждого чанка, дошедшего до генерации, фиксируется, </w:t>
      </w:r>
      <w:r>
        <w:rPr>
          <w:b/>
          <w:bCs/>
        </w:rPr>
        <w:t xml:space="preserve">из каких списков он пришёл и на какой позиции</w:t>
      </w:r>
      <w:r>
        <w:t xml:space="preserve">. Это позволяет считать на живом трафике, без какой-либо ручной разметки: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долю финальных чанков, найденных </w:t>
      </w:r>
      <w:r>
        <w:rPr>
          <w:b/>
          <w:bCs/>
        </w:rPr>
        <w:t xml:space="preserve">только гипотезой</w:t>
      </w:r>
      <w:r>
        <w:t xml:space="preserve"> и отсутствовавших в списках исходного запроса;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долю найденных только исходным запросом;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долю пересечения;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вклад полнотекстового поиска отдельно от векторного.</w:t>
      </w:r>
    </w:p>
    <w:p>
      <w:pPr>
        <w:spacing w:after="120" w:line="276"/>
        <w:jc w:val="both"/>
      </w:pPr>
      <w:r>
        <w:t xml:space="preserve">Практическое следствие: если за месяц эксплуатации гипотеза не добавила ни одного уникального чанка в финальную выдачу, HyDE отключается — и это решение опирается на статистику реальных запросов, а не на эталонный датасет из 150 примеров. Тот же приём отвечает на вопрос о полезности лексической половины поиска.</w:t>
      </w:r>
    </w:p>
    <w:p>
      <w:pPr>
        <w:pStyle w:val="Heading2"/>
        <w:spacing w:after="120" w:before="240"/>
      </w:pPr>
      <w:r>
        <w:t xml:space="preserve">13.4. Обратная связь</w:t>
      </w:r>
    </w:p>
    <w:p>
      <w:pPr>
        <w:spacing w:after="120" w:line="276"/>
        <w:jc w:val="both"/>
      </w:pPr>
      <w:r>
        <w:t xml:space="preserve">Журналы фиксируют, что система сделала, но не то, было ли это правильно. Разметка добывается двумя путями.</w:t>
      </w:r>
    </w:p>
    <w:p>
      <w:pPr>
        <w:pStyle w:val="Heading3"/>
        <w:spacing w:after="100" w:before="200"/>
      </w:pPr>
      <w:r>
        <w:t xml:space="preserve">Явная — точечная, а не общая</w:t>
      </w:r>
    </w:p>
    <w:p>
      <w:pPr>
        <w:spacing w:after="120" w:line="276"/>
        <w:jc w:val="both"/>
      </w:pPr>
      <w:r>
        <w:t xml:space="preserve">Общая оценка ответа («палец вверх / вниз») собирается плохо и малоинформативна: непонятно, к чему относится недовольство. Работает другое решение — </w:t>
      </w:r>
      <w:r>
        <w:rPr>
          <w:b/>
          <w:bCs/>
        </w:rPr>
        <w:t xml:space="preserve">пометка «не по делу» рядом с каждым использованным источником.</w:t>
      </w:r>
      <w:r>
        <w:t xml:space="preserve"> Один клик, однозначная привязка, а на выходе — разметка релевантности на уровне чанка, то есть именно тот материал, из которого растёт эталонный датасет.</w:t>
      </w:r>
    </w:p>
    <w:p>
      <w:pPr>
        <w:pStyle w:val="Heading3"/>
        <w:spacing w:after="100" w:before="200"/>
      </w:pPr>
      <w:r>
        <w:t xml:space="preserve">Неявная — собирается автоматически и ценнее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Сигнал</w:t>
            </w:r>
          </w:p>
        </w:tc>
        <w:tc>
          <w:tcPr>
            <w:tcW w:type="dxa" w:w="3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Что означает</w:t>
            </w:r>
          </w:p>
        </w:tc>
        <w:tc>
          <w:tcPr>
            <w:tcW w:type="dxa" w:w="342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Как получить</w:t>
            </w:r>
          </w:p>
        </w:tc>
      </w:tr>
      <w:tr>
        <w:tc>
          <w:tcPr>
            <w:tcW w:type="dxa" w:w="22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Итоговый текст документа</w:t>
            </w:r>
          </w:p>
        </w:tc>
        <w:tc>
          <w:tcPr>
            <w:tcW w:type="dxa" w:w="34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Главная продуктовая метрика: доля сгенерированного текста, оставшаяся без правок</w:t>
            </w:r>
          </w:p>
        </w:tc>
        <w:tc>
          <w:tcPr>
            <w:tcW w:type="dxa" w:w="3426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Кнопка «загрузить готовый документ» + связывание файла с исходной трассой. </w:t>
            </w:r>
            <w:r>
              <w:rPr>
                <w:b/>
                <w:bCs/>
                <w:color w:val="000000"/>
                <w:sz w:val="19"/>
                <w:szCs w:val="19"/>
              </w:rPr>
              <w:t xml:space="preserve">Это работа по интерфейсу, а не побочный эффект трассировки</w:t>
            </w: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 — включена в план отдельной задачей</w:t>
            </w:r>
          </w:p>
        </w:tc>
      </w:tr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Копирование фрагмента</w:t>
            </w:r>
          </w:p>
        </w:tc>
        <w:tc>
          <w:tcPr>
            <w:tcW w:type="dxa" w:w="3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Сильный признак полезности</w:t>
            </w:r>
          </w:p>
        </w:tc>
        <w:tc>
          <w:tcPr>
            <w:tcW w:type="dxa" w:w="34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Событие copy штатными средствами Streamlit не снимается — </w:t>
            </w:r>
            <w:r>
              <w:rPr>
                <w:b/>
                <w:bCs/>
                <w:color w:val="000000"/>
                <w:sz w:val="19"/>
                <w:szCs w:val="19"/>
              </w:rPr>
              <w:t xml:space="preserve">перенесено в MVP+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Переформулировка запроса в течение минуты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Почти верный признак неудачи</w:t>
            </w:r>
          </w:p>
        </w:tc>
        <w:tc>
          <w:tcPr>
            <w:tcW w:type="dxa" w:w="34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Последовательность запросов в сессии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Отсутствие действий после выдачи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Ответ проигнорирован</w:t>
            </w:r>
          </w:p>
        </w:tc>
        <w:tc>
          <w:tcPr>
            <w:tcW w:type="dxa" w:w="34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Отсутствие событий до конца сессии</w:t>
            </w:r>
          </w:p>
        </w:tc>
      </w:tr>
    </w:tbl>
    <w:p>
      <w:pPr>
        <w:spacing w:after="120"/>
      </w:pPr>
    </w:p>
    <w:p>
      <w:pPr>
        <w:pBdr>
          <w:top w:val="single" w:color="FBE4D5" w:sz="2"/>
          <w:bottom w:val="single" w:color="FBE4D5" w:sz="2"/>
          <w:left w:val="single" w:color="1F4E79" w:sz="18" w:space="8"/>
          <w:right w:val="single" w:color="FBE4D5" w:sz="2"/>
        </w:pBdr>
        <w:shd w:fill="FBE4D5" w:val="clear"/>
        <w:spacing w:after="160" w:before="120" w:line="276"/>
        <w:ind w:left="120" w:right="120"/>
      </w:pPr>
      <w:r>
        <w:rPr>
          <w:b/>
          <w:bCs/>
        </w:rPr>
        <w:t xml:space="preserve">Сбор обратной связи проектируется одновременно с интерфейсом, а не дописывается позже.</w:t>
      </w:r>
      <w:r>
        <w:t xml:space="preserve"> Журналирование можно добавить в любой момент. Заставить восемнадцать сотрудников задним числом разметить пятьсот прошедших запросов — нельзя.</w:t>
      </w:r>
    </w:p>
    <w:p>
      <w:pPr>
        <w:pStyle w:val="Heading3"/>
        <w:spacing w:after="100" w:before="200"/>
      </w:pPr>
      <w:r>
        <w:t xml:space="preserve">Аналитика запросов для сопровождения шаблонов</w:t>
      </w:r>
    </w:p>
    <w:p>
      <w:pPr>
        <w:spacing w:after="120" w:line="276"/>
        <w:jc w:val="both"/>
      </w:pPr>
      <w:r>
        <w:t xml:space="preserve">Отдельная функция, нужная не пользователям, а команде разработки: </w:t>
      </w:r>
      <w:r>
        <w:rPr>
          <w:b/>
          <w:bCs/>
        </w:rPr>
        <w:t xml:space="preserve">сводка наиболее частых запросов и их формулировок.</w:t>
      </w:r>
      <w:r>
        <w:t xml:space="preserve"> Библиотека шаблонов планов поиска и шаблонов разделов должна развиваться под то, что люди действительно спрашивают, а не под то, что предполагалось при проектировании.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Что смотреть</w:t>
            </w:r>
          </w:p>
        </w:tc>
        <w:tc>
          <w:tcPr>
            <w:tcW w:type="dxa" w:w="562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Какое решение принимается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Частые формулировки, сгруппированные по типу задачи</w:t>
            </w:r>
          </w:p>
        </w:tc>
        <w:tc>
          <w:tcPr>
            <w:tcW w:type="dxa" w:w="5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Какие шаблоны планов поиска нужны в первую очередь, какие не используются вовсе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Запросы, классифицированные с низкой уверенностью</w:t>
            </w:r>
          </w:p>
        </w:tc>
        <w:tc>
          <w:tcPr>
            <w:tcW w:type="dxa" w:w="5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Каких типов задач не хватает в закрытом списке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Запросы, приведшие к ответу «не найдено»</w:t>
            </w:r>
          </w:p>
        </w:tc>
        <w:tc>
          <w:tcPr>
            <w:tcW w:type="dxa" w:w="5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Пробелы в корпусе либо неудачные грани подхода в шаблоне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Запросы с наибольшей правкой сгенерированного текста</w:t>
            </w:r>
          </w:p>
        </w:tc>
        <w:tc>
          <w:tcPr>
            <w:tcW w:type="dxa" w:w="5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Какие шаблоны разделов требуют переработки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t xml:space="preserve">Всё перечисленное строится поверх трасс средствами Langfuse: группировка, фильтры и сохранённые представления входят в его интерфейс. Разрабатывать отдельный отчёт не требуется — достаточно записывать тип задачи и уверенность классификации как атрибуты трассы.</w:t>
      </w:r>
    </w:p>
    <w:p>
      <w:pPr>
        <w:pStyle w:val="Heading2"/>
        <w:spacing w:after="120" w:before="240"/>
      </w:pPr>
      <w:r>
        <w:t xml:space="preserve">13.5. Диагностика: где именно сломалось</w:t>
      </w:r>
    </w:p>
    <w:p>
      <w:pPr>
        <w:spacing w:after="120" w:line="276"/>
        <w:jc w:val="both"/>
      </w:pPr>
      <w:r>
        <w:t xml:space="preserve">Главная практическая ценность подробной трассы — вместо заключения «система плохо ответила» получается точный адрес неисправности.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826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Что видно в трассе</w:t>
            </w:r>
          </w:p>
        </w:tc>
        <w:tc>
          <w:tcPr>
            <w:tcW w:type="dxa" w:w="2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Виноват</w:t>
            </w:r>
          </w:p>
        </w:tc>
        <w:tc>
          <w:tcPr>
            <w:tcW w:type="dxa" w:w="382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Что исправлять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Нужного чанка нет в индексе вообще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Парсинг или чанкинг</w:t>
            </w:r>
          </w:p>
        </w:tc>
        <w:tc>
          <w:tcPr>
            <w:tcW w:type="dxa" w:w="38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Слой подготовки данных, </w:t>
            </w:r>
            <w:r>
              <w:rPr>
                <w:b/>
                <w:bCs/>
                <w:color w:val="000000"/>
                <w:sz w:val="19"/>
                <w:szCs w:val="19"/>
              </w:rPr>
              <w:t xml:space="preserve">часть 1</w:t>
            </w: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; параметры чанкинга, раздел 6.1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Чанк есть в индексе, но не попал в 50 кандидатов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Эмбеддинги или формулировка запроса</w:t>
            </w:r>
          </w:p>
        </w:tc>
        <w:tc>
          <w:tcPr>
            <w:tcW w:type="dxa" w:w="38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Промпт гипотезы, состав граней, раздел 8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Был среди 50, но не вошёл в финальные 5–8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Реранкер или отбор разнообразия</w:t>
            </w:r>
          </w:p>
        </w:tc>
        <w:tc>
          <w:tcPr>
            <w:tcW w:type="dxa" w:w="38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Порог отсечения, параметр λ в MMR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Был в контексте, но ответ всё равно неудовлетворителен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Генерация</w:t>
            </w:r>
          </w:p>
        </w:tc>
        <w:tc>
          <w:tcPr>
            <w:tcW w:type="dxa" w:w="38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Шаблон раздела, раздел 10.3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Найдены чанки не той грани подхода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Разбор запроса</w:t>
            </w:r>
          </w:p>
        </w:tc>
        <w:tc>
          <w:tcPr>
            <w:tcW w:type="dxa" w:w="38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Классификация типа задачи, шаблон плана поиска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13.6. Регламент разбора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Трассы накапливаются на живом трафике непрерывно.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Раз в две-три недели</w:t>
      </w:r>
      <w:r>
        <w:t xml:space="preserve"> формируется выборка подозрительных случаев: низкая оценка реранкера, срабатывание порога отсечения, переформулировка запроса, значительная правка сгенерированного текста, пометка «не по делу».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Каждый случай разбирается по таблице раздела 13.5 и относится к конкретной стадии.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Разобранные случаи с разметкой дописываются в эталонный датасет.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Изменение вносится, прогоняется весь датасет, результат сравнивается с базовой линией.</w:t>
      </w:r>
    </w:p>
    <w:p>
      <w:pPr>
        <w:pBdr>
          <w:top w:val="single" w:color="FBE4D5" w:sz="2"/>
          <w:bottom w:val="single" w:color="FBE4D5" w:sz="2"/>
          <w:left w:val="single" w:color="1F4E79" w:sz="18" w:space="8"/>
          <w:right w:val="single" w:color="FBE4D5" w:sz="2"/>
        </w:pBdr>
        <w:shd w:fill="FBE4D5" w:val="clear"/>
        <w:spacing w:after="160" w:before="120" w:line="276"/>
        <w:ind w:left="120" w:right="120"/>
      </w:pPr>
      <w:r>
        <w:rPr>
          <w:b/>
          <w:bCs/>
        </w:rPr>
        <w:t xml:space="preserve">Критерий регрессии — парное сравнение, а не разница точечных оценок.</w:t>
      </w:r>
      <w:r>
        <w:t xml:space="preserve"> На 100–150 запросах разница в 3 процентных пункта лежит внутри статистического шума: гейт срабатывал бы на случайных колебаниях, и его быстро начали бы игнорировать. Правильный критерий: прогон на </w:t>
      </w:r>
      <w:r>
        <w:rPr>
          <w:b/>
          <w:bCs/>
        </w:rPr>
        <w:t xml:space="preserve">тех же самых запросах</w:t>
      </w:r>
      <w:r>
        <w:t xml:space="preserve"> до и после изменения, доверительный интервал разности строится бутстрэпом, выкладка блокируется, если верхняя граница интервала указывает на ухудшение.</w:t>
      </w:r>
    </w:p>
    <w:p>
      <w:pPr>
        <w:pBdr>
          <w:top w:val="single" w:color="E2EFDA" w:sz="2"/>
          <w:bottom w:val="single" w:color="E2EFDA" w:sz="2"/>
          <w:left w:val="single" w:color="1F4E79" w:sz="18" w:space="8"/>
          <w:right w:val="single" w:color="E2EFDA" w:sz="2"/>
        </w:pBdr>
        <w:shd w:fill="E2EFDA" w:val="clear"/>
        <w:spacing w:after="160" w:before="120" w:line="276"/>
        <w:ind w:left="120" w:right="120"/>
      </w:pPr>
      <w:r>
        <w:rPr>
          <w:b/>
          <w:bCs/>
        </w:rPr>
        <w:t xml:space="preserve">Эталонный датасет обязан расти из журналов, а не оставаться зафиксированным на старте.</w:t>
      </w:r>
      <w:r>
        <w:t xml:space="preserve"> Начальные 100–150 пар должны за первые месяцы вырасти до 300–500. Без этого через полгода настройка будет вестись по тому же набору примеров, к которому система уже подогнана, и измерения перестанут отражать реальность. Именно этот рост и является механизмом эволюции системы.</w:t>
      </w:r>
    </w:p>
    <w:p>
      <w:pPr>
        <w:pStyle w:val="Heading2"/>
        <w:spacing w:after="120" w:before="240"/>
      </w:pPr>
      <w:r>
        <w:t xml:space="preserve">13.7. Инструмент</w:t>
      </w:r>
    </w:p>
    <w:p>
      <w:pPr>
        <w:spacing w:after="120" w:line="276"/>
        <w:jc w:val="both"/>
      </w:pPr>
      <w:r>
        <w:t xml:space="preserve">Собственную систему наблюдаемости строить не требуется.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026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Вариант</w:t>
            </w:r>
          </w:p>
        </w:tc>
        <w:tc>
          <w:tcPr>
            <w:tcW w:type="dxa" w:w="3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Характеристика</w:t>
            </w:r>
          </w:p>
        </w:tc>
        <w:tc>
          <w:tcPr>
            <w:tcW w:type="dxa" w:w="302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Оценка</w:t>
            </w:r>
          </w:p>
        </w:tc>
      </w:tr>
      <w:tr>
        <w:tc>
          <w:tcPr>
            <w:tcW w:type="dxa" w:w="22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Langfuse, self-hosted</w:t>
            </w: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 (рекомендуется)</w:t>
            </w:r>
          </w:p>
        </w:tc>
        <w:tc>
          <w:tcPr>
            <w:tcW w:type="dxa" w:w="38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Открытый, разворачивается через docker-compose, полностью on-premise. Трассы со вложенными стадиями, версионирование промптов, хранение датасетов, прогоны экспериментов со сравнением версий, оценки автоматические и человеческие, интерфейс просмотра</w:t>
            </w:r>
          </w:p>
        </w:tc>
        <w:tc>
          <w:tcPr>
            <w:tcW w:type="dxa" w:w="3026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Покрывает все требования главы. Соответствует ограничению on-premise: данные не покидают контур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Arize Phoenix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Построен на OpenTelemetry, силён в отслеживании дрейфа качества со временем. Бесплатен при самостоятельном размещении</w:t>
            </w:r>
          </w:p>
        </w:tc>
        <w:tc>
          <w:tcPr>
            <w:tcW w:type="dxa" w:w="30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Достойная альтернатива; выбирать при наличии в компании инфраструктуры OpenTelemetry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Собственные таблицы в PostgreSQL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Две таблицы: traces и spans, детали в JSONB. Никаких новых сервисов</w:t>
            </w:r>
          </w:p>
        </w:tc>
        <w:tc>
          <w:tcPr>
            <w:tcW w:type="dxa" w:w="30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Минимальный вариант. Не даёт интерфейса просмотра и механизма прогонов — их придётся писать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rPr>
          <w:b/>
          <w:bCs/>
        </w:rPr>
        <w:t xml:space="preserve">Об объёме данных.</w:t>
      </w:r>
      <w:r>
        <w:t xml:space="preserve"> При потоке 1–3 документа в месяц и 18 пользователях журналы ничтожны по размеру: даже с полными текстами промптов, гипотез и сгенерированных ответов это единицы мегабайт в месяц. Ограничивать глубину журналирования из соображений объёма нет причин — записывать следует всё.</w:t>
      </w:r>
    </w:p>
    <w:p>
      <w:pPr>
        <w:pBdr>
          <w:top w:val="single" w:color="FBE4D5" w:sz="2"/>
          <w:bottom w:val="single" w:color="FBE4D5" w:sz="2"/>
          <w:left w:val="single" w:color="1F4E79" w:sz="18" w:space="8"/>
          <w:right w:val="single" w:color="FBE4D5" w:sz="2"/>
        </w:pBdr>
        <w:shd w:fill="FBE4D5" w:val="clear"/>
        <w:spacing w:after="160" w:before="120" w:line="276"/>
        <w:ind w:left="120" w:right="120"/>
      </w:pPr>
      <w:r>
        <w:rPr>
          <w:b/>
          <w:bCs/>
        </w:rPr>
        <w:t xml:space="preserve">Langfuse разворачивается на этапе 3 дорожной карты, до начала измерений, а не после.</w:t>
      </w:r>
      <w:r>
        <w:t xml:space="preserve"> Настройка трассировки задним числом означает потерю данных ровно того периода, когда система меняется чаще всего.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14. Жизненный цикл системы</w:t>
      </w:r>
    </w:p>
    <w:p>
      <w:pPr>
        <w:spacing w:after="120" w:line="276"/>
        <w:jc w:val="both"/>
      </w:pPr>
      <w:r>
        <w:t xml:space="preserve">В версии 1.0 раздел отсутствовал. Двадцать пять документов — не статичный набор, и вопросы сопровождения нужно решить до запуска, а не после.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Вопрос</w:t>
            </w:r>
          </w:p>
        </w:tc>
        <w:tc>
          <w:tcPr>
            <w:tcW w:type="dxa" w:w="662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Решение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Кто добавляет документы</w:t>
            </w:r>
          </w:p>
        </w:tc>
        <w:tc>
          <w:tcPr>
            <w:tcW w:type="dxa" w:w="6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Владельцы проекта (авторы концепции) на этапе PoC. При переходе в эксплуатацию — назначенный ответственный. Реестр без владельца теряет актуальность за один квартал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Как добавляется документ</w:t>
            </w:r>
          </w:p>
        </w:tc>
        <w:tc>
          <w:tcPr>
            <w:tcW w:type="dxa" w:w="6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Помещение файла в отслеживаемую папку → автоматическая обработка → запись в БД подтверждений → уведомление о страницах, требующих ручной проверки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Что при обновлении документа</w:t>
            </w:r>
          </w:p>
        </w:tc>
        <w:tc>
          <w:tcPr>
            <w:tcW w:type="dxa" w:w="6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Переиндексация только изменённых разделов по хэшу содержимого. Полная переиндексация файла — только при изменении структуры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Версионирование индекса</w:t>
            </w:r>
          </w:p>
        </w:tc>
        <w:tc>
          <w:tcPr>
            <w:tcW w:type="dxa" w:w="6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Каждая индексация помечается версией: версия парсера, модели эмбеддингов, параметров чанкинга. Позволяет воспроизвести результат и понять причину изменения качества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Откат</w:t>
            </w:r>
          </w:p>
        </w:tc>
        <w:tc>
          <w:tcPr>
            <w:tcW w:type="dxa" w:w="6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Предыдущая версия индекса сохраняется до подтверждения качества новой. Смена модели эмбеддингов не должна быть необратимой операцией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Регрессионное тестирование</w:t>
            </w:r>
          </w:p>
        </w:tc>
        <w:tc>
          <w:tcPr>
            <w:tcW w:type="dxa" w:w="6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Прогон эталонного датасета при каждом изменении конвейера. Ухудшение Recall@8 более чем на 3 п.п. блокирует выкладку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Сопровождение БД подтверждений</w:t>
            </w:r>
          </w:p>
        </w:tc>
        <w:tc>
          <w:tcPr>
            <w:tcW w:type="dxa" w:w="6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Владельцы проекта. Обязательная ежеквартальная сверка: новые проекты внесены, уровни публичности актуальны, результаты тендеров проставлены</w:t>
            </w:r>
          </w:p>
        </w:tc>
      </w:tr>
      <w:tr>
        <w:tc>
          <w:tcPr>
            <w:tcW w:type="dxa" w:w="2400"/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Резервное копирование</w:t>
            </w:r>
          </w:p>
        </w:tc>
        <w:tc>
          <w:tcPr>
            <w:tcW w:type="dxa" w:w="6626"/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PostgreSQL является единственным хранилищем: индексы, метаданные и реестр подтверждений находятся в одной базе.</w:t>
            </w: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 Ежесуточный `pg_dump` с хранением 30 копий и ежеквартальная проверка восстановления. Веса моделей и шаблоны восстанавливаются из git и Ollama, журналы Langfuse некритичны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Идентификация пользователя</w:t>
            </w:r>
          </w:p>
        </w:tc>
        <w:tc>
          <w:tcPr>
            <w:tcW w:type="dxa" w:w="6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На PoC — выбор имени из списка при входе, без пароля. Достаточно для привязки трасс и обратной связи к человеку. Полноценная аутентификация — MVP+</w:t>
            </w:r>
          </w:p>
        </w:tc>
      </w:tr>
      <w:tr>
        <w:tc>
          <w:tcPr>
            <w:tcW w:type="dxa" w:w="2400"/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Конфиденциальность трасс</w:t>
            </w:r>
          </w:p>
        </w:tc>
        <w:tc>
          <w:tcPr>
            <w:tcW w:type="dxa" w:w="6626"/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Трассы содержат тексты документов, включая проекты с ограниченной публичностью.</w:t>
            </w: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 Доступ к интерфейсу Langfuse ограничивается проектной командой на уровне сети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Удаление документа</w:t>
            </w:r>
          </w:p>
        </w:tc>
        <w:tc>
          <w:tcPr>
            <w:tcW w:type="dxa" w:w="6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Каскадное удаление чанков и разделов по внешнему ключу; кэш обогащения инвалидируется по хэшу текста</w:t>
            </w:r>
          </w:p>
        </w:tc>
      </w:tr>
    </w:tbl>
    <w:p>
      <w:pPr>
        <w:spacing w:after="120"/>
      </w:pPr>
    </w:p>
    <w:p>
      <w:pPr>
        <w:pStyle w:val="Heading1"/>
        <w:spacing w:after="160" w:before="320"/>
      </w:pPr>
      <w:r>
        <w:t xml:space="preserve">15. Дорожная карта PoC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400"/>
        <w:gridCol w:w="1200"/>
        <w:gridCol w:w="2726"/>
      </w:tblGrid>
      <w:tr>
        <w:trPr>
          <w:tblHeader/>
        </w:trPr>
        <w:tc>
          <w:tcPr>
            <w:tcW w:type="dxa" w:w="1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Этап</w:t>
            </w:r>
          </w:p>
        </w:tc>
        <w:tc>
          <w:tcPr>
            <w:tcW w:type="dxa" w:w="3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Содержание</w:t>
            </w:r>
          </w:p>
        </w:tc>
        <w:tc>
          <w:tcPr>
            <w:tcW w:type="dxa" w:w="1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Срок</w:t>
            </w:r>
          </w:p>
        </w:tc>
        <w:tc>
          <w:tcPr>
            <w:tcW w:type="dxa" w:w="272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Критерий завершения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0. Подготовка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Сбор формулировок запросов от РП (2–3 часа) + </w:t>
            </w:r>
            <w:r>
              <w:rPr>
                <w:b/>
                <w:bCs/>
                <w:color w:val="000000"/>
                <w:sz w:val="19"/>
                <w:szCs w:val="19"/>
              </w:rPr>
              <w:t xml:space="preserve">якорная разметка датасета (3–5 дней выделенного человека)</w:t>
            </w: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. Введение поля «результат тендера» и уровня публичности, ретроспективное заполнение по 25 проектам. Сопоставление файлов с проектами реестра. </w:t>
            </w:r>
            <w:r>
              <w:rPr>
                <w:b/>
                <w:bCs/>
                <w:color w:val="000000"/>
                <w:sz w:val="19"/>
                <w:szCs w:val="19"/>
              </w:rPr>
              <w:t xml:space="preserve">Проба GigaChat-20B-A3B (полдня). Решение по закупке GPU: владелец и срок. Утверждение JSON-схемы контракта с частью 1.</w:t>
            </w: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 Прогон скрипта разведки внешнего сервиса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2–3 недели</w:t>
            </w:r>
          </w:p>
        </w:tc>
        <w:tc>
          <w:tcPr>
            <w:tcW w:type="dxa" w:w="27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Датасет размечен, ≥90% якорей разрешаются в чанки; проба модели пройдена; заказ на GPU размещён; схема контракта утверждена; диалект реранкера зафиксирован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0.5. Каркас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Модуль изоляции внешних вызовов, механизм миграций БД, config.yaml с валидацией при старте, структура проекта с границами модулей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 неделя</w:t>
            </w:r>
          </w:p>
        </w:tc>
        <w:tc>
          <w:tcPr>
            <w:tcW w:type="dxa" w:w="27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Мок внешнего сервиса работает, автотесты каркаса зелёные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0.5. Проверка эндпоинта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Подключение по токену, проверка формата ответов, наличия разреженных векторов, поведения реранкера, замер производительности под нагрузкой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2–3 дня</w:t>
            </w:r>
          </w:p>
        </w:tc>
        <w:tc>
          <w:tcPr>
            <w:tcW w:type="dxa" w:w="27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Пробный запрос проходит, формат зафиксирован, модуль изоляции написан</w:t>
            </w:r>
          </w:p>
        </w:tc>
      </w:tr>
      <w:tr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1. Подготовка данных</w:t>
            </w:r>
          </w:p>
        </w:tc>
        <w:tc>
          <w:tcPr>
            <w:tcW w:type="dxa" w:w="3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*Парсинг, OCR, таблицы, разметка публичности — план работ в части 1, раздел 12. Блокирующий этап для всего проекта*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*4–6 недель*</w:t>
            </w:r>
          </w:p>
        </w:tc>
        <w:tc>
          <w:tcPr>
            <w:tcW w:type="dxa" w:w="27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*Полнота индексации ≥ 95%, очередь ручной проверки разобрана*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2. Конвейер индексации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Чанкинг, обогащение с кэшем, метаданные, векторизация, дедупликация, полнотекстовый индекс. Выборочная проверка обогащения на 50 чанках до полного прогона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2–3 недели</w:t>
            </w:r>
          </w:p>
        </w:tc>
        <w:tc>
          <w:tcPr>
            <w:tcW w:type="dxa" w:w="27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Двойной прогон идемпотентен; ≥98% чанков в заданных границах размера; полнота индексации ≥95%; ни одного чанка без проекта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3. Базовый поиск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Развёртывание Langfuse и трассировки конвейера — до начала измерений.</w:t>
            </w: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 Гибридный поиск, RRF, реранкинг, MMR, порог отсечения. Замер Recall@50 и Recall@8 </w:t>
            </w:r>
            <w:r>
              <w:rPr>
                <w:b/>
                <w:bCs/>
                <w:color w:val="000000"/>
                <w:sz w:val="19"/>
                <w:szCs w:val="19"/>
              </w:rPr>
              <w:t xml:space="preserve">без слоя разбора</w:t>
            </w: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 — это базовая линия для всего последующего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1–2 недели</w:t>
            </w:r>
          </w:p>
        </w:tc>
        <w:tc>
          <w:tcPr>
            <w:tcW w:type="dxa" w:w="27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Медианный Recall@8 ≥ 0,85</w:t>
            </w: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 по датасету; замерены p50 и p95 латентности по стадиям; Langfuse пишет полные трассы</w:t>
            </w:r>
          </w:p>
        </w:tc>
      </w:tr>
      <w:tr>
        <w:tc>
          <w:tcPr>
            <w:tcW w:type="dxa" w:w="1700"/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3.5. Слой разбора запроса</w:t>
            </w:r>
          </w:p>
        </w:tc>
        <w:tc>
          <w:tcPr>
            <w:tcW w:type="dxa" w:w="3400"/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Библиотека шаблонов планов, декомпозиция по граням, HyDE с двумя ключами. Замер прироста относительно базовой линии этапа 3</w:t>
            </w:r>
          </w:p>
        </w:tc>
        <w:tc>
          <w:tcPr>
            <w:tcW w:type="dxa" w:w="1200"/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1–2 недели</w:t>
            </w:r>
          </w:p>
        </w:tc>
        <w:tc>
          <w:tcPr>
            <w:tcW w:type="dxa" w:w="2726"/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Прирост Recall@K_ctx при равном бюджете токенов статистически значим по парному критерию. При отсутствии прироста слой отключается флагом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4. Генерация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Секционная ветвь поиска и отбор образцов, шаблоны разделов, маркеры и два списка, фильтр публичности. </w:t>
            </w:r>
            <w:r>
              <w:rPr>
                <w:b/>
                <w:bCs/>
                <w:color w:val="000000"/>
                <w:sz w:val="19"/>
                <w:szCs w:val="19"/>
              </w:rPr>
              <w:t xml:space="preserve">Интерфейс: пометка «не по делу», загрузка итогового документа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2–3 недели</w:t>
            </w:r>
          </w:p>
        </w:tc>
        <w:tc>
          <w:tcPr>
            <w:tcW w:type="dxa" w:w="27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Автотесты зелёные: валидатор маркеров, фильтр публичности, инвариант HyDE, пары план↔раздел. Прогон датасета выполняется одной CLI-командой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5. Оценка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Человеческая оценка 100–150 ответов двумя РП по чек-листу, пересечение 30 ответов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 неделя</w:t>
            </w:r>
          </w:p>
        </w:tc>
        <w:tc>
          <w:tcPr>
            <w:tcW w:type="dxa" w:w="27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Согласованность оценщиков ≥ 0,7; базовые значения всех метрик зафиксированы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6. Опытная эксплуатация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Доступ для 12 РП и 6 директоров. Сбор обратной связи через пометки «не по делу» и загрузку итоговых документов. Первый разбор трасс по регламенту 13.6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 недели</w:t>
            </w:r>
          </w:p>
        </w:tc>
        <w:tc>
          <w:tcPr>
            <w:tcW w:type="dxa" w:w="27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Измерена доля текста, оставленная без правок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7. Эксперимент с графом</w:t>
            </w: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 (после PoC)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LightRAG на том же корпусе, собственная онтология под КП, разрешение сущностей через справочник заказчиков реестра. Замер на том же эталонном датасете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2–3 дня</w:t>
            </w:r>
          </w:p>
        </w:tc>
        <w:tc>
          <w:tcPr>
            <w:tcW w:type="dxa" w:w="27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Таблица сравнения с базовым конвейером. Структурные метрики графа дают ранний сигнал: при доле изолированных узлов выше 40% эксперимент закрывается</w:t>
            </w:r>
          </w:p>
        </w:tc>
      </w:tr>
    </w:tbl>
    <w:p>
      <w:pPr>
        <w:spacing w:after="120"/>
      </w:pPr>
    </w:p>
    <w:p>
      <w:pPr>
        <w:pBdr>
          <w:top w:val="single" w:color="FBE4D5" w:sz="2"/>
          <w:bottom w:val="single" w:color="FBE4D5" w:sz="2"/>
          <w:left w:val="single" w:color="1F4E79" w:sz="18" w:space="8"/>
          <w:right w:val="single" w:color="FBE4D5" w:sz="2"/>
        </w:pBdr>
        <w:shd w:fill="FBE4D5" w:val="clear"/>
        <w:spacing w:after="160" w:before="120" w:line="276"/>
        <w:ind w:left="120" w:right="120"/>
      </w:pPr>
      <w:r>
        <w:rPr>
          <w:b/>
          <w:bCs/>
        </w:rPr>
        <w:t xml:space="preserve">Этап 1 — контрольная точка проекта.</w:t>
      </w:r>
      <w:r>
        <w:t xml:space="preserve"> Результат проверки парсинга на трёх самых сложных документах может существенно изменить оценку сроков. Если значительная часть корпуса окажется фотографиями низкого качества, слой предобработки станет основной статьёй трудозатрат, и узнать об этом следует на второй неделе, а не на третьем месяце.</w:t>
      </w:r>
    </w:p>
    <w:p>
      <w:pPr>
        <w:pBdr>
          <w:top w:val="single" w:color="DCE6F1" w:sz="2"/>
          <w:bottom w:val="single" w:color="DCE6F1" w:sz="2"/>
          <w:left w:val="single" w:color="1F4E79" w:sz="18" w:space="8"/>
          <w:right w:val="single" w:color="DCE6F1" w:sz="2"/>
        </w:pBdr>
        <w:shd w:fill="DCE6F1" w:val="clear"/>
        <w:spacing w:after="160" w:before="120" w:line="276"/>
        <w:ind w:left="120" w:right="120"/>
      </w:pPr>
      <w:r>
        <w:rPr>
          <w:b/>
          <w:bCs/>
        </w:rPr>
        <w:t xml:space="preserve">О календаре.</w:t>
      </w:r>
      <w:r>
        <w:t xml:space="preserve"> Суммарная длительность этапов 0–6 при последовательном исполнении составляет </w:t>
      </w:r>
      <w:r>
        <w:rPr>
          <w:b/>
          <w:bCs/>
        </w:rPr>
        <w:t xml:space="preserve">5–6 месяцев</w:t>
      </w:r>
      <w:r>
        <w:t xml:space="preserve">, а не четыре: добавились якорная разметка датасета, этап каркаса, работы по интерфейсу и увеличенный этап генерации. Оценки даны в календарных неделях при одном разработчике на основной линии и предполагают, что этап 1 не выявит массовых проблем с распознаванием.</w:t>
      </w:r>
    </w:p>
    <w:p>
      <w:pPr>
        <w:pStyle w:val="Heading1"/>
        <w:spacing w:after="160" w:before="320"/>
      </w:pPr>
      <w:r>
        <w:t xml:space="preserve">16. Риски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900"/>
        <w:gridCol w:w="3726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Риск</w:t>
            </w:r>
          </w:p>
        </w:tc>
        <w:tc>
          <w:tcPr>
            <w:tcW w:type="dxa" w:w="1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Вероятность</w:t>
            </w:r>
          </w:p>
        </w:tc>
        <w:tc>
          <w:tcPr>
            <w:tcW w:type="dxa" w:w="1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Последствие</w:t>
            </w:r>
          </w:p>
        </w:tc>
        <w:tc>
          <w:tcPr>
            <w:tcW w:type="dxa" w:w="372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Меры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Эталонный датасет не собран или собран формально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Средняя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Невозможно измерить качество и обосновать эффект</w:t>
            </w:r>
          </w:p>
        </w:tc>
        <w:tc>
          <w:tcPr>
            <w:tcW w:type="dxa" w:w="37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Датасет — условие начала этапа 2. Запросы собираются от реальных пользователей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Система генерирует правдоподобный, но неверный текст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Средняя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Ошибка попадает в тендерную заявку</w:t>
            </w:r>
          </w:p>
        </w:tc>
        <w:tc>
          <w:tcPr>
            <w:tcW w:type="dxa" w:w="37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Обязательное цитирование, контроль достоверности, явная пометка утверждений без источника, обязательная вычитка человеком</w:t>
            </w:r>
          </w:p>
        </w:tc>
      </w:tr>
      <w:tr>
        <w:tc>
          <w:tcPr>
            <w:tcW w:type="dxa" w:w="2200"/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Упоминание закрытого заказчика в исходящем документе</w:t>
            </w:r>
          </w:p>
        </w:tc>
        <w:tc>
          <w:tcPr>
            <w:tcW w:type="dxa" w:w="1200"/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Низкая</w:t>
            </w:r>
          </w:p>
        </w:tc>
        <w:tc>
          <w:tcPr>
            <w:tcW w:type="dxa" w:w="1900"/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Юридические последствия</w:t>
            </w:r>
          </w:p>
        </w:tc>
        <w:tc>
          <w:tcPr>
            <w:tcW w:type="dxa" w:w="3726"/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Три рубежа контроля — </w:t>
            </w:r>
            <w:r>
              <w:rPr>
                <w:b/>
                <w:bCs/>
                <w:color w:val="000000"/>
                <w:sz w:val="19"/>
                <w:szCs w:val="19"/>
              </w:rPr>
              <w:t xml:space="preserve">часть 1, раздел 8.3</w:t>
            </w: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. Здесь реализуется первый рубеж: фильтрация контекста до передачи в модель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Инструмент не приживётся у пользователей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Средняя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Проект не даёт эффекта при работающей технологии</w:t>
            </w:r>
          </w:p>
        </w:tc>
        <w:tc>
          <w:tcPr>
            <w:tcW w:type="dxa" w:w="37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Раннее подключение РП, продуктовые метрики с первой недели, доработка по обратной связи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Корпус в 25 документов недостаточен для качественной генерации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Средняя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Ответы поверхностны из-за нехватки материала</w:t>
            </w:r>
          </w:p>
        </w:tc>
        <w:tc>
          <w:tcPr>
            <w:tcW w:type="dxa" w:w="37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Оценить на этапе 3. При подтверждении — расширять корпус (внутренние методички, презентации, отчёты)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Владелец БД подтверждений не найден после PoC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Средняя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Реестр устаревает, качество деградирует незаметно</w:t>
            </w:r>
          </w:p>
        </w:tc>
        <w:tc>
          <w:tcPr>
            <w:tcW w:type="dxa" w:w="37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Назначить ответственного до перехода в эксплуатацию. Ежеквартальная сверка в регламенте</w:t>
            </w:r>
          </w:p>
        </w:tc>
      </w:tr>
      <w:tr>
        <w:tc>
          <w:tcPr>
            <w:tcW w:type="dxa" w:w="2200"/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Недоступность внешнего сервиса эмбеддингов</w:t>
            </w:r>
          </w:p>
        </w:tc>
        <w:tc>
          <w:tcPr>
            <w:tcW w:type="dxa" w:w="1200"/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Высокая</w:t>
            </w:r>
          </w:p>
        </w:tc>
        <w:tc>
          <w:tcPr>
            <w:tcW w:type="dxa" w:w="1900"/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Поиск не работает полностью: запрос невозможно векторизовать</w:t>
            </w:r>
          </w:p>
        </w:tc>
        <w:tc>
          <w:tcPr>
            <w:tcW w:type="dxa" w:w="3726"/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Модуль изоляции зависимости, кэш векторов запросов, повторы с задержкой, внятное сообщение пользователю. При повторяющихся сбоях — перенос моделей на своё оборудование (+3,5 ГБ VRAM)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Смена версии модели на стороне сервиса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Средняя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Индекс становится несовместим, поиск деградирует без явных признаков</w:t>
            </w:r>
          </w:p>
        </w:tc>
        <w:tc>
          <w:tcPr>
            <w:tcW w:type="dxa" w:w="37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Запросить уведомление о смене версии. Переиндексация занимает полторы минуты. Регулярный прогон эталонного датасета выявит деградацию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Уход владельца персонального токена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Средняя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Система теряет доступ к сервису</w:t>
            </w:r>
          </w:p>
        </w:tc>
        <w:tc>
          <w:tcPr>
            <w:tcW w:type="dxa" w:w="37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Запросить сервисный токен, привязанный к приложению, а не к сотруднику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Рост латентности из-за соседних сервисов на общей карте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Средняя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Непредсказуемое время отклика</w:t>
            </w:r>
          </w:p>
        </w:tc>
        <w:tc>
          <w:tcPr>
            <w:tcW w:type="dxa" w:w="37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Замер p50 и p95 под реальной нагрузкой на этапе 3. </w:t>
            </w:r>
            <w:r>
              <w:rPr>
                <w:b/>
                <w:bCs/>
                <w:color w:val="000000"/>
                <w:sz w:val="19"/>
                <w:szCs w:val="19"/>
              </w:rPr>
              <w:t xml:space="preserve">Запаса по времени нет: бюджет 1 минута, расчётное время 17–60 с.</w:t>
            </w: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 Компенсаторы перечислены в разделе 11.4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Разреженные векторы недоступны через эндпоинт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Высокая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Лексический поиск требует отдельной реализации</w:t>
            </w:r>
          </w:p>
        </w:tc>
        <w:tc>
          <w:tcPr>
            <w:tcW w:type="dxa" w:w="37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Уже учтено: полнотекстовый поиск PostgreSQL с русской морфологией. Дополнительная инфраструктура не нужна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Гипотеза HyDE уводит поиск в сторону из-за словарного смещения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Средняя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Выдача хуже, чем без HyDE</w:t>
            </w:r>
          </w:p>
        </w:tc>
        <w:tc>
          <w:tcPr>
            <w:tcW w:type="dxa" w:w="37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Схема с двумя ключами: исходный запрос участвует в поиске всегда. Гипотеза может только добавить кандидатов. Отдельная метрика доли ухудшений</w:t>
            </w:r>
          </w:p>
        </w:tc>
      </w:tr>
      <w:tr>
        <w:tc>
          <w:tcPr>
            <w:tcW w:type="dxa" w:w="2200"/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Гипотетический фрагмент попал в контекст генерации</w:t>
            </w:r>
          </w:p>
        </w:tc>
        <w:tc>
          <w:tcPr>
            <w:tcW w:type="dxa" w:w="1200"/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Средняя</w:t>
            </w:r>
          </w:p>
        </w:tc>
        <w:tc>
          <w:tcPr>
            <w:tcW w:type="dxa" w:w="1900"/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Прямой источник вымысла в тендерной заявке</w:t>
            </w:r>
          </w:p>
        </w:tc>
        <w:tc>
          <w:tcPr>
            <w:tcW w:type="dxa" w:w="3726"/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Запрет зафиксирован в разделе 8.3 как обязательное требование. Проверяется тестом: гипотеза не должна встречаться в логе промпта генерации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Слой разбора запроса не даёт прироста полноты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Средняя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Лишняя латентность и лишний класс ошибок без выгоды</w:t>
            </w:r>
          </w:p>
        </w:tc>
        <w:tc>
          <w:tcPr>
            <w:tcW w:type="dxa" w:w="37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Этап 3.5 дорожной карты предусматривает замер относительно базовой линии. При отсутствии прироста слой отключается флагом конфигурации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Неверная классификация типа задачи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Средняя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Выбран неверный план поиска, система ищет не то</w:t>
            </w:r>
          </w:p>
        </w:tc>
        <w:tc>
          <w:tcPr>
            <w:tcW w:type="dxa" w:w="37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Закрытый список типов, матрица ошибок на датасете. При неуверенной классификации — расширенный план со всеми гранями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160" w:before="320"/>
      </w:pPr>
      <w:r>
        <w:t xml:space="preserve">17. Рассмотренные и отклонённые решения</w:t>
      </w:r>
    </w:p>
    <w:p>
      <w:pPr>
        <w:spacing w:after="120" w:line="276"/>
        <w:jc w:val="both"/>
      </w:pPr>
      <w:r>
        <w:t xml:space="preserve">Глава фиксирует технические решения, которые обсуждались и были отклонены, с основаниями. Назначение — избавить от повторного обсуждения тех же вопросов и дать готовый ответ, когда они возникнут снова.</w:t>
      </w:r>
    </w:p>
    <w:p>
      <w:pPr>
        <w:pStyle w:val="Heading2"/>
        <w:spacing w:after="120" w:before="240"/>
      </w:pPr>
      <w:r>
        <w:t xml:space="preserve">17.1. Графовые методы: что берём и что откладываем</w:t>
      </w:r>
    </w:p>
    <w:p>
      <w:pPr>
        <w:pBdr>
          <w:top w:val="single" w:color="FBE4D5" w:sz="2"/>
          <w:bottom w:val="single" w:color="FBE4D5" w:sz="2"/>
          <w:left w:val="single" w:color="1F4E79" w:sz="18" w:space="8"/>
          <w:right w:val="single" w:color="FBE4D5" w:sz="2"/>
        </w:pBdr>
        <w:shd w:fill="FBE4D5" w:val="clear"/>
        <w:spacing w:after="160" w:before="120" w:line="276"/>
        <w:ind w:left="120" w:right="120"/>
      </w:pPr>
      <w:r>
        <w:rPr>
          <w:b/>
          <w:bCs/>
        </w:rPr>
        <w:t xml:space="preserve">Уточнение к версии 2.4.</w:t>
      </w:r>
      <w:r>
        <w:t xml:space="preserve"> В предыдущей редакции графовый подход был описан как отклонённый целиком. Это неточность: отклонён </w:t>
      </w:r>
      <w:r>
        <w:rPr>
          <w:b/>
          <w:bCs/>
        </w:rPr>
        <w:t xml:space="preserve">один конкретный его вариант</w:t>
      </w:r>
      <w:r>
        <w:t xml:space="preserve"> — автоматическое извлечение графа сущностей из текста (GraphRAG). Граф связей между чанками, напротив, входит в план развития и описан ниже как отдельная задача.</w:t>
      </w:r>
    </w:p>
    <w:p>
      <w:pPr>
        <w:pStyle w:val="Heading3"/>
        <w:spacing w:after="100" w:before="200"/>
      </w:pPr>
      <w:r>
        <w:t xml:space="preserve">Два разных объекта, которые называют одним словом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100"/>
        <w:gridCol w:w="4026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3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Граф сущностей (GraphRAG)</w:t>
            </w:r>
          </w:p>
        </w:tc>
        <w:tc>
          <w:tcPr>
            <w:tcW w:type="dxa" w:w="402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Граф связей между чанками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Что является узлом</w:t>
            </w:r>
          </w:p>
        </w:tc>
        <w:tc>
          <w:tcPr>
            <w:tcW w:type="dxa" w:w="3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Организация, персона, технология, методология, извлечённые языковой моделью из текста</w:t>
            </w:r>
          </w:p>
        </w:tc>
        <w:tc>
          <w:tcPr>
            <w:tcW w:type="dxa" w:w="40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Чанк — фрагмент документа, уже существующий в индексе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Что является ребром</w:t>
            </w:r>
          </w:p>
        </w:tc>
        <w:tc>
          <w:tcPr>
            <w:tcW w:type="dxa" w:w="3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Смысловое отношение: «заказчик», «применял», «руководил»</w:t>
            </w:r>
          </w:p>
        </w:tc>
        <w:tc>
          <w:tcPr>
            <w:tcW w:type="dxa" w:w="40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Близость, вложенность, соседство, идентичность содержания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Откуда берётся</w:t>
            </w:r>
          </w:p>
        </w:tc>
        <w:tc>
          <w:tcPr>
            <w:tcW w:type="dxa" w:w="3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Языковая модель извлекает триплеты из каждого чанка</w:t>
            </w:r>
          </w:p>
        </w:tc>
        <w:tc>
          <w:tcPr>
            <w:tcW w:type="dxa" w:w="40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Вычисляется из уже имеющихся эмбеддингов и метаданных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Точность построения</w:t>
            </w:r>
          </w:p>
        </w:tc>
        <w:tc>
          <w:tcPr>
            <w:tcW w:type="dxa" w:w="3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85–92%, ошибается на наименованиях и суммах</w:t>
            </w:r>
          </w:p>
        </w:tc>
        <w:tc>
          <w:tcPr>
            <w:tcW w:type="dxa" w:w="40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Детерминированно: близость векторов и структурные поля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Стоимость</w:t>
            </w:r>
          </w:p>
        </w:tc>
        <w:tc>
          <w:tcPr>
            <w:tcW w:type="dxa" w:w="3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Прогон всего корпуса через модель, повторно при каждом изменении</w:t>
            </w:r>
          </w:p>
        </w:tc>
        <w:tc>
          <w:tcPr>
            <w:tcW w:type="dxa" w:w="40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Одно матричное умножение на 20 тыс. векторов, секунды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Что даёт</w:t>
            </w:r>
          </w:p>
        </w:tc>
        <w:tc>
          <w:tcPr>
            <w:tcW w:type="dxa" w:w="3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Ответы на глобальные вопросы «какие вообще темы есть в корпусе»</w:t>
            </w:r>
          </w:p>
        </w:tc>
        <w:tc>
          <w:tcPr>
            <w:tcW w:type="dxa" w:w="40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Навигацию: от найденного фрагмента к смежным разделам</w:t>
            </w:r>
          </w:p>
        </w:tc>
      </w:tr>
      <w:tr>
        <w:tc>
          <w:tcPr>
            <w:tcW w:type="dxa" w:w="19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Решение</w:t>
            </w:r>
          </w:p>
        </w:tc>
        <w:tc>
          <w:tcPr>
            <w:tcW w:type="dxa" w:w="31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Отклонён</w:t>
            </w: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, обоснование ниже</w:t>
            </w:r>
          </w:p>
        </w:tc>
        <w:tc>
          <w:tcPr>
            <w:tcW w:type="dxa" w:w="4026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Принят в план, MVP+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t xml:space="preserve">Граф связей между чанками: зачем он нужен</w:t>
      </w:r>
    </w:p>
    <w:p>
      <w:pPr>
        <w:spacing w:after="120" w:line="276"/>
        <w:jc w:val="both"/>
      </w:pPr>
      <w:r>
        <w:t xml:space="preserve">Задача, которую он решает, вытекает из природы «подхода»: подход не изложен в одном месте, он разнесён по разделам. Поиск находит фрагмент, релевантный формулировке запроса, но </w:t>
      </w:r>
      <w:r>
        <w:rPr>
          <w:b/>
          <w:bCs/>
        </w:rPr>
        <w:t xml:space="preserve">соседние по смыслу фрагменты, необходимые для полноты картины, могут не попасть в выдачу</w:t>
      </w:r>
      <w:r>
        <w:t xml:space="preserve"> — они сформулированы иначе и по отдельности выглядят менее релевантными.</w:t>
      </w:r>
    </w:p>
    <w:p>
      <w:pPr>
        <w:spacing w:after="120" w:line="276"/>
        <w:jc w:val="both"/>
      </w:pPr>
      <w:r>
        <w:t xml:space="preserve">Граф добавляет к поиску шаг навигации: найдя чанк, система добирает связанные с ним, даже если те не попали в топ по близости к запросу. Это уточняет выход на нужные разделы, что и было исходной постановкой.</w:t>
      </w:r>
    </w:p>
    <w:p>
      <w:pPr>
        <w:pStyle w:val="Heading3"/>
        <w:spacing w:after="100" w:before="200"/>
      </w:pPr>
      <w:r>
        <w:t xml:space="preserve">Типы рёбер — большая часть уже есть в системе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700"/>
        <w:gridCol w:w="2600"/>
        <w:gridCol w:w="2026"/>
      </w:tblGrid>
      <w:tr>
        <w:trPr>
          <w:tblHeader/>
        </w:trPr>
        <w:tc>
          <w:tcPr>
            <w:tcW w:type="dxa" w:w="1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Тип ребра</w:t>
            </w:r>
          </w:p>
        </w:tc>
        <w:tc>
          <w:tcPr>
            <w:tcW w:type="dxa" w:w="2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Смысл</w:t>
            </w:r>
          </w:p>
        </w:tc>
        <w:tc>
          <w:tcPr>
            <w:tcW w:type="dxa" w:w="2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Откуда берётся</w:t>
            </w:r>
          </w:p>
        </w:tc>
        <w:tc>
          <w:tcPr>
            <w:tcW w:type="dxa" w:w="202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Статус</w:t>
            </w:r>
          </w:p>
        </w:tc>
      </w:tr>
      <w:tr>
        <w:tc>
          <w:tcPr>
            <w:tcW w:type="dxa" w:w="17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Структурное</w:t>
            </w:r>
          </w:p>
        </w:tc>
        <w:tc>
          <w:tcPr>
            <w:tcW w:type="dxa" w:w="27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Чанк → родительский раздел → документ</w:t>
            </w:r>
          </w:p>
        </w:tc>
        <w:tc>
          <w:tcPr>
            <w:tcW w:type="dxa" w:w="26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Поле parent_section_id, раздел 6.3</w:t>
            </w:r>
          </w:p>
        </w:tc>
        <w:tc>
          <w:tcPr>
            <w:tcW w:type="dxa" w:w="2026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Уже есть</w:t>
            </w:r>
          </w:p>
        </w:tc>
      </w:tr>
      <w:tr>
        <w:tc>
          <w:tcPr>
            <w:tcW w:type="dxa" w:w="17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Идентичности</w:t>
            </w:r>
          </w:p>
        </w:tc>
        <w:tc>
          <w:tcPr>
            <w:tcW w:type="dxa" w:w="27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Чанк ↔ его копии в других предложениях</w:t>
            </w:r>
          </w:p>
        </w:tc>
        <w:tc>
          <w:tcPr>
            <w:tcW w:type="dxa" w:w="26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Кластеры дедупликации, раздел 6.4</w:t>
            </w:r>
          </w:p>
        </w:tc>
        <w:tc>
          <w:tcPr>
            <w:tcW w:type="dxa" w:w="2026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Уже есть</w:t>
            </w:r>
          </w:p>
        </w:tc>
      </w:tr>
      <w:tr>
        <w:tc>
          <w:tcPr>
            <w:tcW w:type="dxa" w:w="17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Проектное</w:t>
            </w:r>
          </w:p>
        </w:tc>
        <w:tc>
          <w:tcPr>
            <w:tcW w:type="dxa" w:w="27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Чанк ↔ проект ↔ заказчик ↔ отрасль</w:t>
            </w:r>
          </w:p>
        </w:tc>
        <w:tc>
          <w:tcPr>
            <w:tcW w:type="dxa" w:w="26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Метаданные и БД подтверждений</w:t>
            </w:r>
          </w:p>
        </w:tc>
        <w:tc>
          <w:tcPr>
            <w:tcW w:type="dxa" w:w="2026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Уже есть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Соседства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Предыдущий и следующий чанк в документе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Порядок при чанкинге</w:t>
            </w:r>
          </w:p>
        </w:tc>
        <w:tc>
          <w:tcPr>
            <w:tcW w:type="dxa" w:w="20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Тривиально добавить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Семантическое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Чанк ↔ чанк при близости выше порога (ориентировочно 0,75–0,85), в том числе между разными документами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Попарное сравнение эмбеддингов</w:t>
            </w:r>
          </w:p>
        </w:tc>
        <w:tc>
          <w:tcPr>
            <w:tcW w:type="dxa" w:w="20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Требуется реализовать</w:t>
            </w:r>
          </w:p>
        </w:tc>
      </w:tr>
    </w:tbl>
    <w:p>
      <w:pPr>
        <w:spacing w:after="120"/>
      </w:pPr>
    </w:p>
    <w:p>
      <w:pPr>
        <w:pBdr>
          <w:top w:val="single" w:color="E2EFDA" w:sz="2"/>
          <w:bottom w:val="single" w:color="E2EFDA" w:sz="2"/>
          <w:left w:val="single" w:color="1F4E79" w:sz="18" w:space="8"/>
          <w:right w:val="single" w:color="E2EFDA" w:sz="2"/>
        </w:pBdr>
        <w:shd w:fill="E2EFDA" w:val="clear"/>
        <w:spacing w:after="160" w:before="120" w:line="276"/>
        <w:ind w:left="120" w:right="120"/>
      </w:pPr>
      <w:r>
        <w:rPr>
          <w:b/>
          <w:bCs/>
        </w:rPr>
        <w:t xml:space="preserve">Практический вывод: граф чанков — не новая подсистема, а надстройка над уже принятыми решениями.</w:t>
      </w:r>
      <w:r>
        <w:t xml:space="preserve"> Три типа рёбер из пяти существуют как побочный результат индексации; недостаёт семантических рёбер, которые вычисляются одним матричным умножением на 20 тыс. векторов. Это отличает задачу от построения графа сущностей, требующего прогона всего корпуса через языковую модель.</w:t>
      </w:r>
    </w:p>
    <w:p>
      <w:pPr>
        <w:pStyle w:val="Heading3"/>
        <w:spacing w:after="100" w:before="200"/>
      </w:pPr>
      <w:r>
        <w:t xml:space="preserve">Как используется при поиске</w:t>
      </w:r>
    </w:p>
    <w:p>
      <w:pPr>
        <w:spacing w:after="120" w:line="276"/>
        <w:jc w:val="both"/>
      </w:pPr>
      <w:r>
        <w:t xml:space="preserve">Шаг расширения выдачи добавляется после отбора MMR и перед сборкой контекста: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Финальные 5–8 чанков получены обычным путём (раздел 9.1).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Для каждого выполняется обход графа на глубину 1: родительский раздел, соседние чанки, семантически близкие из других документов.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Добранные чанки проходят реранкинг наравне с исходными и включаются, если преодолели порог.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Итоговый контекст ограничивается по объёму, иначе расширение размоет фокус.</w:t>
      </w:r>
    </w:p>
    <w:p>
      <w:pPr>
        <w:pBdr>
          <w:top w:val="single" w:color="DCE6F1" w:sz="2"/>
          <w:bottom w:val="single" w:color="DCE6F1" w:sz="2"/>
          <w:left w:val="single" w:color="1F4E79" w:sz="18" w:space="8"/>
          <w:right w:val="single" w:color="DCE6F1" w:sz="2"/>
        </w:pBdr>
        <w:shd w:fill="DCE6F1" w:val="clear"/>
        <w:spacing w:after="160" w:before="120" w:line="276"/>
        <w:ind w:left="120" w:right="120"/>
      </w:pPr>
      <w:r>
        <w:rPr>
          <w:b/>
          <w:bCs/>
        </w:rPr>
        <w:t xml:space="preserve">Ограничение глубины обязательно.</w:t>
      </w:r>
      <w:r>
        <w:t xml:space="preserve"> Обход на глубину 2 и более на плотном графе быстро приводит к включению половины корпуса. Глубина 1 с обязательным реранкингом добранных кандидатов — рабочая настройка по умолчанию; глубина и порог семантических рёбер являются параметрами конфигурации и подбираются замером.</w:t>
      </w:r>
    </w:p>
    <w:p>
      <w:pPr>
        <w:pStyle w:val="Heading3"/>
        <w:spacing w:after="100" w:before="200"/>
      </w:pPr>
      <w:r>
        <w:t xml:space="preserve">Почему MVP+, а не PoC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Расширение по графу имеет смысл оценивать только относительно базовой линии обычного поиска. Пока не измерен Recall@8 без него, прирост не с чем сравнивать.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Компонент добавляет параметры (глубина, порог рёбер, лимит контекста), каждый из которых требует настройки. Вводить их одновременно с HyDE и декомпозицией — значит потерять понимание, что на что повлияло.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Риск обратного эффекта реален: расширение способно размыть фокус выдачи и снизить точность. Это проверяемо, но требует уже работающего замера.</w:t>
      </w:r>
    </w:p>
    <w:p>
      <w:pPr>
        <w:pStyle w:val="Heading3"/>
        <w:spacing w:after="100" w:before="200"/>
      </w:pPr>
      <w:r>
        <w:t xml:space="preserve">LightRAG — отдельный технический эксперимент</w:t>
      </w:r>
    </w:p>
    <w:p>
      <w:pPr>
        <w:spacing w:after="120" w:line="276"/>
        <w:jc w:val="both"/>
      </w:pPr>
      <w:r>
        <w:rPr>
          <w:b/>
          <w:bCs/>
        </w:rPr>
        <w:t xml:space="preserve">LightRAG в текущую архитектуру не встраивается.</w:t>
      </w:r>
      <w:r>
        <w:t xml:space="preserve"> Он используется как самостоятельный эксперимент на том же корпусе и том же эталонном датасете, чтобы получить сравнительные цифры и понять, даёт ли полноценный графовый подход что-либо сверх описанного выше расширения по связям.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Параметр эксперимента</w:t>
            </w:r>
          </w:p>
        </w:tc>
        <w:tc>
          <w:tcPr>
            <w:tcW w:type="dxa" w:w="662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Значение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Инструмент</w:t>
            </w:r>
          </w:p>
        </w:tc>
        <w:tc>
          <w:tcPr>
            <w:tcW w:type="dxa" w:w="6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LightRAG — инкрементальный, не требует пересборки графа при добавлении документа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Онтология</w:t>
            </w:r>
          </w:p>
        </w:tc>
        <w:tc>
          <w:tcPr>
            <w:tcW w:type="dxa" w:w="6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Собственная, под коммерческие предложения: заказчик, отрасль, методология, технология, тип артефакта, результат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Разрешение сущностей</w:t>
            </w:r>
          </w:p>
        </w:tc>
        <w:tc>
          <w:tcPr>
            <w:tcW w:type="dxa" w:w="6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Через справочник заказчиков из БД подтверждений — даёт эксперименту преимущество, которого нет в опубликованных бенчмарках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Срок</w:t>
            </w:r>
          </w:p>
        </w:tc>
        <w:tc>
          <w:tcPr>
            <w:tcW w:type="dxa" w:w="6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2–3 дня, этап 7 дорожной карты, после завершения PoC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Ранний критерий остановки</w:t>
            </w:r>
          </w:p>
        </w:tc>
        <w:tc>
          <w:tcPr>
            <w:tcW w:type="dxa" w:w="6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Структурные метрики графа: при доле изолированных узлов выше 40% эксперимент закрывается без продолжения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Критерий успеха</w:t>
            </w:r>
          </w:p>
        </w:tc>
        <w:tc>
          <w:tcPr>
            <w:tcW w:type="dxa" w:w="6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Прирост Recall@8 относительно базового конвейера на общем датасете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t xml:space="preserve">Что именно отклонено: автоматическое извлечение графа сущностей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800"/>
        <w:gridCol w:w="2826"/>
      </w:tblGrid>
      <w:tr>
        <w:trPr>
          <w:tblHeader/>
        </w:trPr>
        <w:tc>
          <w:tcPr>
            <w:tcW w:type="dxa" w:w="3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Тип запроса</w:t>
            </w:r>
          </w:p>
        </w:tc>
        <w:tc>
          <w:tcPr>
            <w:tcW w:type="dxa" w:w="2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Векторный поиск</w:t>
            </w:r>
          </w:p>
        </w:tc>
        <w:tc>
          <w:tcPr>
            <w:tcW w:type="dxa" w:w="282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Граф сущностей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Многошаговые вопросы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32%</w:t>
            </w:r>
          </w:p>
        </w:tc>
        <w:tc>
          <w:tcPr>
            <w:tcW w:type="dxa" w:w="28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86%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Агрегирующие запросы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8%</w:t>
            </w:r>
          </w:p>
        </w:tc>
        <w:tc>
          <w:tcPr>
            <w:tcW w:type="dxa" w:w="28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23%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Рассуждение через несколько документов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8%</w:t>
            </w:r>
          </w:p>
        </w:tc>
        <w:tc>
          <w:tcPr>
            <w:tcW w:type="dxa" w:w="28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33%</w:t>
            </w:r>
          </w:p>
        </w:tc>
      </w:tr>
      <w:tr>
        <w:tc>
          <w:tcPr>
            <w:tcW w:type="dxa" w:w="34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Поиск конкретного документа</w:t>
            </w:r>
          </w:p>
        </w:tc>
        <w:tc>
          <w:tcPr>
            <w:tcW w:type="dxa" w:w="28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54%</w:t>
            </w:r>
          </w:p>
        </w:tc>
        <w:tc>
          <w:tcPr>
            <w:tcW w:type="dxa" w:w="2826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35%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t xml:space="preserve">Последняя строка в обзорах обычно опускается: </w:t>
      </w:r>
      <w:r>
        <w:rPr>
          <w:b/>
          <w:bCs/>
        </w:rPr>
        <w:t xml:space="preserve">на простом фактическом поиске граф сущностей работает хуже.</w:t>
      </w:r>
      <w:r>
        <w:t xml:space="preserve"> Работа «When to use Graphs in RAG» с бенчмарком GraphRAG-Bench прямо констатирует, что GraphRAG часто уступает обычному RAG на реальных задачах.</w:t>
      </w:r>
    </w:p>
    <w:p>
      <w:pPr>
        <w:pBdr>
          <w:top w:val="single" w:color="E2EFDA" w:sz="2"/>
          <w:bottom w:val="single" w:color="E2EFDA" w:sz="2"/>
          <w:left w:val="single" w:color="1F4E79" w:sz="18" w:space="8"/>
          <w:right w:val="single" w:color="E2EFDA" w:sz="2"/>
        </w:pBdr>
        <w:shd w:fill="E2EFDA" w:val="clear"/>
        <w:spacing w:after="160" w:before="120" w:line="276"/>
        <w:ind w:left="120" w:right="120"/>
      </w:pPr>
      <w:r>
        <w:rPr>
          <w:b/>
          <w:bCs/>
        </w:rPr>
        <w:t xml:space="preserve">Основание отклонения: граф сущностей в системе уже есть — это БД подтверждений.</w:t>
      </w:r>
      <w:r>
        <w:t xml:space="preserve"> Связи «проект → заказчик → отрасль → технологии → артефакты → результат тендера» представляют ровно ту структуру, которую GraphRAG извлекает из текста автоматически. Отличие в том, что наш граф заполняется человеком, и при 25 проектах это преимущество: точность ручной разметки 100% против 85–92% у автоматического извлечения, причём ошибается оно прежде всего на наименованиях организаций и суммах — там, где ошибка дороже всего.</w:t>
      </w:r>
    </w:p>
    <w:p>
      <w:pPr>
        <w:spacing w:after="120" w:line="276"/>
        <w:jc w:val="both"/>
      </w:pPr>
      <w:r>
        <w:t xml:space="preserve">Автоматическое извлечение становится оправданным при 150–200 документах, когда ручное ведение реестра перестанет быть реалистичным, либо при появлении регулярных запросов, требующих обхода связей, не покрываемых параметризованными запросами к реестру.</w:t>
      </w:r>
    </w:p>
    <w:p>
      <w:pPr>
        <w:pStyle w:val="Heading3"/>
        <w:spacing w:after="100" w:before="200"/>
      </w:pPr>
      <w:r>
        <w:t xml:space="preserve">Что из подхода взято дополнительно</w:t>
      </w:r>
    </w:p>
    <w:p>
      <w:pPr>
        <w:spacing w:after="120" w:line="276"/>
        <w:jc w:val="both"/>
      </w:pPr>
      <w:r>
        <w:t xml:space="preserve">Помимо графа связей заимствован приём </w:t>
      </w:r>
      <w:r>
        <w:rPr>
          <w:b/>
          <w:bCs/>
        </w:rPr>
        <w:t xml:space="preserve">предварительных резюме</w:t>
      </w:r>
      <w:r>
        <w:t xml:space="preserve"> (в терминах GraphRAG — суммаризация сообществ). Каждый документ и каждый крупный раздел прогоняются через языковую модель, полученные резюме индексируются отдельно. Это закрывает слабое место векторного поиска на глобальных запросах вида «какие подходы к управлению рисками применялись за пять лет». Сообщества выделять не требуется — они заданы структурой документов. Затраты: ночь работы GPU на индексацию, около дня на реализацию. Контур — MVP+.</w:t>
      </w:r>
    </w:p>
    <w:p>
      <w:pPr>
        <w:pStyle w:val="Heading2"/>
        <w:spacing w:after="120" w:before="240"/>
      </w:pPr>
      <w:r>
        <w:t xml:space="preserve">17.2. Сводка прочих отклонённых решений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400"/>
        <w:gridCol w:w="1926"/>
      </w:tblGrid>
      <w:tr>
        <w:trPr>
          <w:tblHeader/>
        </w:trPr>
        <w:tc>
          <w:tcPr>
            <w:tcW w:type="dxa" w:w="2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Решение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Основание отклонения</w:t>
            </w:r>
          </w:p>
        </w:tc>
        <w:tc>
          <w:tcPr>
            <w:tcW w:type="dxa" w:w="192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Раздел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LLM-роутер выбора источника данных</w:t>
            </w:r>
          </w:p>
        </w:tc>
        <w:tc>
          <w:tcPr>
            <w:tcW w:type="dxa" w:w="4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Задача устранима: обращение к обоим источникам стоит десятки миллисекунд. Роутер добавлял латентность, собственный класс ошибок и неизмеряемую точность классификации</w:t>
            </w:r>
          </w:p>
        </w:tc>
        <w:tc>
          <w:tcPr>
            <w:tcW w:type="dxa" w:w="19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8.1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Приближённые индексы (HNSW, IVF)</w:t>
            </w:r>
          </w:p>
        </w:tc>
        <w:tc>
          <w:tcPr>
            <w:tcW w:type="dxa" w:w="4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 тыс. векторов на два порядка ниже границы, где они дают выигрыш. Теряют 2–10% истинных соседей и вводят трудноуловимый класс ошибок</w:t>
            </w:r>
          </w:p>
        </w:tc>
        <w:tc>
          <w:tcPr>
            <w:tcW w:type="dxa" w:w="19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7.1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Специализированные векторные СУБД (FAISS, Milvus, Qdrant)</w:t>
            </w:r>
          </w:p>
        </w:tc>
        <w:tc>
          <w:tcPr>
            <w:tcW w:type="dxa" w:w="4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На данном объёме не дают выигрыша, но добавляют отдельный сервис, отдельный бэкап и отдельную точку отказа. PostgreSQL необходим в любом случае</w:t>
            </w:r>
          </w:p>
        </w:tc>
        <w:tc>
          <w:tcPr>
            <w:tcW w:type="dxa" w:w="19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7.1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Генерация SQL языковой моделью (text2SQL)</w:t>
            </w:r>
          </w:p>
        </w:tc>
        <w:tc>
          <w:tcPr>
            <w:tcW w:type="dxa" w:w="4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Локальная квантизованная модель делает это по русскоязычным запросам ненадёжно, а ошибка проявляется как молча неверный ответ. Заменено 10–15 параметризованными запросами</w:t>
            </w:r>
          </w:p>
        </w:tc>
        <w:tc>
          <w:tcPr>
            <w:tcW w:type="dxa" w:w="19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7.2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Жёсткая фильтрация по метаданным перед поиском</w:t>
            </w:r>
          </w:p>
        </w:tc>
        <w:tc>
          <w:tcPr>
            <w:tcW w:type="dxa" w:w="4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Ошибка определения сущности молча уничтожает правильный ответ до поиска, при этом метрики достоверности остаются высокими. Заменено повышением приоритета при ранжировании</w:t>
            </w:r>
          </w:p>
        </w:tc>
        <w:tc>
          <w:tcPr>
            <w:tcW w:type="dxa" w:w="19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9.4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Реранкер на 8 млрд параметров</w:t>
            </w:r>
          </w:p>
        </w:tc>
        <w:tc>
          <w:tcPr>
            <w:tcW w:type="dxa" w:w="4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Вызывается на 50 кандидатов при каждом запросе; давал секунды задержки и вынуждал выгружать генеративную модель из памяти. Задача ранжирования пары не требует модели такого размера</w:t>
            </w:r>
          </w:p>
        </w:tc>
        <w:tc>
          <w:tcPr>
            <w:tcW w:type="dxa" w:w="19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9.3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Заземление гипотезы HyDE на собственный корпус</w:t>
            </w:r>
          </w:p>
        </w:tc>
        <w:tc>
          <w:tcPr>
            <w:tcW w:type="dxa" w:w="4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Снизило бы словарное смещение, но замкнуло бы систему на уже применявшиеся подходы. Для генерации решений под новые проекты нужен доступ к общим знаниям модели</w:t>
            </w:r>
          </w:p>
        </w:tc>
        <w:tc>
          <w:tcPr>
            <w:tcW w:type="dxa" w:w="19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8.3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Анонимизация корпуса при индексации</w:t>
            </w:r>
          </w:p>
        </w:tc>
        <w:tc>
          <w:tcPr>
            <w:tcW w:type="dxa" w:w="4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Потеря точного подтверждения опыта для открытых заказчиков; переиндексация при каждом изменении статуса NDA. Заменено анонимизацией при генерации</w:t>
            </w:r>
          </w:p>
        </w:tc>
        <w:tc>
          <w:tcPr>
            <w:tcW w:type="dxa" w:w="19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часть 1, 8.2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NER как механизм контроля NDA</w:t>
            </w:r>
          </w:p>
        </w:tc>
        <w:tc>
          <w:tcPr>
            <w:tcW w:type="dxa" w:w="4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Точность 85–92% означает пропуск примерно каждого десятого упоминания. Для ограничения с юридическими последствиями неприемлемо. Заменено флагом в реестре</w:t>
            </w:r>
          </w:p>
        </w:tc>
        <w:tc>
          <w:tcPr>
            <w:tcW w:type="dxa" w:w="19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часть 1, 7.1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Облачные сервисы парсинга (LlamaParse)</w:t>
            </w:r>
          </w:p>
        </w:tc>
        <w:tc>
          <w:tcPr>
            <w:tcW w:type="dxa" w:w="4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Противоречат требованию on-premise</w:t>
            </w:r>
          </w:p>
        </w:tc>
        <w:tc>
          <w:tcPr>
            <w:tcW w:type="dxa" w:w="19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часть 1, 4.2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160" w:before="320"/>
      </w:pPr>
      <w:r>
        <w:t xml:space="preserve">18. История изменений</w:t>
      </w:r>
    </w:p>
    <w:p>
      <w:pPr>
        <w:pStyle w:val="Heading2"/>
        <w:spacing w:after="120" w:before="240"/>
      </w:pPr>
      <w:r>
        <w:t xml:space="preserve">18.1. Версия 2.6 — по итогам инженерного ревью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000"/>
        <w:gridCol w:w="3326"/>
      </w:tblGrid>
      <w:tr>
        <w:trPr>
          <w:tblHeader/>
        </w:trPr>
        <w:tc>
          <w:tcPr>
            <w:tcW w:type="dxa" w:w="2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Было</w:t>
            </w:r>
          </w:p>
        </w:tc>
        <w:tc>
          <w:tcPr>
            <w:tcW w:type="dxa" w:w="3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Стало</w:t>
            </w:r>
          </w:p>
        </w:tc>
        <w:tc>
          <w:tcPr>
            <w:tcW w:type="dxa" w:w="332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Основание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Эмбеддинг один, строится по обогащённому тексту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Два вектора:</w:t>
            </w: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 основной по обогащённому тексту для поиска, вспомогательный по исходному для дедупликации, MMR и рёбер графа</w:t>
            </w:r>
          </w:p>
        </w:tc>
        <w:tc>
          <w:tcPr>
            <w:tcW w:type="dxa" w:w="3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Обогащение приписывает копиям типового блока разных заказчиков, близость падает ниже порога, дедупликация перестаёт срабатывать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Дедупликация до векторизации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Векторизация, затем дедупликация</w:t>
            </w:r>
          </w:p>
        </w:tc>
        <w:tc>
          <w:tcPr>
            <w:tcW w:type="dxa" w:w="3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Считать косинусную близость до получения векторов невозможно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Результат дедупликации не использовался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Фильтр канонических представителей во всех запросах, разворачивание кластера в списке источников, метрика разнообразия по кластерам</w:t>
            </w:r>
          </w:p>
        </w:tc>
        <w:tc>
          <w:tcPr>
            <w:tcW w:type="dxa" w:w="3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Поля заполнялись и не читались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Секционный индекс строился, но в онлайн-конвейере не участвовал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Обязательная секционная ветвь поиска</w:t>
            </w: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 с механизмом отбора двух разделов-образцов и порядком сборки контекста</w:t>
            </w:r>
          </w:p>
        </w:tc>
        <w:tc>
          <w:tcPr>
            <w:tcW w:type="dxa" w:w="3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Без неё система вырождается в вопросно-ответную, от которой концепция отказалась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Датасет размечается идентификаторами чанков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Устойчивые якоря</w:t>
            </w: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 (документ, раздел, цитата) + резолвер. Трудоёмкость 3–5 дней, владелец назначается</w:t>
            </w:r>
          </w:p>
        </w:tc>
        <w:tc>
          <w:tcPr>
            <w:tcW w:type="dxa" w:w="3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Идентификаторы пересоздаются при смене чанкинга, разметка обнулялась бы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Сравнение этапов 3 и 3.5 по Recall@8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Recall@K_ctx при равном бюджете токенов</w:t>
            </w:r>
          </w:p>
        </w:tc>
        <w:tc>
          <w:tcPr>
            <w:tcW w:type="dxa" w:w="3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 чанков против 48 — прирост обеспечен арифметикой, критерий отключения слоя не мог сработать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Простой RRF, «гипотеза только добавляет кандидатов»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Взвешенный RRF</w:t>
            </w: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 1,0 / 0,7</w:t>
            </w:r>
          </w:p>
        </w:tc>
        <w:tc>
          <w:tcPr>
            <w:tcW w:type="dxa" w:w="3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При равных весах кандидат исходного запроса вытесняется из среза 50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Латентность 11–40 с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17–60 с</w:t>
            </w: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, восемь последовательных вызовов модели, сериализация Ollama, перечень компенсаторов</w:t>
            </w:r>
          </w:p>
        </w:tc>
        <w:tc>
          <w:tcPr>
            <w:tcW w:type="dxa" w:w="3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Шесть гипотез генерируются последовательно, а не входят в общие 4–8 с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Контекст 131 тыс. токенов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Реальное окно 16 тыс.</w:t>
            </w: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, `num_ctx` задаётся явно</w:t>
            </w:r>
          </w:p>
        </w:tc>
        <w:tc>
          <w:tcPr>
            <w:tcW w:type="dxa" w:w="3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131 тыс. недостижимо на 24 ГБ по KV-кэшу; умолчание Ollama 2048 молча усекает контекст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«Индексация ≈1,5 минуты»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Первичная — ночь (обогащение), переиндексация — минуты (кэш)</w:t>
            </w:r>
          </w:p>
        </w:tc>
        <w:tc>
          <w:tcPr>
            <w:tcW w:type="dxa" w:w="3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Полторы минуты относятся только к векторизации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Шаг обогащения без контракта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Вход, промпт с версией, детерминированный фолбэк, обязательный кэш, выборочная проверка 50 чанков</w:t>
            </w:r>
          </w:p>
        </w:tc>
        <w:tc>
          <w:tcPr>
            <w:tcW w:type="dxa" w:w="3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Самая дорогая операция проекта была не специфицирована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Фильтр публичности на nullable-поле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Обязательная связь чанка с проектом</w:t>
            </w: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, шаг сопоставления файл→проект, файл без проекта в индекс не попадает, перечисление на уровне схемы</w:t>
            </w:r>
          </w:p>
        </w:tc>
        <w:tc>
          <w:tcPr>
            <w:tcW w:type="dxa" w:w="3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NULL проходил мимо фильтра либо терял чанк; опечатка в регистре означала раскрытие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anon-проекты переводятся в closed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Исключаются конфигурацией `ALLOWED_PUBLICITY`</w:t>
            </w:r>
          </w:p>
        </w:tc>
        <w:tc>
          <w:tcPr>
            <w:tcW w:type="dxa" w:w="3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Перевод необратимо терял разметку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Метаданные объявлены boost-ом без механизма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Формула boost</w:t>
            </w: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 после реранкинга до MMR, веса в конфигурации</w:t>
            </w:r>
          </w:p>
        </w:tc>
        <w:tc>
          <w:tcPr>
            <w:tcW w:type="dxa" w:w="3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Поля, ради которых блокировался старт, не имели потребителя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Гейт регрессии: 3 п. п. по Recall@8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Парное сравнение на тех же запросах + бутстрэп-интервал</w:t>
            </w:r>
          </w:p>
        </w:tc>
        <w:tc>
          <w:tcPr>
            <w:tcW w:type="dxa" w:w="3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 п. п. на 100–150 запросах внутри шума, гейт срабатывал бы случайно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Планы поиска и шаблоны разделов «парами»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Таблица соответствия</w:t>
            </w: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 типов задач, планов и разделов + тест рассинхронизации</w:t>
            </w:r>
          </w:p>
        </w:tc>
        <w:tc>
          <w:tcPr>
            <w:tcW w:type="dxa" w:w="3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Три плана против семи разделов пар не образуют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Критерии завершения этапов вкусовые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Объективные: идемпотентность, ≥98% чанков в границах, ≥90% якорей разрешаются, согласованность ≥0,7, автотесты</w:t>
            </w:r>
          </w:p>
        </w:tc>
        <w:tc>
          <w:tcPr>
            <w:tcW w:type="dxa" w:w="3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«Связные разделы со ссылками» непроверяемо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Календарь ~4 месяца, этап каркаса отсутствовал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5–6 месяцев</w:t>
            </w: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, добавлен этап 0.5, работы по интерфейсу учтены</w:t>
            </w:r>
          </w:p>
        </w:tc>
        <w:tc>
          <w:tcPr>
            <w:tcW w:type="dxa" w:w="3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Разметка датасета, каркас и UI не были в плане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Судья автоматической оценки не назван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Внешняя модель, отличная от генерирующей; при строгом on-premise — только человек</w:t>
            </w:r>
          </w:p>
        </w:tc>
        <w:tc>
          <w:tcPr>
            <w:tcW w:type="dxa" w:w="3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GigaChat, оценивающая свои ответы, самореферентна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Раздел про форматы API отсутствовал, ссылки вели в никуда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Раздел 11.5</w:t>
            </w: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 с двумя диалектами реранкера, синтетической пробой доступности и контрактом интеграции</w:t>
            </w:r>
          </w:p>
        </w:tc>
        <w:tc>
          <w:tcPr>
            <w:tcW w:type="dxa" w:w="3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Битые перекрёстные ссылки в версии 2.5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18.2. Версия 2.5 — модель и границы контуров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000"/>
        <w:gridCol w:w="3326"/>
      </w:tblGrid>
      <w:tr>
        <w:trPr>
          <w:tblHeader/>
        </w:trPr>
        <w:tc>
          <w:tcPr>
            <w:tcW w:type="dxa" w:w="2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Было</w:t>
            </w:r>
          </w:p>
        </w:tc>
        <w:tc>
          <w:tcPr>
            <w:tcW w:type="dxa" w:w="3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Стало</w:t>
            </w:r>
          </w:p>
        </w:tc>
        <w:tc>
          <w:tcPr>
            <w:tcW w:type="dxa" w:w="332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Основание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Генеративная модель Qwen3.5-35B-A3B, вопрос о её получении от внешнего сервиса открыт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GigaChat-20B-A3B</w:t>
            </w: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 (MoE, q4_K_M, Ollama), разворачивается самостоятельно. Внешний сервис даёт только эмбеддинги и реранкинг</w:t>
            </w:r>
          </w:p>
        </w:tc>
        <w:tc>
          <w:tcPr>
            <w:tcW w:type="dxa" w:w="3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Модель обучена на русском с нуля, вдвое легче. Вопрос к владельцу сервиса снят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Требование к оборудованию 24–32 ГБ VRAM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14–16 ГБ расчётно, рекомендуется карта 24 ГБ</w:t>
            </w:r>
          </w:p>
        </w:tc>
        <w:tc>
          <w:tcPr>
            <w:tcW w:type="dxa" w:w="3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Модель на 20 млрд параметров в q4_K_M занимает ≈12 ГБ вместо 18–20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Графовый подход описан как отклонённый целиком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Разделены два разных объекта:</w:t>
            </w: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 граф сущностей отклонён, граф связей между чанками принят в план на MVP+</w:t>
            </w:r>
          </w:p>
        </w:tc>
        <w:tc>
          <w:tcPr>
            <w:tcW w:type="dxa" w:w="3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Уточнение постановки: граф нужен для навигации между чанками, а не для извлечения сущностей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LightRAG упомянут строкой в дорожной карте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Отдельный технический эксперимент с параметрами и критериями остановки. </w:t>
            </w:r>
            <w:r>
              <w:rPr>
                <w:b/>
                <w:bCs/>
                <w:color w:val="000000"/>
                <w:sz w:val="19"/>
                <w:szCs w:val="19"/>
              </w:rPr>
              <w:t xml:space="preserve">В архитектуру не встраивается</w:t>
            </w:r>
          </w:p>
        </w:tc>
        <w:tc>
          <w:tcPr>
            <w:tcW w:type="dxa" w:w="3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Решение по итогам обсуждения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Сценарий А — подготовка КП по образцу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Сценарий А — комбинация Б и В, </w:t>
            </w:r>
            <w:r>
              <w:rPr>
                <w:b/>
                <w:bCs/>
                <w:color w:val="000000"/>
                <w:sz w:val="19"/>
                <w:szCs w:val="19"/>
              </w:rPr>
              <w:t xml:space="preserve">приоритет отдаётся подтверждению опыта</w:t>
            </w:r>
          </w:p>
        </w:tc>
        <w:tc>
          <w:tcPr>
            <w:tcW w:type="dxa" w:w="3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Для тендерной заявки подтверждение важнее описания подхода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Ссылки разворачиваются в человекочитаемый вид по месту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Маркеры [N] в тексте, два раздельных списка в конце:</w:t>
            </w: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 «Источники» и «Подтверждения»</w:t>
            </w:r>
          </w:p>
        </w:tc>
        <w:tc>
          <w:tcPr>
            <w:tcW w:type="dxa" w:w="3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Маркеры не разрывают чтение; природа записей в списках принципиально различна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Контроль NDA целиком в PoC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В PoC только фильтрация закрытых проектов; обезличивание и сверка результата — MVP</w:t>
            </w:r>
          </w:p>
        </w:tc>
        <w:tc>
          <w:tcPr>
            <w:tcW w:type="dxa" w:w="3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Избыточная сложность для PoC. Компенсируется обязательной вычиткой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Метаданные: номер страницы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Диапазон страниц</w:t>
            </w: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 (page_start, page_end)</w:t>
            </w:r>
          </w:p>
        </w:tc>
        <w:tc>
          <w:tcPr>
            <w:tcW w:type="dxa" w:w="3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Чанк и запись секционного индекса могут пересекать границы страниц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Риск недоступности сервиса описан текстом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Таблица конкретных мер:</w:t>
            </w: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 Swagger, health-эндпоинт, повторы с задержкой, кэш векторов</w:t>
            </w:r>
          </w:p>
        </w:tc>
        <w:tc>
          <w:tcPr>
            <w:tcW w:type="dxa" w:w="3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Риск очевиден, ценность в механизме, а не в его констатации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Аналитика запросов не предусмотрена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Раздел 13.4: сводка частых формулировок для сопровождения библиотеки шаблонов</w:t>
            </w:r>
          </w:p>
        </w:tc>
        <w:tc>
          <w:tcPr>
            <w:tcW w:type="dxa" w:w="3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Шаблоны должны развиваться под реальные запросы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Открытые вопросы разбросаны по тексту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Отдельный раздел в начале документа</w:t>
            </w: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 с блокирующими вопросами, гипотезами и организационными пунктами</w:t>
            </w:r>
          </w:p>
        </w:tc>
        <w:tc>
          <w:tcPr>
            <w:tcW w:type="dxa" w:w="3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Требование по итогам рецензии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Границы PoC и MVP+ не обозначены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Раздел в главе 5 и </w:t>
            </w:r>
            <w:r>
              <w:rPr>
                <w:b/>
                <w:bCs/>
                <w:color w:val="000000"/>
                <w:sz w:val="19"/>
                <w:szCs w:val="19"/>
              </w:rPr>
              <w:t xml:space="preserve">схема EPC в приложении Б</w:t>
            </w: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 с пометкой контура на каждом шаге</w:t>
            </w:r>
          </w:p>
        </w:tc>
        <w:tc>
          <w:tcPr>
            <w:tcW w:type="dxa" w:w="3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То же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18.3. Версия 2.2 — слой разбора запроса</w:t>
      </w:r>
    </w:p>
    <w:p>
      <w:pPr>
        <w:spacing w:after="120" w:line="276"/>
        <w:jc w:val="both"/>
      </w:pPr>
      <w:r>
        <w:t xml:space="preserve">Версия 2.2 вводит новый слой между запросом пользователя и поиском. Причина — осознание того, что ключевой объект системы, «подход», нигде в документах не обозначен явно и представляет собой композицию, разнесённую по разделам.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000"/>
        <w:gridCol w:w="3326"/>
      </w:tblGrid>
      <w:tr>
        <w:trPr>
          <w:tblHeader/>
        </w:trPr>
        <w:tc>
          <w:tcPr>
            <w:tcW w:type="dxa" w:w="2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Было в версии 2.1</w:t>
            </w:r>
          </w:p>
        </w:tc>
        <w:tc>
          <w:tcPr>
            <w:tcW w:type="dxa" w:w="3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Стало в версии 2.2</w:t>
            </w:r>
          </w:p>
        </w:tc>
        <w:tc>
          <w:tcPr>
            <w:tcW w:type="dxa" w:w="332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Причина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Четыре слоя: распознавание, индексация, поиск, генерация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Пять слоёв: добавлен слой разбора запроса перед поиском</w:t>
            </w:r>
          </w:p>
        </w:tc>
        <w:tc>
          <w:tcPr>
            <w:tcW w:type="dxa" w:w="3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Подход не обозначен в документах явно; запрос и документы написаны разным словарём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Один запрос — один поиск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Декомпозиция на подзапросы по граням подхода</w:t>
            </w:r>
          </w:p>
        </w:tc>
        <w:tc>
          <w:tcPr>
            <w:tcW w:type="dxa" w:w="3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Один вектор не может быть одновременно близок к описанию методологии и к календарному плану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Поиск по формулировке пользователя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Два поисковых ключа: исходная формулировка и гипотеза HyDE, объединение через RRF</w:t>
            </w:r>
          </w:p>
        </w:tc>
        <w:tc>
          <w:tcPr>
            <w:tcW w:type="dxa" w:w="3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Вопрос и ответ написаны разными словами. Схема с двумя ключами исключает ухудшение выдачи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Порог отсечения не предусмотрен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Обязательный порог реранкера, ниже которого — ответ «не найдено»</w:t>
            </w:r>
          </w:p>
        </w:tc>
        <w:tc>
          <w:tcPr>
            <w:tcW w:type="dxa" w:w="3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HyDE по построению всегда находит что-то похожее; без порога система не сможет отказать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Библиотека шаблонов только для написания разделов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Парная библиотека: шаблоны написания и шаблоны планов поиска</w:t>
            </w:r>
          </w:p>
        </w:tc>
        <w:tc>
          <w:tcPr>
            <w:tcW w:type="dxa" w:w="3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Структуру задаёт человек, содержимое заполняет модель — как с параметризованными запросами вместо text2SQL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Эталонный датасет без требований к формулировкам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Запросы записываются словами пользователя, а не терминами документов</w:t>
            </w:r>
          </w:p>
        </w:tc>
        <w:tc>
          <w:tcPr>
            <w:tcW w:type="dxa" w:w="3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Иначе датасет не проверяет слой разбора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Метрики слоя разбора отсутствовали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Прирост Recall@8 от декомпозиции и от HyDE, точность классификации типа задачи</w:t>
            </w:r>
          </w:p>
        </w:tc>
        <w:tc>
          <w:tcPr>
            <w:tcW w:type="dxa" w:w="3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Компонент, точность которого не измеряется, повторяет ошибку роутера из версии 1.0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Эксперимент с графом не планировался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Глава 17.1 с обоснованием отказа; этап 7 дорожной карты — LightRAG после PoC</w:t>
            </w:r>
          </w:p>
        </w:tc>
        <w:tc>
          <w:tcPr>
            <w:tcW w:type="dxa" w:w="3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Решение по итогам разбора применимости графовых подходов. Реестр подтверждений уже является графом, заполняемым вручную и точнее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Наблюдаемость не описана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Глава 13: трассы, раздельный учёт источников, обратная связь, диагностика по стадиям, Langfuse</w:t>
            </w:r>
          </w:p>
        </w:tc>
        <w:tc>
          <w:tcPr>
            <w:tcW w:type="dxa" w:w="3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Без трасс невозможно установить, на какой стадии конвейера возникла ошибка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Отклонённые решения нигде не зафиксированы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Глава 17 со сводкой всех отказов и обоснованиями</w:t>
            </w:r>
          </w:p>
        </w:tc>
        <w:tc>
          <w:tcPr>
            <w:tcW w:type="dxa" w:w="3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Иначе те же вопросы обсуждаются повторно, а обоснования теряются</w:t>
            </w:r>
          </w:p>
        </w:tc>
      </w:tr>
    </w:tbl>
    <w:p>
      <w:pPr>
        <w:spacing w:after="120"/>
      </w:pPr>
    </w:p>
    <w:p>
      <w:pPr>
        <w:pBdr>
          <w:top w:val="single" w:color="E2EFDA" w:sz="2"/>
          <w:bottom w:val="single" w:color="E2EFDA" w:sz="2"/>
          <w:left w:val="single" w:color="1F4E79" w:sz="18" w:space="8"/>
          <w:right w:val="single" w:color="E2EFDA" w:sz="2"/>
        </w:pBdr>
        <w:shd w:fill="E2EFDA" w:val="clear"/>
        <w:spacing w:after="160" w:before="120" w:line="276"/>
        <w:ind w:left="120" w:right="120"/>
      </w:pPr>
      <w:r>
        <w:rPr>
          <w:b/>
          <w:bCs/>
        </w:rPr>
        <w:t xml:space="preserve">Отдельно зафиксированное решение: гипотеза HyDE не заземляется на собственный корпус.</w:t>
      </w:r>
      <w:r>
        <w:t xml:space="preserve"> Технически это снизило бы словарное смещение, но замкнуло бы систему на уже применявшиеся подходы. Для генерации решений под новые проекты нужен доступ к общим знаниям модели как к мосту наружу. Смещение при этом закрыто схемой с двумя поисковыми ключами.</w:t>
      </w:r>
    </w:p>
    <w:p>
      <w:pPr>
        <w:pStyle w:val="Heading2"/>
        <w:spacing w:after="120" w:before="240"/>
      </w:pPr>
      <w:r>
        <w:t xml:space="preserve">18.4. Версия 2.1 — внешний сервис моделей</w:t>
      </w:r>
    </w:p>
    <w:p>
      <w:pPr>
        <w:spacing w:after="120" w:line="276"/>
        <w:jc w:val="both"/>
      </w:pPr>
      <w:r>
        <w:t xml:space="preserve">Версия 2.1 учитывает вводные от владельца внутреннего сервиса моделей. Изменения касаются размещения компонентов, реализации лексического поиска и расчёта оборудования; логика поиска и генерации не изменилась.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000"/>
        <w:gridCol w:w="3326"/>
      </w:tblGrid>
      <w:tr>
        <w:trPr>
          <w:tblHeader/>
        </w:trPr>
        <w:tc>
          <w:tcPr>
            <w:tcW w:type="dxa" w:w="2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Было в версии 2.0</w:t>
            </w:r>
          </w:p>
        </w:tc>
        <w:tc>
          <w:tcPr>
            <w:tcW w:type="dxa" w:w="3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Стало в версии 2.1</w:t>
            </w:r>
          </w:p>
        </w:tc>
        <w:tc>
          <w:tcPr>
            <w:tcW w:type="dxa" w:w="332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Причина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Эмбеддинги и реранкер на нашей GPU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Внешний сервис компании; наша VRAM не расходуется</w:t>
            </w:r>
          </w:p>
        </w:tc>
        <w:tc>
          <w:tcPr>
            <w:tcW w:type="dxa" w:w="3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Сервис предоставлен, модели совпали с выбранными нами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Расход VRAM 25–28 ГБ, нужна карта 32 ГБ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Расход 21–25 ГБ; решение о закупке отложено до ответа о доступности генерации</w:t>
            </w:r>
          </w:p>
        </w:tc>
        <w:tc>
          <w:tcPr>
            <w:tcW w:type="dxa" w:w="3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Возможно, оборудование на PoC не потребуется вовсе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Лексический поиск через разреженные векторы BGE-M3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Полнотекстовый поиск PostgreSQL с русской морфологией, объединение через RRF</w:t>
            </w:r>
          </w:p>
        </w:tc>
        <w:tc>
          <w:tcPr>
            <w:tcW w:type="dxa" w:w="3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OpenAI-совместимый эндпоинт возвращает только плотный вектор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Сравнение BGE-M3, USER-bge-m3, GigaEmbeddings на своём датасете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Модель зафиксирована сервисом; сравнение перенесено на вторую фазу</w:t>
            </w:r>
          </w:p>
        </w:tc>
        <w:tc>
          <w:tcPr>
            <w:tcW w:type="dxa" w:w="3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Свои модели на сервисе поднять нельзя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Переиндексация — существенная операция, модель выбирать заранее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Переиндексация корпуса ≈1,5 минуты, эксперименты свободны</w:t>
            </w:r>
          </w:p>
        </w:tc>
        <w:tc>
          <w:tcPr>
            <w:tcW w:type="dxa" w:w="3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Замер владельца сервиса: 214 чанков/с при пачке 128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Требование к изоляции зависимостей отсутствовало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Обязательный модуль с двумя реализациями: внешний сервис и локальный хостинг</w:t>
            </w:r>
          </w:p>
        </w:tc>
        <w:tc>
          <w:tcPr>
            <w:tcW w:type="dxa" w:w="3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Эмбеддинги нужны на каждый запрос; при недоступности сервиса поиск не работает вовсе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Раздел о потоках данных отсутствовал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Раздел 12.6: что и куда передаётся, принятый режим безопасности</w:t>
            </w:r>
          </w:p>
        </w:tc>
        <w:tc>
          <w:tcPr>
            <w:tcW w:type="dxa" w:w="3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Трафик формально проходит через сеть общего пользования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Обоснование реранкера теоретическое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Добавлен замер владельца сервиса, включая поведение на отрицаниях</w:t>
            </w:r>
          </w:p>
        </w:tc>
        <w:tc>
          <w:tcPr>
            <w:tcW w:type="dxa" w:w="3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Наглядное подтверждение, применимое при защите проекта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Латентность поиска ≈230 мс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≈260–670 мс с учётом сети и общей карты</w:t>
            </w:r>
          </w:p>
        </w:tc>
        <w:tc>
          <w:tcPr>
            <w:tcW w:type="dxa" w:w="3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Часть конвейера вынесена во внешний сервис</w:t>
            </w:r>
          </w:p>
        </w:tc>
      </w:tr>
    </w:tbl>
    <w:p>
      <w:pPr>
        <w:spacing w:after="120"/>
      </w:pPr>
    </w:p>
    <w:p>
      <w:pPr>
        <w:pStyle w:val="Heading1"/>
        <w:spacing w:after="160" w:before="320"/>
      </w:pPr>
      <w:r>
        <w:t xml:space="preserve">19. Сводка изменений относительно версии 1.0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000"/>
        <w:gridCol w:w="3326"/>
      </w:tblGrid>
      <w:tr>
        <w:trPr>
          <w:tblHeader/>
        </w:trPr>
        <w:tc>
          <w:tcPr>
            <w:tcW w:type="dxa" w:w="2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Было в версии 1.0</w:t>
            </w:r>
          </w:p>
        </w:tc>
        <w:tc>
          <w:tcPr>
            <w:tcW w:type="dxa" w:w="3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Стало в версии 2.0</w:t>
            </w:r>
          </w:p>
        </w:tc>
        <w:tc>
          <w:tcPr>
            <w:tcW w:type="dxa" w:w="332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Причина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LLM-роутер выбирает источник данных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Роутер исключён; оба источника опрашиваются всегда параллельно</w:t>
            </w:r>
          </w:p>
        </w:tc>
        <w:tc>
          <w:tcPr>
            <w:tcW w:type="dxa" w:w="3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Стоимость обращения к источникам близка к нулю; роутер добавлял латентность, ошибки и неизмеряемую точность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FAISS / Qdrant / Milvus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PostgreSQL + pgvector, точный поиск</w:t>
            </w:r>
          </w:p>
        </w:tc>
        <w:tc>
          <w:tcPr>
            <w:tcW w:type="dxa" w:w="3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 тыс. векторов на два порядка ниже границы, где нужны приближённые индексы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Слой распознавания не описан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Отдельный слой: классификация, парсинг, OCR, таблицы, NER</w:t>
            </w:r>
          </w:p>
        </w:tc>
        <w:tc>
          <w:tcPr>
            <w:tcW w:type="dxa" w:w="3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Здесь решается основная доля качества системы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Жёсткая фильтрация по метаданным перед поиском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Жёсткий фильтр только по явному выбору пользователя; иначе — повышение приоритета при ранжировании</w:t>
            </w:r>
          </w:p>
        </w:tc>
        <w:tc>
          <w:tcPr>
            <w:tcW w:type="dxa" w:w="3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Ошибка определения сущности молча уничтожала правильный ответ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Реранкер Qwen3-Reranker-8B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bge-reranker-v2-m3, 568 млн параметров</w:t>
            </w:r>
          </w:p>
        </w:tc>
        <w:tc>
          <w:tcPr>
            <w:tcW w:type="dxa" w:w="3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Вызывается 50 раз на запрос; 8B давал секунды задержки и вынуждал выгружать модели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Последовательная загрузка моделей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Все модели резидентны в памяти</w:t>
            </w:r>
          </w:p>
        </w:tc>
        <w:tc>
          <w:tcPr>
            <w:tcW w:type="dxa" w:w="3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Загрузка модели с диска занимает 15–40 секунд, что несовместимо с требованием в 1 минуту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Qwen 3.5 32B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Qwen3.5-35B-A3B (MoE)</w:t>
            </w:r>
          </w:p>
        </w:tc>
        <w:tc>
          <w:tcPr>
            <w:tcW w:type="dxa" w:w="3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Модели 32B в линейке 3.5 не существует; MoE даёт трёхкратный выигрыш в скорости генерации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KV-кэш не учтён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3–4 ГБ включены в расчёт</w:t>
            </w:r>
          </w:p>
        </w:tc>
        <w:tc>
          <w:tcPr>
            <w:tcW w:type="dxa" w:w="3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При контексте 16 тыс. токенов это существенная величина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Генерация как ответ на вопрос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Генерация по образцу; двухуровневый индекс; библиотека шаблонов разделов</w:t>
            </w:r>
          </w:p>
        </w:tc>
        <w:tc>
          <w:tcPr>
            <w:tcW w:type="dxa" w:w="3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Обе целевые задачи — написание разделов документов, а не ответы на вопросы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Дедупликация не предусмотрена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Кластеризация при индексации + MMR при поиске</w:t>
            </w:r>
          </w:p>
        </w:tc>
        <w:tc>
          <w:tcPr>
            <w:tcW w:type="dxa" w:w="3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25 КП одной компании содержат значительный объём повторяющихся типовых блоков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Обогащение контекстом не предусмотрено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Contextual retrieval при индексации</w:t>
            </w:r>
          </w:p>
        </w:tc>
        <w:tc>
          <w:tcPr>
            <w:tcW w:type="dxa" w:w="3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Один из наибольших приростов полноты поиска при минимальных затратах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Эталонный датасет 30–50 пар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100–150 пар</w:t>
            </w:r>
          </w:p>
        </w:tc>
        <w:tc>
          <w:tcPr>
            <w:tcW w:type="dxa" w:w="3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На 40 примерах доверительный интервал ±8–10 п.п. — улучшения неотличимы от шума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Оценка через RAGAS (LLM-судья)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PoC — человеческая оценка; далее автоматическая, откалиброванная по ней</w:t>
            </w:r>
          </w:p>
        </w:tc>
        <w:tc>
          <w:tcPr>
            <w:tcW w:type="dxa" w:w="3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Оценка ответов моделью, которая их генерирует, самореферентна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Порог Faithfulness 0,85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Сначала базовый замер, затем порог</w:t>
            </w:r>
          </w:p>
        </w:tc>
        <w:tc>
          <w:tcPr>
            <w:tcW w:type="dxa" w:w="3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Порог до первого измерения не имеет основания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Продуктовые метрики отсутствуют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Доля текста без правок, время подготовки, частота обращений — главные метрики</w:t>
            </w:r>
          </w:p>
        </w:tc>
        <w:tc>
          <w:tcPr>
            <w:tcW w:type="dxa" w:w="3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Технические показатели могут расти при невостребованной системе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Флаг NDA отсутствует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Флаг публичности в БД + контроль на выходе</w:t>
            </w:r>
          </w:p>
        </w:tc>
        <w:tc>
          <w:tcPr>
            <w:tcW w:type="dxa" w:w="3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Часть заказчиков не может быть упомянута в тендерной заявке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Результат тендера не учитывается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Обязательное поле, ретроспективное заполнение</w:t>
            </w:r>
          </w:p>
        </w:tc>
        <w:tc>
          <w:tcPr>
            <w:tcW w:type="dxa" w:w="3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Без него нельзя учиться на успешных образцах и доказать влияние на долю побед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Excel → миграция в СУБД после 25–30 проектов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Excel как интерфейс ввода + валидация + загрузка в СУБД сразу</w:t>
            </w:r>
          </w:p>
        </w:tc>
        <w:tc>
          <w:tcPr>
            <w:tcW w:type="dxa" w:w="3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PostgreSQL нужен под pgvector в любом случае; отложенная миграция — лишняя работа</w:t>
            </w:r>
          </w:p>
        </w:tc>
      </w:tr>
      <w:t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Жизненный цикл не описан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Раздел 14: добавление, обновление, версионирование, откат, регрессия</w:t>
            </w:r>
          </w:p>
        </w:tc>
        <w:tc>
          <w:tcPr>
            <w:tcW w:type="dxa" w:w="33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25 документов — не статичный набор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Приложение А. Вопросы к владельцу сервиса моделей</w:t>
      </w:r>
    </w:p>
    <w:p>
      <w:pPr>
        <w:spacing w:after="120" w:line="276"/>
        <w:jc w:val="both"/>
      </w:pPr>
      <w:r>
        <w:t xml:space="preserve">Перечень уточнений, необходимых до начала работ. Отмеченные как блокирующие определяют архитектуру поиска и должны быть закрыты на этапе 0.</w:t>
      </w:r>
    </w:p>
    <w:p>
      <w:pPr>
        <w:pStyle w:val="Heading2"/>
        <w:spacing w:after="120" w:before="240"/>
      </w:pPr>
      <w:r>
        <w:t xml:space="preserve">Блокирующие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00"/>
        <w:gridCol w:w="3726"/>
      </w:tblGrid>
      <w:tr>
        <w:trPr>
          <w:tblHeader/>
        </w:trPr>
        <w:tc>
          <w:tcPr>
            <w:tcW w:type="dxa" w:w="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4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Вопрос</w:t>
            </w:r>
          </w:p>
        </w:tc>
        <w:tc>
          <w:tcPr>
            <w:tcW w:type="dxa" w:w="372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На что влияет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Отдаёт ли эндпоинт только плотный вектор 1024, или также разреженные (sparse) и ColBERT-представления, которые bge-m3 умеет выдавать нативно?</w:t>
            </w:r>
          </w:p>
        </w:tc>
        <w:tc>
          <w:tcPr>
            <w:tcW w:type="dxa" w:w="37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Реализация лексической половины гибридного поиска: собственная на PostgreSQL либо из той же модели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4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Формат API реранкера. В спецификации OpenAI реранка нет — это Cohere-подобный `/v1/rerank`, TEI-шный `/rerank` или свой формат? Нужен пример запроса и ответа</w:t>
            </w:r>
          </w:p>
        </w:tc>
        <w:tc>
          <w:tcPr>
            <w:tcW w:type="dxa" w:w="37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Реализация модуля обращения к реранкеру</w:t>
            </w:r>
          </w:p>
        </w:tc>
      </w:tr>
      <w:tr>
        <w:tc>
          <w:tcPr>
            <w:tcW w:type="dxa" w:w="500"/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4800"/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Батч реранкера: сколько пар принимается за один вызов?</w:t>
            </w: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 Шесть граней по 50 кандидатов дают 300 пар на запрос. Если сервис принимает одну пару за вызов, при лимите 20 запросов в секунду только реранкинг займёт 15 секунд и перевернёт расчёт латентности</w:t>
            </w:r>
          </w:p>
        </w:tc>
        <w:tc>
          <w:tcPr>
            <w:tcW w:type="dxa" w:w="3726"/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Блокирующий. Расчёт латентности и, возможно, состав граней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4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Как считается ограничение 20 запросов/с — по HTTP-запросам или по элементам? Пачка из 128 чанков — 1 или 128?</w:t>
            </w:r>
          </w:p>
        </w:tc>
        <w:tc>
          <w:tcPr>
            <w:tcW w:type="dxa" w:w="37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Стратегия пакетной индексации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4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Реально ли доступны все 8192 токена контекста?</w:t>
            </w:r>
          </w:p>
        </w:tc>
        <w:tc>
          <w:tcPr>
            <w:tcW w:type="dxa" w:w="37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Возможность построения секционного индекса: разделы документов длиннее абзацев</w:t>
            </w:r>
          </w:p>
        </w:tc>
      </w:tr>
      <w:tr>
        <w:tc>
          <w:tcPr>
            <w:tcW w:type="dxa" w:w="500"/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4800"/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Есть ли эндпоинт проверки доступности (health)?</w:t>
            </w: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 Нужен, чтобы отличать перезапуск сервиса от некорректного запроса и показывать пользователю осмысленное сообщение</w:t>
            </w:r>
          </w:p>
        </w:tc>
        <w:tc>
          <w:tcPr>
            <w:tcW w:type="dxa" w:w="3726"/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Устойчивость системы. Перенесён в блокирующие по итогам разбора</w:t>
            </w:r>
          </w:p>
        </w:tc>
      </w:tr>
      <w:tr>
        <w:tc>
          <w:tcPr>
            <w:tcW w:type="dxa" w:w="500"/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4800"/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Спецификация Swagger / OpenAPI на оба эндпоинта.</w:t>
            </w: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 Без неё форматы запросов и коды ошибок приходится выяснять экспериментально</w:t>
            </w:r>
          </w:p>
        </w:tc>
        <w:tc>
          <w:tcPr>
            <w:tcW w:type="dxa" w:w="3726"/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Возможность написать интеграцию. Перенесён в блокирующие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Эксплуатационные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00"/>
        <w:gridCol w:w="3726"/>
      </w:tblGrid>
      <w:tr>
        <w:trPr>
          <w:tblHeader/>
        </w:trPr>
        <w:tc>
          <w:tcPr>
            <w:tcW w:type="dxa" w:w="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4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Вопрос</w:t>
            </w:r>
          </w:p>
        </w:tc>
        <w:tc>
          <w:tcPr>
            <w:tcW w:type="dxa" w:w="372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На что влияет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4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Уведомление при смене модели или её версии — требуется.</w:t>
            </w: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 Обновление делает индекс несовместимым, деградация происходит без явных признаков</w:t>
            </w:r>
          </w:p>
        </w:tc>
        <w:tc>
          <w:tcPr>
            <w:tcW w:type="dxa" w:w="37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Совместимость индекса. Переиндексация занимает полторы минуты, но о необходимости надо знать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4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Поведение при превышении лимита: код 429, таймаут, очередь? Рекомендуемые таймауты и стратегия повторов на нашей стороне</w:t>
            </w:r>
          </w:p>
        </w:tc>
        <w:tc>
          <w:tcPr>
            <w:tcW w:type="dxa" w:w="37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Устойчивость к перегрузке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4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Замер 214 чанков/с сделан при свободной карте или под типичной нагрузкой? Каков худший случай при активности всех четырёх сервисов?</w:t>
            </w:r>
          </w:p>
        </w:tc>
        <w:tc>
          <w:tcPr>
            <w:tcW w:type="dxa" w:w="37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Обязательства перед пользователями по времени отклика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4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Возможно ли предупреждение о перезапусках при выкладке — хотя бы неформальное?</w:t>
            </w:r>
          </w:p>
        </w:tc>
        <w:tc>
          <w:tcPr>
            <w:tcW w:type="dxa" w:w="37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Эмбеддинги нужны на каждый запрос; при недоступности поиск не работает совсем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Организационные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00"/>
        <w:gridCol w:w="3726"/>
      </w:tblGrid>
      <w:tr>
        <w:trPr>
          <w:tblHeader/>
        </w:trPr>
        <w:tc>
          <w:tcPr>
            <w:tcW w:type="dxa" w:w="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4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Вопрос</w:t>
            </w:r>
          </w:p>
        </w:tc>
        <w:tc>
          <w:tcPr>
            <w:tcW w:type="dxa" w:w="372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На что влияет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4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Владелец персонального токена определён — руководитель проекта. </w:t>
            </w:r>
            <w:r>
              <w:rPr>
                <w:b/>
                <w:bCs/>
                <w:color w:val="000000"/>
                <w:sz w:val="19"/>
                <w:szCs w:val="19"/>
              </w:rPr>
              <w:t xml:space="preserve">Открытым остаётся вопрос преемственности:</w:t>
            </w: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 обращаться к сервису будет приложение, обслуживающее 18 человек. Возможен ли сервисный токен, привязанный к приложению, а не к сотруднику?</w:t>
            </w:r>
          </w:p>
        </w:tc>
        <w:tc>
          <w:tcPr>
            <w:tcW w:type="dxa" w:w="37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Работоспособность системы при смене роли или уходе владельца токена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dxa" w:w="4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Точные идентификаторы развёрнутых ревизий моделей — на случай поднятия резервной копии у себя</w:t>
            </w:r>
          </w:p>
        </w:tc>
        <w:tc>
          <w:tcPr>
            <w:tcW w:type="dxa" w:w="37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Воспроизводимость при переносе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type="dxa" w:w="4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Если запрет на журналирование тел запросов держится на ручной настройке, имеет смысл закрепить его в конфигурации сервиса</w:t>
            </w:r>
          </w:p>
        </w:tc>
        <w:tc>
          <w:tcPr>
            <w:tcW w:type="dxa" w:w="37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Сохранение режима при последующих выкладках</w:t>
            </w:r>
          </w:p>
        </w:tc>
      </w:tr>
    </w:tbl>
    <w:p>
      <w:pPr>
        <w:sectPr>
          <w:footerReference w:type="default" r:id="rId7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100"/>
      </w:pPr>
      <w:r>
        <w:rPr>
          <w:b/>
          <w:bCs/>
          <w:color w:val="1F4E79"/>
          <w:sz w:val="30"/>
          <w:szCs w:val="30"/>
        </w:rPr>
        <w:t xml:space="preserve">Приложение Б. Схема работы системы (EPC)</w:t>
      </w:r>
    </w:p>
    <w:p>
      <w:pPr>
        <w:spacing w:after="160"/>
      </w:pPr>
      <w:r>
        <w:t xml:space="preserve">Событийно-ориентированная цепочка процессов. Шестиугольники — события (состояния), прямоугольники — функции (шаги обработки), кружок с X — развилка. Слева от каждой функции обозначен контур: </w:t>
      </w:r>
      <w:r>
        <w:rPr>
          <w:b/>
          <w:bCs/>
        </w:rPr>
        <w:t xml:space="preserve">PoC</w:t>
      </w:r>
      <w:r>
        <w:t xml:space="preserve"> сплошной синей заливкой, </w:t>
      </w:r>
      <w:r>
        <w:rPr>
          <w:b/>
          <w:bCs/>
        </w:rPr>
        <w:t xml:space="preserve">MVP+</w:t>
      </w:r>
      <w:r>
        <w:t xml:space="preserve"> серым пунктиром, бледно-серым — слой подготовки данных из части 1. Справа указано, чем шаг выполняется.</w:t>
      </w:r>
    </w:p>
    <w:p>
      <w:r>
        <w:drawing>
          <wp:inline distT="0" distB="0" distL="0" distR="0">
            <wp:extent cx="5143500" cy="9001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900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distT="0" distB="0" distL="0" distR="0">
            <wp:extent cx="5905500" cy="8848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884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distT="0" distB="0" distL="0" distR="0">
            <wp:extent cx="6286500" cy="777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8"/>
      <w:pgSz w:w="11906" w:h="16838" w:orient="portrait"/>
      <w:pgMar w:top="850" w:right="850" w:bottom="7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40"/>
    </w:pPr>
    <w:rPr>
      <w:rFonts w:ascii="Calibri Light" w:cs="Calibri Light" w:eastAsia="Calibri Light" w:hAnsi="Calibri Light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 Light" w:cs="Calibri Light" w:eastAsia="Calibri Light" w:hAnsi="Calibri Light"/>
      <w:b/>
      <w:bCs/>
      <w:color w:val="2E74B5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404040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7cfca484ce9aaba8a1f8f45d2a4512faac842fae.png"/><Relationship Id="rId10" Type="http://schemas.openxmlformats.org/officeDocument/2006/relationships/image" Target="media/48f574507fac614ec14ac9c3550382bb64a321ee.png"/><Relationship Id="rId11" Type="http://schemas.openxmlformats.org/officeDocument/2006/relationships/image" Target="media/a5bcfd9a14a7cfc8c1be38bd1d63cfa92b0489ab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Интеллектуальная база знаний с RAG — техническая концепция, часть 2</dc:title>
  <dc:creator>Проектная команда</dc:creator>
  <dc:description>Концепция системы формирования КП, тендерных заявок и отчётов</dc:description>
  <cp:lastModifiedBy>Un-named</cp:lastModifiedBy>
  <cp:revision>1</cp:revision>
  <dcterms:created xsi:type="dcterms:W3CDTF">2026-08-18T23:51:20.183Z</dcterms:created>
  <dcterms:modified xsi:type="dcterms:W3CDTF">2026-08-18T23:51:20.183Z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