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920A" w14:textId="3B2C931B" w:rsidR="00B72178" w:rsidRPr="000A09A3" w:rsidRDefault="00B72178" w:rsidP="000A09A3">
      <w:pPr>
        <w:spacing w:line="480" w:lineRule="auto"/>
        <w:rPr>
          <w:rStyle w:val="Hyperlink"/>
          <w:rFonts w:ascii="Times New Roman" w:hAnsi="Times New Roman" w:cs="Times New Roman"/>
          <w:b/>
          <w:bCs/>
          <w:noProof/>
          <w:color w:val="auto"/>
          <w:sz w:val="26"/>
          <w:szCs w:val="26"/>
          <w:u w:val="none"/>
        </w:rPr>
      </w:pPr>
      <w:r>
        <w:rPr>
          <w:noProof/>
        </w:rPr>
        <w:drawing>
          <wp:inline distT="0" distB="0" distL="0" distR="0" wp14:anchorId="161F5382" wp14:editId="02C32A9F">
            <wp:extent cx="5821928" cy="8729648"/>
            <wp:effectExtent l="0" t="0" r="7620" b="0"/>
            <wp:docPr id="6418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4724" name="Picture 641844724"/>
                    <pic:cNvPicPr/>
                  </pic:nvPicPr>
                  <pic:blipFill rotWithShape="1">
                    <a:blip r:embed="rId8">
                      <a:extLst>
                        <a:ext uri="{28A0092B-C50C-407E-A947-70E740481C1C}">
                          <a14:useLocalDpi xmlns:a14="http://schemas.microsoft.com/office/drawing/2010/main" val="0"/>
                        </a:ext>
                      </a:extLst>
                    </a:blip>
                    <a:srcRect l="1075" t="911" r="1414" b="606"/>
                    <a:stretch>
                      <a:fillRect/>
                    </a:stretch>
                  </pic:blipFill>
                  <pic:spPr bwMode="auto">
                    <a:xfrm>
                      <a:off x="0" y="0"/>
                      <a:ext cx="5908999" cy="8860206"/>
                    </a:xfrm>
                    <a:prstGeom prst="rect">
                      <a:avLst/>
                    </a:prstGeom>
                    <a:ln>
                      <a:noFill/>
                    </a:ln>
                    <a:extLst>
                      <a:ext uri="{53640926-AAD7-44D8-BBD7-CCE9431645EC}">
                        <a14:shadowObscured xmlns:a14="http://schemas.microsoft.com/office/drawing/2010/main"/>
                      </a:ext>
                    </a:extLst>
                  </pic:spPr>
                </pic:pic>
              </a:graphicData>
            </a:graphic>
          </wp:inline>
        </w:drawing>
      </w:r>
      <w:r>
        <w:rPr>
          <w:rStyle w:val="Hyperlink"/>
          <w:color w:val="auto"/>
          <w:sz w:val="26"/>
          <w:szCs w:val="26"/>
          <w:u w:val="none"/>
        </w:rPr>
        <w:br w:type="page"/>
      </w:r>
    </w:p>
    <w:p w14:paraId="792BF381" w14:textId="684C44BC" w:rsidR="004030E6" w:rsidRPr="00814624" w:rsidRDefault="003A2991" w:rsidP="00216F6D">
      <w:pPr>
        <w:pStyle w:val="TOC1"/>
        <w:spacing w:line="480" w:lineRule="auto"/>
      </w:pPr>
      <w:r w:rsidRPr="00814624">
        <w:rPr>
          <w:rStyle w:val="Hyperlink"/>
          <w:color w:val="auto"/>
          <w:sz w:val="26"/>
          <w:szCs w:val="26"/>
          <w:u w:val="none"/>
        </w:rPr>
        <w:t>TABLE OF CONTENTS</w:t>
      </w:r>
    </w:p>
    <w:p w14:paraId="0C79EC88" w14:textId="2ACFFF59" w:rsidR="00814624" w:rsidRPr="00814624" w:rsidRDefault="00814624" w:rsidP="00216F6D">
      <w:pPr>
        <w:pStyle w:val="TOC1"/>
        <w:spacing w:line="480" w:lineRule="auto"/>
        <w:rPr>
          <w:rFonts w:asciiTheme="minorHAnsi" w:hAnsiTheme="minorHAnsi" w:cstheme="minorBidi"/>
        </w:rPr>
      </w:pPr>
      <w:r w:rsidRPr="00814624">
        <w:rPr>
          <w:rStyle w:val="Hyperlink"/>
          <w:b w:val="0"/>
          <w:bCs w:val="0"/>
          <w:sz w:val="24"/>
          <w:szCs w:val="24"/>
          <w:u w:val="none"/>
        </w:rPr>
        <w:fldChar w:fldCharType="begin"/>
      </w:r>
      <w:r w:rsidRPr="00814624">
        <w:rPr>
          <w:rStyle w:val="Hyperlink"/>
          <w:b w:val="0"/>
          <w:bCs w:val="0"/>
          <w:sz w:val="24"/>
          <w:szCs w:val="24"/>
          <w:u w:val="none"/>
        </w:rPr>
        <w:instrText xml:space="preserve"> TOC \o "1-3" \h \z \u </w:instrText>
      </w:r>
      <w:r w:rsidRPr="00814624">
        <w:rPr>
          <w:rStyle w:val="Hyperlink"/>
          <w:b w:val="0"/>
          <w:bCs w:val="0"/>
          <w:sz w:val="24"/>
          <w:szCs w:val="24"/>
          <w:u w:val="none"/>
        </w:rPr>
        <w:fldChar w:fldCharType="separate"/>
      </w:r>
      <w:hyperlink w:anchor="_Toc208742920" w:history="1">
        <w:r w:rsidRPr="00814624">
          <w:rPr>
            <w:rStyle w:val="Hyperlink"/>
            <w:b w:val="0"/>
            <w:bCs w:val="0"/>
            <w:sz w:val="24"/>
            <w:szCs w:val="24"/>
          </w:rPr>
          <w:t>1.</w:t>
        </w:r>
        <w:r w:rsidRPr="00814624">
          <w:rPr>
            <w:rFonts w:asciiTheme="minorHAnsi" w:hAnsiTheme="minorHAnsi" w:cstheme="minorBidi"/>
          </w:rPr>
          <w:tab/>
        </w:r>
        <w:r w:rsidRPr="00814624">
          <w:rPr>
            <w:rStyle w:val="Hyperlink"/>
            <w:b w:val="0"/>
            <w:bCs w:val="0"/>
            <w:sz w:val="24"/>
            <w:szCs w:val="24"/>
          </w:rPr>
          <w:t>Introduction</w:t>
        </w:r>
        <w:r w:rsidRPr="00814624">
          <w:rPr>
            <w:webHidden/>
          </w:rPr>
          <w:tab/>
        </w:r>
        <w:r w:rsidRPr="00814624">
          <w:rPr>
            <w:webHidden/>
          </w:rPr>
          <w:fldChar w:fldCharType="begin"/>
        </w:r>
        <w:r w:rsidRPr="00814624">
          <w:rPr>
            <w:webHidden/>
          </w:rPr>
          <w:instrText xml:space="preserve"> PAGEREF _Toc208742920 \h </w:instrText>
        </w:r>
        <w:r w:rsidRPr="00814624">
          <w:rPr>
            <w:webHidden/>
          </w:rPr>
        </w:r>
        <w:r w:rsidRPr="00814624">
          <w:rPr>
            <w:webHidden/>
          </w:rPr>
          <w:fldChar w:fldCharType="separate"/>
        </w:r>
        <w:r w:rsidRPr="00814624">
          <w:rPr>
            <w:webHidden/>
          </w:rPr>
          <w:t>2</w:t>
        </w:r>
        <w:r w:rsidRPr="00814624">
          <w:rPr>
            <w:webHidden/>
          </w:rPr>
          <w:fldChar w:fldCharType="end"/>
        </w:r>
      </w:hyperlink>
    </w:p>
    <w:p w14:paraId="3C73C785" w14:textId="3D228AC2" w:rsidR="00814624" w:rsidRPr="00814624" w:rsidRDefault="00814624" w:rsidP="00216F6D">
      <w:pPr>
        <w:pStyle w:val="TOC1"/>
        <w:spacing w:line="480" w:lineRule="auto"/>
        <w:rPr>
          <w:rFonts w:asciiTheme="minorHAnsi" w:hAnsiTheme="minorHAnsi" w:cstheme="minorBidi"/>
        </w:rPr>
      </w:pPr>
      <w:hyperlink w:anchor="_Toc208742921" w:history="1">
        <w:r w:rsidRPr="00814624">
          <w:rPr>
            <w:rStyle w:val="Hyperlink"/>
            <w:b w:val="0"/>
            <w:bCs w:val="0"/>
            <w:sz w:val="24"/>
            <w:szCs w:val="24"/>
          </w:rPr>
          <w:t>2.</w:t>
        </w:r>
        <w:r w:rsidRPr="00814624">
          <w:rPr>
            <w:rFonts w:asciiTheme="minorHAnsi" w:hAnsiTheme="minorHAnsi" w:cstheme="minorBidi"/>
          </w:rPr>
          <w:tab/>
        </w:r>
        <w:r w:rsidRPr="00814624">
          <w:rPr>
            <w:rStyle w:val="Hyperlink"/>
            <w:b w:val="0"/>
            <w:bCs w:val="0"/>
            <w:sz w:val="24"/>
            <w:szCs w:val="24"/>
          </w:rPr>
          <w:t>Data Collection and Processing</w:t>
        </w:r>
        <w:r w:rsidRPr="00814624">
          <w:rPr>
            <w:webHidden/>
          </w:rPr>
          <w:tab/>
        </w:r>
        <w:r w:rsidRPr="00814624">
          <w:rPr>
            <w:webHidden/>
          </w:rPr>
          <w:fldChar w:fldCharType="begin"/>
        </w:r>
        <w:r w:rsidRPr="00814624">
          <w:rPr>
            <w:webHidden/>
          </w:rPr>
          <w:instrText xml:space="preserve"> PAGEREF _Toc208742921 \h </w:instrText>
        </w:r>
        <w:r w:rsidRPr="00814624">
          <w:rPr>
            <w:webHidden/>
          </w:rPr>
        </w:r>
        <w:r w:rsidRPr="00814624">
          <w:rPr>
            <w:webHidden/>
          </w:rPr>
          <w:fldChar w:fldCharType="separate"/>
        </w:r>
        <w:r w:rsidRPr="00814624">
          <w:rPr>
            <w:webHidden/>
          </w:rPr>
          <w:t>2</w:t>
        </w:r>
        <w:r w:rsidRPr="00814624">
          <w:rPr>
            <w:webHidden/>
          </w:rPr>
          <w:fldChar w:fldCharType="end"/>
        </w:r>
      </w:hyperlink>
    </w:p>
    <w:p w14:paraId="40B9FB71" w14:textId="25932B2C" w:rsidR="00814624" w:rsidRPr="00814624" w:rsidRDefault="00814624" w:rsidP="00216F6D">
      <w:pPr>
        <w:pStyle w:val="TOC1"/>
        <w:spacing w:line="480" w:lineRule="auto"/>
        <w:rPr>
          <w:rFonts w:asciiTheme="minorHAnsi" w:hAnsiTheme="minorHAnsi" w:cstheme="minorBidi"/>
        </w:rPr>
      </w:pPr>
      <w:hyperlink w:anchor="_Toc208742922" w:history="1">
        <w:r w:rsidRPr="00814624">
          <w:rPr>
            <w:rStyle w:val="Hyperlink"/>
            <w:b w:val="0"/>
            <w:bCs w:val="0"/>
            <w:sz w:val="24"/>
            <w:szCs w:val="24"/>
          </w:rPr>
          <w:t>3.</w:t>
        </w:r>
        <w:r w:rsidRPr="00814624">
          <w:rPr>
            <w:rFonts w:asciiTheme="minorHAnsi" w:hAnsiTheme="minorHAnsi" w:cstheme="minorBidi"/>
          </w:rPr>
          <w:tab/>
        </w:r>
        <w:r w:rsidRPr="00814624">
          <w:rPr>
            <w:rStyle w:val="Hyperlink"/>
            <w:b w:val="0"/>
            <w:bCs w:val="0"/>
            <w:sz w:val="24"/>
            <w:szCs w:val="24"/>
          </w:rPr>
          <w:t>Variable Selection and Economic Justification</w:t>
        </w:r>
        <w:r w:rsidRPr="00814624">
          <w:rPr>
            <w:webHidden/>
          </w:rPr>
          <w:tab/>
        </w:r>
        <w:r w:rsidRPr="00814624">
          <w:rPr>
            <w:webHidden/>
          </w:rPr>
          <w:fldChar w:fldCharType="begin"/>
        </w:r>
        <w:r w:rsidRPr="00814624">
          <w:rPr>
            <w:webHidden/>
          </w:rPr>
          <w:instrText xml:space="preserve"> PAGEREF _Toc208742922 \h </w:instrText>
        </w:r>
        <w:r w:rsidRPr="00814624">
          <w:rPr>
            <w:webHidden/>
          </w:rPr>
        </w:r>
        <w:r w:rsidRPr="00814624">
          <w:rPr>
            <w:webHidden/>
          </w:rPr>
          <w:fldChar w:fldCharType="separate"/>
        </w:r>
        <w:r w:rsidRPr="00814624">
          <w:rPr>
            <w:webHidden/>
          </w:rPr>
          <w:t>3</w:t>
        </w:r>
        <w:r w:rsidRPr="00814624">
          <w:rPr>
            <w:webHidden/>
          </w:rPr>
          <w:fldChar w:fldCharType="end"/>
        </w:r>
      </w:hyperlink>
    </w:p>
    <w:p w14:paraId="39EFF02C" w14:textId="0E31D8A4" w:rsidR="00814624" w:rsidRPr="00814624" w:rsidRDefault="00814624" w:rsidP="00216F6D">
      <w:pPr>
        <w:pStyle w:val="TOC1"/>
        <w:spacing w:line="480" w:lineRule="auto"/>
        <w:rPr>
          <w:rFonts w:asciiTheme="minorHAnsi" w:hAnsiTheme="minorHAnsi" w:cstheme="minorBidi"/>
        </w:rPr>
      </w:pPr>
      <w:hyperlink w:anchor="_Toc208742923" w:history="1">
        <w:r w:rsidRPr="00814624">
          <w:rPr>
            <w:rStyle w:val="Hyperlink"/>
            <w:b w:val="0"/>
            <w:bCs w:val="0"/>
            <w:sz w:val="24"/>
            <w:szCs w:val="24"/>
          </w:rPr>
          <w:t>4.</w:t>
        </w:r>
        <w:r w:rsidRPr="00814624">
          <w:rPr>
            <w:rFonts w:asciiTheme="minorHAnsi" w:hAnsiTheme="minorHAnsi" w:cstheme="minorBidi"/>
          </w:rPr>
          <w:tab/>
        </w:r>
        <w:r w:rsidRPr="00814624">
          <w:rPr>
            <w:rStyle w:val="Hyperlink"/>
            <w:b w:val="0"/>
            <w:bCs w:val="0"/>
            <w:sz w:val="24"/>
            <w:szCs w:val="24"/>
          </w:rPr>
          <w:t>Coefficient Interpretation</w:t>
        </w:r>
        <w:r w:rsidRPr="00814624">
          <w:rPr>
            <w:webHidden/>
          </w:rPr>
          <w:tab/>
        </w:r>
        <w:r w:rsidRPr="00814624">
          <w:rPr>
            <w:webHidden/>
          </w:rPr>
          <w:fldChar w:fldCharType="begin"/>
        </w:r>
        <w:r w:rsidRPr="00814624">
          <w:rPr>
            <w:webHidden/>
          </w:rPr>
          <w:instrText xml:space="preserve"> PAGEREF _Toc208742923 \h </w:instrText>
        </w:r>
        <w:r w:rsidRPr="00814624">
          <w:rPr>
            <w:webHidden/>
          </w:rPr>
        </w:r>
        <w:r w:rsidRPr="00814624">
          <w:rPr>
            <w:webHidden/>
          </w:rPr>
          <w:fldChar w:fldCharType="separate"/>
        </w:r>
        <w:r w:rsidRPr="00814624">
          <w:rPr>
            <w:webHidden/>
          </w:rPr>
          <w:t>4</w:t>
        </w:r>
        <w:r w:rsidRPr="00814624">
          <w:rPr>
            <w:webHidden/>
          </w:rPr>
          <w:fldChar w:fldCharType="end"/>
        </w:r>
      </w:hyperlink>
    </w:p>
    <w:p w14:paraId="44DDA4D2" w14:textId="1ACC819B" w:rsidR="00814624" w:rsidRPr="00814624" w:rsidRDefault="00814624" w:rsidP="00216F6D">
      <w:pPr>
        <w:pStyle w:val="TOC1"/>
        <w:spacing w:line="480" w:lineRule="auto"/>
        <w:rPr>
          <w:rFonts w:asciiTheme="minorHAnsi" w:hAnsiTheme="minorHAnsi" w:cstheme="minorBidi"/>
        </w:rPr>
      </w:pPr>
      <w:hyperlink w:anchor="_Toc208742924" w:history="1">
        <w:r w:rsidRPr="00814624">
          <w:rPr>
            <w:rStyle w:val="Hyperlink"/>
            <w:b w:val="0"/>
            <w:bCs w:val="0"/>
            <w:sz w:val="24"/>
            <w:szCs w:val="24"/>
          </w:rPr>
          <w:t>5.</w:t>
        </w:r>
        <w:r w:rsidRPr="00814624">
          <w:rPr>
            <w:rFonts w:asciiTheme="minorHAnsi" w:hAnsiTheme="minorHAnsi" w:cstheme="minorBidi"/>
          </w:rPr>
          <w:tab/>
        </w:r>
        <w:r w:rsidRPr="00814624">
          <w:rPr>
            <w:rStyle w:val="Hyperlink"/>
            <w:b w:val="0"/>
            <w:bCs w:val="0"/>
            <w:sz w:val="24"/>
            <w:szCs w:val="24"/>
          </w:rPr>
          <w:t>Model Performance and Comparison</w:t>
        </w:r>
        <w:r w:rsidRPr="00814624">
          <w:rPr>
            <w:webHidden/>
          </w:rPr>
          <w:tab/>
        </w:r>
        <w:r w:rsidRPr="00814624">
          <w:rPr>
            <w:webHidden/>
          </w:rPr>
          <w:fldChar w:fldCharType="begin"/>
        </w:r>
        <w:r w:rsidRPr="00814624">
          <w:rPr>
            <w:webHidden/>
          </w:rPr>
          <w:instrText xml:space="preserve"> PAGEREF _Toc208742924 \h </w:instrText>
        </w:r>
        <w:r w:rsidRPr="00814624">
          <w:rPr>
            <w:webHidden/>
          </w:rPr>
        </w:r>
        <w:r w:rsidRPr="00814624">
          <w:rPr>
            <w:webHidden/>
          </w:rPr>
          <w:fldChar w:fldCharType="separate"/>
        </w:r>
        <w:r w:rsidRPr="00814624">
          <w:rPr>
            <w:webHidden/>
          </w:rPr>
          <w:t>6</w:t>
        </w:r>
        <w:r w:rsidRPr="00814624">
          <w:rPr>
            <w:webHidden/>
          </w:rPr>
          <w:fldChar w:fldCharType="end"/>
        </w:r>
      </w:hyperlink>
    </w:p>
    <w:p w14:paraId="0608E828" w14:textId="109359F0" w:rsidR="00814624" w:rsidRPr="00814624" w:rsidRDefault="00814624" w:rsidP="00216F6D">
      <w:pPr>
        <w:pStyle w:val="TOC1"/>
        <w:spacing w:line="480" w:lineRule="auto"/>
        <w:rPr>
          <w:rFonts w:asciiTheme="minorHAnsi" w:hAnsiTheme="minorHAnsi" w:cstheme="minorBidi"/>
        </w:rPr>
      </w:pPr>
      <w:hyperlink w:anchor="_Toc208742925" w:history="1">
        <w:r w:rsidRPr="00814624">
          <w:rPr>
            <w:rStyle w:val="Hyperlink"/>
            <w:b w:val="0"/>
            <w:bCs w:val="0"/>
            <w:sz w:val="24"/>
            <w:szCs w:val="24"/>
          </w:rPr>
          <w:t>6.</w:t>
        </w:r>
        <w:r w:rsidRPr="00814624">
          <w:rPr>
            <w:rFonts w:asciiTheme="minorHAnsi" w:hAnsiTheme="minorHAnsi" w:cstheme="minorBidi"/>
          </w:rPr>
          <w:tab/>
        </w:r>
        <w:r w:rsidRPr="00814624">
          <w:rPr>
            <w:rStyle w:val="Hyperlink"/>
            <w:b w:val="0"/>
            <w:bCs w:val="0"/>
            <w:sz w:val="24"/>
            <w:szCs w:val="24"/>
          </w:rPr>
          <w:t>Limitations and Recommendations</w:t>
        </w:r>
        <w:r w:rsidRPr="00814624">
          <w:rPr>
            <w:webHidden/>
          </w:rPr>
          <w:tab/>
        </w:r>
        <w:r w:rsidRPr="00814624">
          <w:rPr>
            <w:webHidden/>
          </w:rPr>
          <w:fldChar w:fldCharType="begin"/>
        </w:r>
        <w:r w:rsidRPr="00814624">
          <w:rPr>
            <w:webHidden/>
          </w:rPr>
          <w:instrText xml:space="preserve"> PAGEREF _Toc208742925 \h </w:instrText>
        </w:r>
        <w:r w:rsidRPr="00814624">
          <w:rPr>
            <w:webHidden/>
          </w:rPr>
        </w:r>
        <w:r w:rsidRPr="00814624">
          <w:rPr>
            <w:webHidden/>
          </w:rPr>
          <w:fldChar w:fldCharType="separate"/>
        </w:r>
        <w:r w:rsidRPr="00814624">
          <w:rPr>
            <w:webHidden/>
          </w:rPr>
          <w:t>8</w:t>
        </w:r>
        <w:r w:rsidRPr="00814624">
          <w:rPr>
            <w:webHidden/>
          </w:rPr>
          <w:fldChar w:fldCharType="end"/>
        </w:r>
      </w:hyperlink>
    </w:p>
    <w:p w14:paraId="1EBEEE2C" w14:textId="687BAE2B" w:rsidR="00814624" w:rsidRPr="00814624" w:rsidRDefault="00814624" w:rsidP="00216F6D">
      <w:pPr>
        <w:pStyle w:val="TOC1"/>
        <w:spacing w:line="480" w:lineRule="auto"/>
        <w:rPr>
          <w:rFonts w:asciiTheme="minorHAnsi" w:hAnsiTheme="minorHAnsi" w:cstheme="minorBidi"/>
        </w:rPr>
      </w:pPr>
      <w:hyperlink w:anchor="_Toc208742926" w:history="1">
        <w:r w:rsidRPr="00814624">
          <w:rPr>
            <w:rStyle w:val="Hyperlink"/>
            <w:b w:val="0"/>
            <w:bCs w:val="0"/>
            <w:sz w:val="24"/>
            <w:szCs w:val="24"/>
          </w:rPr>
          <w:t>References</w:t>
        </w:r>
        <w:r w:rsidRPr="00814624">
          <w:rPr>
            <w:webHidden/>
          </w:rPr>
          <w:tab/>
        </w:r>
        <w:r w:rsidRPr="00814624">
          <w:rPr>
            <w:webHidden/>
          </w:rPr>
          <w:fldChar w:fldCharType="begin"/>
        </w:r>
        <w:r w:rsidRPr="00814624">
          <w:rPr>
            <w:webHidden/>
          </w:rPr>
          <w:instrText xml:space="preserve"> PAGEREF _Toc208742926 \h </w:instrText>
        </w:r>
        <w:r w:rsidRPr="00814624">
          <w:rPr>
            <w:webHidden/>
          </w:rPr>
        </w:r>
        <w:r w:rsidRPr="00814624">
          <w:rPr>
            <w:webHidden/>
          </w:rPr>
          <w:fldChar w:fldCharType="separate"/>
        </w:r>
        <w:r w:rsidRPr="00814624">
          <w:rPr>
            <w:webHidden/>
          </w:rPr>
          <w:t>9</w:t>
        </w:r>
        <w:r w:rsidRPr="00814624">
          <w:rPr>
            <w:webHidden/>
          </w:rPr>
          <w:fldChar w:fldCharType="end"/>
        </w:r>
      </w:hyperlink>
    </w:p>
    <w:p w14:paraId="3FF3E860" w14:textId="1DC3C4D6" w:rsidR="0091192C" w:rsidRPr="00814624" w:rsidRDefault="00814624" w:rsidP="00216F6D">
      <w:pPr>
        <w:pStyle w:val="TOC1"/>
        <w:spacing w:line="480" w:lineRule="auto"/>
        <w:sectPr w:rsidR="0091192C" w:rsidRPr="00814624" w:rsidSect="00D80139">
          <w:type w:val="continuous"/>
          <w:pgSz w:w="11906" w:h="16838"/>
          <w:pgMar w:top="1440" w:right="1440" w:bottom="1440" w:left="1440" w:header="709" w:footer="709" w:gutter="0"/>
          <w:cols w:space="113"/>
          <w:docGrid w:linePitch="360"/>
        </w:sectPr>
      </w:pPr>
      <w:r w:rsidRPr="00814624">
        <w:rPr>
          <w:rStyle w:val="Hyperlink"/>
          <w:b w:val="0"/>
          <w:bCs w:val="0"/>
          <w:sz w:val="24"/>
          <w:szCs w:val="24"/>
          <w:u w:val="none"/>
        </w:rPr>
        <w:fldChar w:fldCharType="end"/>
      </w:r>
    </w:p>
    <w:p w14:paraId="17E111BB" w14:textId="4B9C1307" w:rsidR="005E5D8F" w:rsidRPr="005E5D8F" w:rsidRDefault="004659F6" w:rsidP="00216F6D">
      <w:pPr>
        <w:pStyle w:val="TableofFigures"/>
        <w:tabs>
          <w:tab w:val="right" w:leader="dot" w:pos="9016"/>
        </w:tabs>
        <w:spacing w:after="240" w:line="480" w:lineRule="auto"/>
        <w:jc w:val="center"/>
        <w:rPr>
          <w:rFonts w:ascii="Times New Roman" w:hAnsi="Times New Roman" w:cs="Times New Roman"/>
          <w:b/>
          <w:bCs/>
          <w:sz w:val="26"/>
          <w:szCs w:val="26"/>
        </w:rPr>
      </w:pPr>
      <w:r w:rsidRPr="005E5D8F">
        <w:rPr>
          <w:rFonts w:ascii="Times New Roman" w:hAnsi="Times New Roman" w:cs="Times New Roman"/>
          <w:b/>
          <w:bCs/>
          <w:sz w:val="26"/>
          <w:szCs w:val="26"/>
        </w:rPr>
        <w:t>TABLE OF FIGURES</w:t>
      </w:r>
    </w:p>
    <w:p w14:paraId="04C13C98" w14:textId="000D4372"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r w:rsidRPr="005E5D8F">
        <w:rPr>
          <w:rFonts w:ascii="Times New Roman" w:hAnsi="Times New Roman" w:cs="Times New Roman"/>
        </w:rPr>
        <w:fldChar w:fldCharType="begin"/>
      </w:r>
      <w:r w:rsidRPr="005E5D8F">
        <w:rPr>
          <w:rFonts w:ascii="Times New Roman" w:hAnsi="Times New Roman" w:cs="Times New Roman"/>
        </w:rPr>
        <w:instrText xml:space="preserve"> TOC \h \z \t "Subtitle" \c </w:instrText>
      </w:r>
      <w:r w:rsidRPr="005E5D8F">
        <w:rPr>
          <w:rFonts w:ascii="Times New Roman" w:hAnsi="Times New Roman" w:cs="Times New Roman"/>
        </w:rPr>
        <w:fldChar w:fldCharType="separate"/>
      </w:r>
      <w:hyperlink w:anchor="_Toc208742957" w:history="1">
        <w:r w:rsidRPr="005E5D8F">
          <w:rPr>
            <w:rStyle w:val="Hyperlink"/>
            <w:rFonts w:ascii="Times New Roman" w:hAnsi="Times New Roman" w:cs="Times New Roman"/>
            <w:iCs/>
            <w:noProof/>
          </w:rPr>
          <w:t>Figure 1: Decision Tree</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_Toc208742957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2</w:t>
        </w:r>
        <w:r w:rsidRPr="005E5D8F">
          <w:rPr>
            <w:rFonts w:ascii="Times New Roman" w:hAnsi="Times New Roman" w:cs="Times New Roman"/>
            <w:noProof/>
            <w:webHidden/>
          </w:rPr>
          <w:fldChar w:fldCharType="end"/>
        </w:r>
      </w:hyperlink>
    </w:p>
    <w:p w14:paraId="043E5084" w14:textId="40321E38"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58" w:history="1">
        <w:r w:rsidRPr="005E5D8F">
          <w:rPr>
            <w:rStyle w:val="Hyperlink"/>
            <w:rFonts w:ascii="Times New Roman" w:hAnsi="Times New Roman" w:cs="Times New Roman"/>
            <w:noProof/>
          </w:rPr>
          <w:t>Figure 2: Data Collection and Selection</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_Toc208742958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3</w:t>
        </w:r>
        <w:r w:rsidRPr="005E5D8F">
          <w:rPr>
            <w:rFonts w:ascii="Times New Roman" w:hAnsi="Times New Roman" w:cs="Times New Roman"/>
            <w:noProof/>
            <w:webHidden/>
          </w:rPr>
          <w:fldChar w:fldCharType="end"/>
        </w:r>
      </w:hyperlink>
    </w:p>
    <w:p w14:paraId="65A37B64" w14:textId="5F8812E3"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59" w:history="1">
        <w:r w:rsidRPr="005E5D8F">
          <w:rPr>
            <w:rStyle w:val="Hyperlink"/>
            <w:rFonts w:ascii="Times New Roman" w:hAnsi="Times New Roman" w:cs="Times New Roman"/>
            <w:noProof/>
          </w:rPr>
          <w:t>Figure 3: Result of Data Selection and Preparation</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_Toc208742959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3</w:t>
        </w:r>
        <w:r w:rsidRPr="005E5D8F">
          <w:rPr>
            <w:rFonts w:ascii="Times New Roman" w:hAnsi="Times New Roman" w:cs="Times New Roman"/>
            <w:noProof/>
            <w:webHidden/>
          </w:rPr>
          <w:fldChar w:fldCharType="end"/>
        </w:r>
      </w:hyperlink>
    </w:p>
    <w:p w14:paraId="4BC1A84F" w14:textId="5732F2FD"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60" w:history="1">
        <w:r w:rsidRPr="005E5D8F">
          <w:rPr>
            <w:rStyle w:val="Hyperlink"/>
            <w:rFonts w:ascii="Times New Roman" w:hAnsi="Times New Roman" w:cs="Times New Roman"/>
            <w:noProof/>
          </w:rPr>
          <w:t>Figure 4: The total assets indicating firm size (Lopez, 2004)</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_Toc208742960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4</w:t>
        </w:r>
        <w:r w:rsidRPr="005E5D8F">
          <w:rPr>
            <w:rFonts w:ascii="Times New Roman" w:hAnsi="Times New Roman" w:cs="Times New Roman"/>
            <w:noProof/>
            <w:webHidden/>
          </w:rPr>
          <w:fldChar w:fldCharType="end"/>
        </w:r>
      </w:hyperlink>
    </w:p>
    <w:p w14:paraId="5F62B7A3" w14:textId="26731039"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61" w:history="1">
        <w:r w:rsidRPr="005E5D8F">
          <w:rPr>
            <w:rStyle w:val="Hyperlink"/>
            <w:rFonts w:ascii="Times New Roman" w:hAnsi="Times New Roman" w:cs="Times New Roman"/>
            <w:noProof/>
          </w:rPr>
          <w:t>Figure 5: Correlation matrix between variables and ‘Default’</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_Toc208742961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6</w:t>
        </w:r>
        <w:r w:rsidRPr="005E5D8F">
          <w:rPr>
            <w:rFonts w:ascii="Times New Roman" w:hAnsi="Times New Roman" w:cs="Times New Roman"/>
            <w:noProof/>
            <w:webHidden/>
          </w:rPr>
          <w:fldChar w:fldCharType="end"/>
        </w:r>
      </w:hyperlink>
    </w:p>
    <w:p w14:paraId="692BD95B" w14:textId="2C7A4EFF"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62" w:history="1">
        <w:r w:rsidRPr="005E5D8F">
          <w:rPr>
            <w:rStyle w:val="Hyperlink"/>
            <w:rFonts w:ascii="Times New Roman" w:hAnsi="Times New Roman" w:cs="Times New Roman"/>
            <w:noProof/>
          </w:rPr>
          <w:t>Figure 6: Model performance of Decision Tree (before data scaling)</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_Toc208742962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6</w:t>
        </w:r>
        <w:r w:rsidRPr="005E5D8F">
          <w:rPr>
            <w:rFonts w:ascii="Times New Roman" w:hAnsi="Times New Roman" w:cs="Times New Roman"/>
            <w:noProof/>
            <w:webHidden/>
          </w:rPr>
          <w:fldChar w:fldCharType="end"/>
        </w:r>
      </w:hyperlink>
    </w:p>
    <w:p w14:paraId="523E5C89" w14:textId="79EE5065"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63" w:history="1">
        <w:r w:rsidRPr="005E5D8F">
          <w:rPr>
            <w:rStyle w:val="Hyperlink"/>
            <w:rFonts w:ascii="Times New Roman" w:hAnsi="Times New Roman" w:cs="Times New Roman"/>
            <w:noProof/>
          </w:rPr>
          <w:t>Figure 7: Model Performance of Decision Tree (after data scaling)</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_Toc208742963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7</w:t>
        </w:r>
        <w:r w:rsidRPr="005E5D8F">
          <w:rPr>
            <w:rFonts w:ascii="Times New Roman" w:hAnsi="Times New Roman" w:cs="Times New Roman"/>
            <w:noProof/>
            <w:webHidden/>
          </w:rPr>
          <w:fldChar w:fldCharType="end"/>
        </w:r>
      </w:hyperlink>
    </w:p>
    <w:p w14:paraId="3D70E3DD" w14:textId="7E780EBF"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64" w:history="1">
        <w:r w:rsidRPr="005E5D8F">
          <w:rPr>
            <w:rStyle w:val="Hyperlink"/>
            <w:rFonts w:ascii="Times New Roman" w:hAnsi="Times New Roman" w:cs="Times New Roman"/>
            <w:noProof/>
          </w:rPr>
          <w:t>Figure 8: Current Model compared to Original Base Line Model</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_Toc208742964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7</w:t>
        </w:r>
        <w:r w:rsidRPr="005E5D8F">
          <w:rPr>
            <w:rFonts w:ascii="Times New Roman" w:hAnsi="Times New Roman" w:cs="Times New Roman"/>
            <w:noProof/>
            <w:webHidden/>
          </w:rPr>
          <w:fldChar w:fldCharType="end"/>
        </w:r>
      </w:hyperlink>
    </w:p>
    <w:p w14:paraId="2EE264EF" w14:textId="05952921" w:rsidR="005E5D8F" w:rsidRPr="005E5D8F" w:rsidRDefault="005E5D8F" w:rsidP="00216F6D">
      <w:pPr>
        <w:pStyle w:val="TableofFigures"/>
        <w:tabs>
          <w:tab w:val="right" w:leader="dot" w:pos="9016"/>
        </w:tabs>
        <w:spacing w:after="240" w:line="480" w:lineRule="auto"/>
        <w:rPr>
          <w:rFonts w:ascii="Times New Roman" w:hAnsi="Times New Roman" w:cs="Times New Roman"/>
          <w:noProof/>
        </w:rPr>
      </w:pPr>
      <w:hyperlink w:anchor="_Toc208742965" w:history="1">
        <w:r w:rsidRPr="005E5D8F">
          <w:rPr>
            <w:rStyle w:val="Hyperlink"/>
            <w:rFonts w:ascii="Times New Roman" w:hAnsi="Times New Roman" w:cs="Times New Roman"/>
            <w:noProof/>
          </w:rPr>
          <w:t>Figure 9: Comparison between Decision Tree and other ML models (R</w:t>
        </w:r>
        <w:r w:rsidRPr="005E5D8F">
          <w:rPr>
            <w:rStyle w:val="Hyperlink"/>
            <w:rFonts w:ascii="Times New Roman" w:hAnsi="Times New Roman" w:cs="Times New Roman"/>
            <w:noProof/>
            <w:vertAlign w:val="superscript"/>
          </w:rPr>
          <w:t xml:space="preserve">2 </w:t>
        </w:r>
        <w:r w:rsidRPr="005E5D8F">
          <w:rPr>
            <w:rStyle w:val="Hyperlink"/>
            <w:rFonts w:ascii="Times New Roman" w:hAnsi="Times New Roman" w:cs="Times New Roman"/>
            <w:noProof/>
          </w:rPr>
          <w:t>&amp; ROC curve)</w:t>
        </w:r>
        <w:r w:rsidRPr="005E5D8F">
          <w:rPr>
            <w:rFonts w:ascii="Times New Roman" w:hAnsi="Times New Roman" w:cs="Times New Roman"/>
            <w:noProof/>
            <w:webHidden/>
          </w:rPr>
          <w:tab/>
        </w:r>
        <w:r w:rsidRPr="005E5D8F">
          <w:rPr>
            <w:rFonts w:ascii="Times New Roman" w:hAnsi="Times New Roman" w:cs="Times New Roman"/>
            <w:noProof/>
            <w:webHidden/>
          </w:rPr>
          <w:fldChar w:fldCharType="begin"/>
        </w:r>
        <w:r w:rsidRPr="005E5D8F">
          <w:rPr>
            <w:rFonts w:ascii="Times New Roman" w:hAnsi="Times New Roman" w:cs="Times New Roman"/>
            <w:noProof/>
            <w:webHidden/>
          </w:rPr>
          <w:instrText xml:space="preserve"> PAGEREF _Toc208742965 \h </w:instrText>
        </w:r>
        <w:r w:rsidRPr="005E5D8F">
          <w:rPr>
            <w:rFonts w:ascii="Times New Roman" w:hAnsi="Times New Roman" w:cs="Times New Roman"/>
            <w:noProof/>
            <w:webHidden/>
          </w:rPr>
        </w:r>
        <w:r w:rsidRPr="005E5D8F">
          <w:rPr>
            <w:rFonts w:ascii="Times New Roman" w:hAnsi="Times New Roman" w:cs="Times New Roman"/>
            <w:noProof/>
            <w:webHidden/>
          </w:rPr>
          <w:fldChar w:fldCharType="separate"/>
        </w:r>
        <w:r w:rsidRPr="005E5D8F">
          <w:rPr>
            <w:rFonts w:ascii="Times New Roman" w:hAnsi="Times New Roman" w:cs="Times New Roman"/>
            <w:noProof/>
            <w:webHidden/>
          </w:rPr>
          <w:t>8</w:t>
        </w:r>
        <w:r w:rsidRPr="005E5D8F">
          <w:rPr>
            <w:rFonts w:ascii="Times New Roman" w:hAnsi="Times New Roman" w:cs="Times New Roman"/>
            <w:noProof/>
            <w:webHidden/>
          </w:rPr>
          <w:fldChar w:fldCharType="end"/>
        </w:r>
      </w:hyperlink>
    </w:p>
    <w:p w14:paraId="45CDB7B4" w14:textId="5C582C79" w:rsidR="005E5D8F" w:rsidRPr="00787E0D" w:rsidRDefault="005E5D8F" w:rsidP="00787E0D">
      <w:pPr>
        <w:spacing w:after="240" w:line="480" w:lineRule="auto"/>
        <w:rPr>
          <w:rFonts w:ascii="Times New Roman" w:hAnsi="Times New Roman" w:cs="Times New Roman"/>
        </w:rPr>
        <w:sectPr w:rsidR="005E5D8F" w:rsidRPr="00787E0D" w:rsidSect="0091192C">
          <w:pgSz w:w="11906" w:h="16838"/>
          <w:pgMar w:top="1440" w:right="1440" w:bottom="1440" w:left="1440" w:header="709" w:footer="709" w:gutter="0"/>
          <w:cols w:space="113"/>
          <w:docGrid w:linePitch="360"/>
        </w:sectPr>
      </w:pPr>
      <w:r w:rsidRPr="005E5D8F">
        <w:rPr>
          <w:rFonts w:ascii="Times New Roman" w:hAnsi="Times New Roman" w:cs="Times New Roman"/>
        </w:rPr>
        <w:fldChar w:fldCharType="end"/>
      </w:r>
      <w:bookmarkStart w:id="0" w:name="_Toc208742920"/>
    </w:p>
    <w:p w14:paraId="7D4A4299" w14:textId="5CD68BBF" w:rsidR="00BD5F71" w:rsidRPr="003C58FF" w:rsidRDefault="000B2B5A" w:rsidP="00216F6D">
      <w:pPr>
        <w:pStyle w:val="Heading1"/>
        <w:numPr>
          <w:ilvl w:val="0"/>
          <w:numId w:val="1"/>
        </w:numPr>
        <w:spacing w:before="0" w:after="0" w:line="480" w:lineRule="auto"/>
        <w:ind w:left="360"/>
        <w:jc w:val="both"/>
        <w:rPr>
          <w:rFonts w:ascii="Times New Roman" w:hAnsi="Times New Roman" w:cs="Times New Roman"/>
          <w:b/>
          <w:bCs/>
          <w:sz w:val="24"/>
          <w:szCs w:val="24"/>
        </w:rPr>
      </w:pPr>
      <w:r>
        <w:rPr>
          <w:rFonts w:ascii="Times New Roman" w:hAnsi="Times New Roman" w:cs="Times New Roman"/>
          <w:b/>
          <w:bCs/>
          <w:sz w:val="24"/>
          <w:szCs w:val="24"/>
        </w:rPr>
        <w:t>Introduction</w:t>
      </w:r>
      <w:bookmarkEnd w:id="0"/>
    </w:p>
    <w:p w14:paraId="26148810" w14:textId="77777777" w:rsidR="00251796" w:rsidRDefault="00F675B3" w:rsidP="00216F6D">
      <w:pPr>
        <w:spacing w:after="0" w:line="480" w:lineRule="auto"/>
        <w:rPr>
          <w:rFonts w:ascii="Times New Roman" w:hAnsi="Times New Roman" w:cs="Times New Roman"/>
          <w:sz w:val="22"/>
          <w:szCs w:val="22"/>
        </w:rPr>
      </w:pPr>
      <w:r w:rsidRPr="00F675B3">
        <w:rPr>
          <w:rFonts w:ascii="Times New Roman" w:hAnsi="Times New Roman" w:cs="Times New Roman"/>
          <w:sz w:val="22"/>
          <w:szCs w:val="22"/>
        </w:rPr>
        <w:t>This report aims to predict the probability of default risk which is affected by financial and firm-level variables. In particular, the key model implemented is Decision Tree, supported by comparative analysis with Logistic Regression, Random Forest, and Support Vector Classifier to compare their</w:t>
      </w:r>
      <w:r w:rsidR="00780F8D">
        <w:rPr>
          <w:rFonts w:ascii="Times New Roman" w:hAnsi="Times New Roman" w:cs="Times New Roman"/>
          <w:sz w:val="22"/>
          <w:szCs w:val="22"/>
        </w:rPr>
        <w:t xml:space="preserve"> </w:t>
      </w:r>
      <w:r w:rsidR="00251796">
        <w:rPr>
          <w:rFonts w:ascii="Times New Roman" w:hAnsi="Times New Roman" w:cs="Times New Roman"/>
          <w:sz w:val="22"/>
          <w:szCs w:val="22"/>
        </w:rPr>
        <w:t>performance</w:t>
      </w:r>
      <w:r w:rsidRPr="00F675B3">
        <w:rPr>
          <w:rFonts w:ascii="Times New Roman" w:hAnsi="Times New Roman" w:cs="Times New Roman"/>
          <w:sz w:val="22"/>
          <w:szCs w:val="22"/>
        </w:rPr>
        <w:t xml:space="preserve">. </w:t>
      </w:r>
    </w:p>
    <w:p w14:paraId="56B0D5FE" w14:textId="77777777" w:rsidR="00C73709" w:rsidRDefault="00C73709" w:rsidP="00216F6D">
      <w:pPr>
        <w:spacing w:after="0" w:line="480" w:lineRule="auto"/>
        <w:rPr>
          <w:rFonts w:ascii="Times New Roman" w:hAnsi="Times New Roman" w:cs="Times New Roman"/>
          <w:sz w:val="22"/>
          <w:szCs w:val="22"/>
        </w:rPr>
      </w:pPr>
    </w:p>
    <w:p w14:paraId="79F5756C" w14:textId="62947398" w:rsidR="00C73709" w:rsidRPr="00286FD1" w:rsidRDefault="00F675B3" w:rsidP="00216F6D">
      <w:pPr>
        <w:spacing w:after="0" w:line="480" w:lineRule="auto"/>
        <w:rPr>
          <w:rFonts w:ascii="Times New Roman" w:hAnsi="Times New Roman" w:cs="Times New Roman" w:hint="eastAsia"/>
          <w:sz w:val="22"/>
          <w:szCs w:val="22"/>
        </w:rPr>
      </w:pPr>
      <w:r w:rsidRPr="00F675B3">
        <w:rPr>
          <w:rFonts w:ascii="Times New Roman" w:hAnsi="Times New Roman" w:cs="Times New Roman"/>
          <w:sz w:val="22"/>
          <w:szCs w:val="22"/>
        </w:rPr>
        <w:t>Decision tree</w:t>
      </w:r>
      <w:r w:rsidR="00D44D9B">
        <w:rPr>
          <w:rFonts w:ascii="Times New Roman" w:hAnsi="Times New Roman" w:cs="Times New Roman"/>
          <w:sz w:val="22"/>
          <w:szCs w:val="22"/>
        </w:rPr>
        <w:t>, classification algorithm,</w:t>
      </w:r>
      <w:r w:rsidRPr="00F675B3">
        <w:rPr>
          <w:rFonts w:ascii="Times New Roman" w:hAnsi="Times New Roman" w:cs="Times New Roman"/>
          <w:sz w:val="22"/>
          <w:szCs w:val="22"/>
        </w:rPr>
        <w:t xml:space="preserve"> produce basic if-then rules</w:t>
      </w:r>
      <w:r w:rsidR="007609AF">
        <w:rPr>
          <w:rFonts w:ascii="Times New Roman" w:hAnsi="Times New Roman" w:cs="Times New Roman"/>
          <w:sz w:val="22"/>
          <w:szCs w:val="22"/>
        </w:rPr>
        <w:t xml:space="preserve"> </w:t>
      </w:r>
      <w:r w:rsidRPr="00F675B3">
        <w:rPr>
          <w:rFonts w:ascii="Times New Roman" w:hAnsi="Times New Roman" w:cs="Times New Roman"/>
          <w:sz w:val="22"/>
          <w:szCs w:val="22"/>
        </w:rPr>
        <w:t>for the data to construct a tree-based method where any path starting at the root is illustrated by a series of data that separates until a Boolean result</w:t>
      </w:r>
      <w:r w:rsidR="00DE451D">
        <w:rPr>
          <w:rFonts w:ascii="Times New Roman" w:hAnsi="Times New Roman" w:cs="Times New Roman"/>
          <w:sz w:val="22"/>
          <w:szCs w:val="22"/>
        </w:rPr>
        <w:t xml:space="preserve"> </w:t>
      </w:r>
      <w:r w:rsidRPr="00F675B3">
        <w:rPr>
          <w:rFonts w:ascii="Times New Roman" w:hAnsi="Times New Roman" w:cs="Times New Roman"/>
          <w:sz w:val="22"/>
          <w:szCs w:val="22"/>
        </w:rPr>
        <w:t>is attained at a leaf node</w:t>
      </w:r>
      <w:r w:rsidR="00766303">
        <w:rPr>
          <w:rFonts w:ascii="Times New Roman" w:hAnsi="Times New Roman" w:cs="Times New Roman"/>
          <w:sz w:val="22"/>
          <w:szCs w:val="22"/>
        </w:rPr>
        <w:t>, which are predicted outcomes</w:t>
      </w:r>
      <w:r w:rsidRPr="00F675B3">
        <w:rPr>
          <w:rFonts w:ascii="Times New Roman" w:hAnsi="Times New Roman" w:cs="Times New Roman"/>
          <w:sz w:val="22"/>
          <w:szCs w:val="22"/>
        </w:rPr>
        <w:t xml:space="preserve"> (International Conference on Computational Science and Computational Intelligence, 2019)</w:t>
      </w:r>
      <w:r w:rsidR="000A225C">
        <w:rPr>
          <w:rFonts w:ascii="Times New Roman" w:hAnsi="Times New Roman" w:cs="Times New Roman"/>
          <w:sz w:val="22"/>
          <w:szCs w:val="22"/>
        </w:rPr>
        <w:t>. Specifically,</w:t>
      </w:r>
      <w:r w:rsidR="000A225C">
        <w:t xml:space="preserve"> </w:t>
      </w:r>
      <w:r w:rsidR="00EA5BD4">
        <w:rPr>
          <w:rFonts w:ascii="Times New Roman" w:hAnsi="Times New Roman" w:cs="Times New Roman"/>
          <w:sz w:val="22"/>
          <w:szCs w:val="22"/>
        </w:rPr>
        <w:t xml:space="preserve">this </w:t>
      </w:r>
      <w:r w:rsidR="00100B92">
        <w:rPr>
          <w:rFonts w:ascii="Times New Roman" w:hAnsi="Times New Roman" w:cs="Times New Roman"/>
          <w:sz w:val="22"/>
          <w:szCs w:val="22"/>
        </w:rPr>
        <w:t>is composed of nodes and branches</w:t>
      </w:r>
      <w:r w:rsidR="0023116A">
        <w:rPr>
          <w:rFonts w:ascii="Times New Roman" w:hAnsi="Times New Roman" w:cs="Times New Roman"/>
          <w:sz w:val="22"/>
          <w:szCs w:val="22"/>
        </w:rPr>
        <w:t xml:space="preserve">, </w:t>
      </w:r>
      <w:r w:rsidR="0051277A">
        <w:rPr>
          <w:rFonts w:ascii="Times New Roman" w:hAnsi="Times New Roman" w:cs="Times New Roman"/>
          <w:sz w:val="22"/>
          <w:szCs w:val="22"/>
        </w:rPr>
        <w:t>n</w:t>
      </w:r>
      <w:r w:rsidR="00A17D05" w:rsidRPr="00A17D05">
        <w:rPr>
          <w:rFonts w:ascii="Times New Roman" w:hAnsi="Times New Roman" w:cs="Times New Roman"/>
          <w:sz w:val="22"/>
          <w:szCs w:val="22"/>
        </w:rPr>
        <w:t>odes represent features, and branches correspond to variable ranges</w:t>
      </w:r>
      <w:r w:rsidR="0058580D" w:rsidRPr="0058580D">
        <w:rPr>
          <w:rFonts w:ascii="Times New Roman" w:hAnsi="Times New Roman" w:cs="Times New Roman"/>
          <w:sz w:val="22"/>
          <w:szCs w:val="22"/>
        </w:rPr>
        <w:t xml:space="preserve"> (</w:t>
      </w:r>
      <w:proofErr w:type="spellStart"/>
      <w:r w:rsidR="0058580D" w:rsidRPr="0058580D">
        <w:rPr>
          <w:rFonts w:ascii="Times New Roman" w:hAnsi="Times New Roman" w:cs="Times New Roman"/>
          <w:sz w:val="22"/>
          <w:szCs w:val="22"/>
        </w:rPr>
        <w:t>Charbuty</w:t>
      </w:r>
      <w:proofErr w:type="spellEnd"/>
      <w:r w:rsidR="0058580D" w:rsidRPr="0058580D">
        <w:rPr>
          <w:rFonts w:ascii="Times New Roman" w:hAnsi="Times New Roman" w:cs="Times New Roman"/>
        </w:rPr>
        <w:t xml:space="preserve"> </w:t>
      </w:r>
      <w:r w:rsidR="0058580D" w:rsidRPr="0058580D">
        <w:rPr>
          <w:rFonts w:ascii="Times New Roman" w:hAnsi="Times New Roman" w:cs="Times New Roman"/>
          <w:sz w:val="22"/>
          <w:szCs w:val="22"/>
        </w:rPr>
        <w:t>&amp; Abdulazeez</w:t>
      </w:r>
      <w:r w:rsidR="0058580D" w:rsidRPr="0058580D">
        <w:rPr>
          <w:rFonts w:ascii="Times New Roman" w:hAnsi="Times New Roman" w:cs="Times New Roman"/>
        </w:rPr>
        <w:t xml:space="preserve">, </w:t>
      </w:r>
      <w:r w:rsidR="0058580D" w:rsidRPr="0058580D">
        <w:rPr>
          <w:rFonts w:ascii="Times New Roman" w:hAnsi="Times New Roman" w:cs="Times New Roman"/>
          <w:sz w:val="22"/>
          <w:szCs w:val="22"/>
        </w:rPr>
        <w:t>2021)</w:t>
      </w:r>
      <w:r w:rsidR="00F75EE8" w:rsidRPr="0058580D">
        <w:rPr>
          <w:rFonts w:ascii="Times New Roman" w:hAnsi="Times New Roman" w:cs="Times New Roman"/>
          <w:sz w:val="22"/>
          <w:szCs w:val="22"/>
        </w:rPr>
        <w:t>,</w:t>
      </w:r>
      <w:r w:rsidR="00F75EE8">
        <w:rPr>
          <w:rFonts w:ascii="Times New Roman" w:hAnsi="Times New Roman" w:cs="Times New Roman"/>
          <w:sz w:val="22"/>
          <w:szCs w:val="22"/>
        </w:rPr>
        <w:t xml:space="preserve"> </w:t>
      </w:r>
      <w:r w:rsidR="005B4B04" w:rsidRPr="005B4B04">
        <w:rPr>
          <w:rFonts w:ascii="Times New Roman" w:hAnsi="Times New Roman" w:cs="Times New Roman"/>
          <w:sz w:val="22"/>
          <w:szCs w:val="22"/>
        </w:rPr>
        <w:t>dividing the firms progressively until one of the leaf nodes contains a classification of default or non-default</w:t>
      </w:r>
      <w:r w:rsidRPr="00F675B3">
        <w:rPr>
          <w:rFonts w:ascii="Times New Roman" w:hAnsi="Times New Roman" w:cs="Times New Roman"/>
          <w:sz w:val="22"/>
          <w:szCs w:val="22"/>
        </w:rPr>
        <w:t>. Random forests, as ensembles, reduce overfitting and capture nonlinear patterns but sacrifice transparency. Logistic regression, using the sigmoid function, offers stability and clear interpretability. Meanwhile, SVCs maximise class margins and, with kernels, model complex relationships.</w:t>
      </w:r>
    </w:p>
    <w:p w14:paraId="365F94FB" w14:textId="25B758E3" w:rsidR="009F259A" w:rsidRDefault="00713295" w:rsidP="00216F6D">
      <w:pPr>
        <w:spacing w:after="0" w:line="480" w:lineRule="auto"/>
        <w:ind w:left="2160"/>
        <w:jc w:val="both"/>
        <w:rPr>
          <w:rFonts w:ascii="Times New Roman" w:hAnsi="Times New Roman" w:cs="Times New Roman"/>
          <w:sz w:val="22"/>
          <w:szCs w:val="22"/>
        </w:rPr>
      </w:pPr>
      <w:r w:rsidRPr="00713295">
        <w:rPr>
          <w:rFonts w:ascii="Times New Roman" w:hAnsi="Times New Roman" w:cs="Times New Roman"/>
          <w:noProof/>
          <w:sz w:val="22"/>
          <w:szCs w:val="22"/>
        </w:rPr>
        <w:drawing>
          <wp:inline distT="0" distB="0" distL="0" distR="0" wp14:anchorId="05D9C599" wp14:editId="01B859A7">
            <wp:extent cx="3124200" cy="2043253"/>
            <wp:effectExtent l="0" t="0" r="0" b="0"/>
            <wp:docPr id="183604340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43400" name="Picture 1" descr="A diagram of a tree&#10;&#10;AI-generated content may be incorrect."/>
                    <pic:cNvPicPr/>
                  </pic:nvPicPr>
                  <pic:blipFill>
                    <a:blip r:embed="rId9"/>
                    <a:stretch>
                      <a:fillRect/>
                    </a:stretch>
                  </pic:blipFill>
                  <pic:spPr>
                    <a:xfrm>
                      <a:off x="0" y="0"/>
                      <a:ext cx="3132656" cy="2048783"/>
                    </a:xfrm>
                    <a:prstGeom prst="rect">
                      <a:avLst/>
                    </a:prstGeom>
                  </pic:spPr>
                </pic:pic>
              </a:graphicData>
            </a:graphic>
          </wp:inline>
        </w:drawing>
      </w:r>
    </w:p>
    <w:p w14:paraId="17BD469C" w14:textId="02262397" w:rsidR="00EB0500" w:rsidRPr="00ED39C5" w:rsidRDefault="00EB0500" w:rsidP="00216F6D">
      <w:pPr>
        <w:pStyle w:val="Subtitle"/>
        <w:spacing w:after="0" w:line="480" w:lineRule="auto"/>
        <w:jc w:val="center"/>
        <w:rPr>
          <w:rStyle w:val="SubtleEmphasis"/>
          <w:rFonts w:ascii="Times New Roman" w:hAnsi="Times New Roman" w:cs="Times New Roman"/>
          <w:i w:val="0"/>
          <w:sz w:val="20"/>
          <w:szCs w:val="20"/>
        </w:rPr>
      </w:pPr>
      <w:bookmarkStart w:id="1" w:name="_Toc208742957"/>
      <w:r w:rsidRPr="00E97049">
        <w:rPr>
          <w:rStyle w:val="SubtleEmphasis"/>
          <w:rFonts w:ascii="Times New Roman" w:hAnsi="Times New Roman" w:cs="Times New Roman"/>
          <w:i w:val="0"/>
          <w:sz w:val="20"/>
          <w:szCs w:val="20"/>
        </w:rPr>
        <w:t>Figure 1: Decision Tree</w:t>
      </w:r>
      <w:bookmarkEnd w:id="1"/>
    </w:p>
    <w:p w14:paraId="3A040B7B" w14:textId="77777777" w:rsidR="00251796" w:rsidRPr="00ED39C5" w:rsidRDefault="00251796" w:rsidP="00216F6D">
      <w:pPr>
        <w:spacing w:after="0" w:line="480" w:lineRule="auto"/>
        <w:rPr>
          <w:rFonts w:ascii="Times New Roman" w:hAnsi="Times New Roman" w:cs="Times New Roman"/>
          <w:sz w:val="20"/>
          <w:szCs w:val="20"/>
        </w:rPr>
      </w:pPr>
    </w:p>
    <w:p w14:paraId="0BE333E8" w14:textId="4A8105B8" w:rsidR="009F259A" w:rsidRPr="00B62207" w:rsidRDefault="00851315"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 xml:space="preserve">The variables include debt-to-asset ratio, current ratio, return on assets (ROA), firm size, cash flow, ESG score, and industry, grouped into financial ratios and macroeconomic indicators as determinants of default risk. </w:t>
      </w:r>
      <w:r w:rsidR="00926B73" w:rsidRPr="00803C62">
        <w:rPr>
          <w:rFonts w:ascii="Times New Roman" w:hAnsi="Times New Roman" w:cs="Times New Roman"/>
          <w:sz w:val="22"/>
          <w:szCs w:val="22"/>
        </w:rPr>
        <w:t>Regression</w:t>
      </w:r>
      <w:r w:rsidRPr="00803C62">
        <w:rPr>
          <w:rFonts w:ascii="Times New Roman" w:hAnsi="Times New Roman" w:cs="Times New Roman"/>
          <w:sz w:val="22"/>
          <w:szCs w:val="22"/>
        </w:rPr>
        <w:t>-based prediction</w:t>
      </w:r>
      <w:r w:rsidR="00926B73" w:rsidRPr="00803C62">
        <w:rPr>
          <w:rFonts w:ascii="Times New Roman" w:hAnsi="Times New Roman" w:cs="Times New Roman"/>
          <w:sz w:val="22"/>
          <w:szCs w:val="22"/>
        </w:rPr>
        <w:t xml:space="preserve"> is used, with </w:t>
      </w:r>
      <w:r w:rsidRPr="00803C62">
        <w:rPr>
          <w:rFonts w:ascii="Times New Roman" w:hAnsi="Times New Roman" w:cs="Times New Roman"/>
          <w:sz w:val="22"/>
          <w:szCs w:val="22"/>
        </w:rPr>
        <w:t xml:space="preserve">each variable </w:t>
      </w:r>
      <w:r w:rsidR="00926B73" w:rsidRPr="00803C62">
        <w:rPr>
          <w:rFonts w:ascii="Times New Roman" w:hAnsi="Times New Roman" w:cs="Times New Roman"/>
          <w:sz w:val="22"/>
          <w:szCs w:val="22"/>
        </w:rPr>
        <w:t>influencing</w:t>
      </w:r>
      <w:r w:rsidRPr="00803C62">
        <w:rPr>
          <w:rFonts w:ascii="Times New Roman" w:hAnsi="Times New Roman" w:cs="Times New Roman"/>
          <w:sz w:val="22"/>
          <w:szCs w:val="22"/>
        </w:rPr>
        <w:t xml:space="preserve"> default likelihood before dataset generation and coefficient estimation</w:t>
      </w:r>
      <w:r w:rsidRPr="00B62207">
        <w:rPr>
          <w:rFonts w:ascii="Times New Roman" w:hAnsi="Times New Roman" w:cs="Times New Roman"/>
          <w:sz w:val="22"/>
          <w:szCs w:val="22"/>
        </w:rPr>
        <w:t xml:space="preserve">. Data scaling is then applied to improve Decision Tree performance, </w:t>
      </w:r>
      <w:r w:rsidR="00803C62" w:rsidRPr="00803C62">
        <w:rPr>
          <w:rFonts w:ascii="Times New Roman" w:hAnsi="Times New Roman" w:cs="Times New Roman"/>
          <w:sz w:val="22"/>
          <w:szCs w:val="22"/>
        </w:rPr>
        <w:t>which is then interpreted</w:t>
      </w:r>
      <w:r w:rsidRPr="00B62207">
        <w:rPr>
          <w:rFonts w:ascii="Times New Roman" w:hAnsi="Times New Roman" w:cs="Times New Roman"/>
          <w:sz w:val="22"/>
          <w:szCs w:val="22"/>
        </w:rPr>
        <w:t xml:space="preserve"> and </w:t>
      </w:r>
      <w:r w:rsidR="00803C62" w:rsidRPr="00803C62">
        <w:rPr>
          <w:rFonts w:ascii="Times New Roman" w:hAnsi="Times New Roman" w:cs="Times New Roman"/>
          <w:sz w:val="22"/>
          <w:szCs w:val="22"/>
        </w:rPr>
        <w:t>compared</w:t>
      </w:r>
      <w:r w:rsidRPr="00B62207">
        <w:rPr>
          <w:rFonts w:ascii="Times New Roman" w:hAnsi="Times New Roman" w:cs="Times New Roman"/>
          <w:sz w:val="22"/>
          <w:szCs w:val="22"/>
        </w:rPr>
        <w:t xml:space="preserve"> with the baseline and other machine learning models</w:t>
      </w:r>
      <w:r w:rsidR="009F259A" w:rsidRPr="00B62207">
        <w:rPr>
          <w:rFonts w:ascii="Times New Roman" w:hAnsi="Times New Roman" w:cs="Times New Roman"/>
          <w:sz w:val="22"/>
          <w:szCs w:val="22"/>
        </w:rPr>
        <w:t>.</w:t>
      </w:r>
    </w:p>
    <w:p w14:paraId="264B1324" w14:textId="77777777" w:rsidR="009F259A" w:rsidRPr="00B62207" w:rsidRDefault="009F259A" w:rsidP="00216F6D">
      <w:pPr>
        <w:spacing w:after="0" w:line="480" w:lineRule="auto"/>
        <w:jc w:val="both"/>
        <w:rPr>
          <w:rFonts w:ascii="Times New Roman" w:hAnsi="Times New Roman" w:cs="Times New Roman"/>
          <w:sz w:val="22"/>
          <w:szCs w:val="22"/>
        </w:rPr>
      </w:pPr>
    </w:p>
    <w:p w14:paraId="04332D74" w14:textId="5B2BE970" w:rsidR="009F259A" w:rsidRPr="00286FD1" w:rsidRDefault="009F259A" w:rsidP="00216F6D">
      <w:pPr>
        <w:pStyle w:val="Heading1"/>
        <w:numPr>
          <w:ilvl w:val="0"/>
          <w:numId w:val="1"/>
        </w:numPr>
        <w:spacing w:before="0" w:after="0" w:line="480" w:lineRule="auto"/>
        <w:ind w:left="360"/>
        <w:jc w:val="both"/>
        <w:rPr>
          <w:rFonts w:ascii="Times New Roman" w:hAnsi="Times New Roman" w:cs="Times New Roman"/>
          <w:b/>
          <w:sz w:val="24"/>
          <w:szCs w:val="24"/>
        </w:rPr>
      </w:pPr>
      <w:bookmarkStart w:id="2" w:name="_Toc208742921"/>
      <w:r w:rsidRPr="00ED39C5">
        <w:rPr>
          <w:rFonts w:ascii="Times New Roman" w:hAnsi="Times New Roman" w:cs="Times New Roman"/>
          <w:b/>
          <w:sz w:val="24"/>
          <w:szCs w:val="24"/>
        </w:rPr>
        <w:t>Data Collection and Processing</w:t>
      </w:r>
      <w:bookmarkEnd w:id="2"/>
      <w:r w:rsidRPr="00ED39C5">
        <w:rPr>
          <w:rFonts w:ascii="Times New Roman" w:hAnsi="Times New Roman" w:cs="Times New Roman"/>
          <w:b/>
          <w:sz w:val="24"/>
          <w:szCs w:val="24"/>
        </w:rPr>
        <w:t xml:space="preserve"> </w:t>
      </w:r>
    </w:p>
    <w:p w14:paraId="3A635D29" w14:textId="31A4A8C8" w:rsidR="009F259A" w:rsidRPr="00B62207" w:rsidRDefault="009F259A"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The dataset was acquired randomly with 100</w:t>
      </w:r>
      <w:r w:rsidR="00AF469F" w:rsidRPr="00B62207">
        <w:rPr>
          <w:rFonts w:ascii="Times New Roman" w:hAnsi="Times New Roman" w:cs="Times New Roman"/>
          <w:sz w:val="22"/>
          <w:szCs w:val="22"/>
        </w:rPr>
        <w:t>,</w:t>
      </w:r>
      <w:r w:rsidRPr="00B62207">
        <w:rPr>
          <w:rFonts w:ascii="Times New Roman" w:hAnsi="Times New Roman" w:cs="Times New Roman"/>
          <w:sz w:val="22"/>
          <w:szCs w:val="22"/>
        </w:rPr>
        <w:t>0</w:t>
      </w:r>
      <w:r w:rsidR="00AF469F" w:rsidRPr="00B62207">
        <w:rPr>
          <w:rFonts w:ascii="Times New Roman" w:hAnsi="Times New Roman" w:cs="Times New Roman"/>
          <w:sz w:val="22"/>
          <w:szCs w:val="22"/>
        </w:rPr>
        <w:t>00</w:t>
      </w:r>
      <w:r w:rsidRPr="00B62207">
        <w:rPr>
          <w:rFonts w:ascii="Times New Roman" w:hAnsi="Times New Roman" w:cs="Times New Roman"/>
          <w:sz w:val="22"/>
          <w:szCs w:val="22"/>
        </w:rPr>
        <w:t xml:space="preserve"> observations and set random seed every run</w:t>
      </w:r>
      <w:r w:rsidR="00AF469F" w:rsidRPr="00B62207">
        <w:rPr>
          <w:rFonts w:ascii="Times New Roman" w:hAnsi="Times New Roman" w:cs="Times New Roman"/>
          <w:sz w:val="22"/>
          <w:szCs w:val="22"/>
        </w:rPr>
        <w:t xml:space="preserve"> ensuring consistent results</w:t>
      </w:r>
      <w:r w:rsidRPr="00B62207">
        <w:rPr>
          <w:rFonts w:ascii="Times New Roman" w:hAnsi="Times New Roman" w:cs="Times New Roman"/>
          <w:sz w:val="22"/>
          <w:szCs w:val="22"/>
        </w:rPr>
        <w:t xml:space="preserve">, with 7 different variables </w:t>
      </w:r>
      <w:r w:rsidR="00C14834">
        <w:rPr>
          <w:rFonts w:ascii="Times New Roman" w:hAnsi="Times New Roman" w:cs="Times New Roman"/>
          <w:sz w:val="22"/>
          <w:szCs w:val="22"/>
        </w:rPr>
        <w:t>on</w:t>
      </w:r>
      <w:r w:rsidRPr="00B62207">
        <w:rPr>
          <w:rFonts w:ascii="Times New Roman" w:hAnsi="Times New Roman" w:cs="Times New Roman"/>
          <w:sz w:val="22"/>
          <w:szCs w:val="22"/>
        </w:rPr>
        <w:t xml:space="preserve"> firm-level financial indicators</w:t>
      </w:r>
      <w:r w:rsidR="00CE4BA4">
        <w:rPr>
          <w:rFonts w:ascii="Times New Roman" w:hAnsi="Times New Roman" w:cs="Times New Roman"/>
          <w:sz w:val="22"/>
          <w:szCs w:val="22"/>
        </w:rPr>
        <w:t xml:space="preserve"> </w:t>
      </w:r>
      <w:r w:rsidRPr="00B62207">
        <w:rPr>
          <w:rFonts w:ascii="Times New Roman" w:hAnsi="Times New Roman" w:cs="Times New Roman"/>
          <w:sz w:val="22"/>
          <w:szCs w:val="22"/>
        </w:rPr>
        <w:t xml:space="preserve">to build the machine learning model for </w:t>
      </w:r>
      <w:r w:rsidR="00BD4685">
        <w:rPr>
          <w:rFonts w:ascii="Times New Roman" w:hAnsi="Times New Roman" w:cs="Times New Roman"/>
          <w:sz w:val="22"/>
          <w:szCs w:val="22"/>
        </w:rPr>
        <w:t>default prediction</w:t>
      </w:r>
      <w:r w:rsidR="009A03DA">
        <w:rPr>
          <w:rFonts w:ascii="Times New Roman" w:hAnsi="Times New Roman" w:cs="Times New Roman"/>
          <w:sz w:val="22"/>
          <w:szCs w:val="22"/>
        </w:rPr>
        <w:t xml:space="preserve"> (Default = 0, No default = 1)</w:t>
      </w:r>
      <w:r w:rsidRPr="00B62207">
        <w:rPr>
          <w:rFonts w:ascii="Times New Roman" w:hAnsi="Times New Roman" w:cs="Times New Roman"/>
          <w:sz w:val="22"/>
          <w:szCs w:val="22"/>
        </w:rPr>
        <w:t xml:space="preserve">. </w:t>
      </w:r>
      <w:r w:rsidR="00087539" w:rsidRPr="00087539">
        <w:rPr>
          <w:rFonts w:ascii="Times New Roman" w:hAnsi="Times New Roman" w:cs="Times New Roman"/>
          <w:sz w:val="22"/>
          <w:szCs w:val="22"/>
        </w:rPr>
        <w:t>Simulated data was chosen over real datasets due to limited availability, confidentiality, and methodological convenience</w:t>
      </w:r>
      <w:r w:rsidR="00087539">
        <w:t xml:space="preserve"> </w:t>
      </w:r>
      <w:r w:rsidRPr="00B62207">
        <w:rPr>
          <w:rFonts w:ascii="Times New Roman" w:hAnsi="Times New Roman" w:cs="Times New Roman"/>
          <w:sz w:val="22"/>
          <w:szCs w:val="22"/>
        </w:rPr>
        <w:t>(Chan-</w:t>
      </w:r>
      <w:proofErr w:type="spellStart"/>
      <w:r w:rsidRPr="00B62207">
        <w:rPr>
          <w:rFonts w:ascii="Times New Roman" w:hAnsi="Times New Roman" w:cs="Times New Roman"/>
          <w:sz w:val="22"/>
          <w:szCs w:val="22"/>
        </w:rPr>
        <w:t>Lau,Hu</w:t>
      </w:r>
      <w:proofErr w:type="spellEnd"/>
      <w:r w:rsidRPr="00B62207">
        <w:rPr>
          <w:rFonts w:ascii="Times New Roman" w:hAnsi="Times New Roman" w:cs="Times New Roman"/>
          <w:sz w:val="22"/>
          <w:szCs w:val="22"/>
        </w:rPr>
        <w:t xml:space="preserve">, Mungo, Qu, Xin, &amp; Zhong,2024). </w:t>
      </w:r>
      <w:r w:rsidR="00CA1FE2" w:rsidRPr="00CA1FE2">
        <w:rPr>
          <w:rFonts w:ascii="Times New Roman" w:hAnsi="Times New Roman" w:cs="Times New Roman"/>
          <w:sz w:val="22"/>
          <w:szCs w:val="22"/>
        </w:rPr>
        <w:t>Unlike real data, it contains only continuous variables, avoiding issues such as missing values, noise, or inconsistent reporting</w:t>
      </w:r>
      <w:r w:rsidRPr="00B62207">
        <w:rPr>
          <w:rFonts w:ascii="Times New Roman" w:hAnsi="Times New Roman" w:cs="Times New Roman"/>
          <w:sz w:val="22"/>
          <w:szCs w:val="22"/>
        </w:rPr>
        <w:t xml:space="preserve"> (</w:t>
      </w:r>
      <w:proofErr w:type="spellStart"/>
      <w:r w:rsidRPr="00B62207">
        <w:rPr>
          <w:rFonts w:ascii="Times New Roman" w:hAnsi="Times New Roman" w:cs="Times New Roman"/>
          <w:sz w:val="22"/>
          <w:szCs w:val="22"/>
        </w:rPr>
        <w:t>Charalambakis</w:t>
      </w:r>
      <w:proofErr w:type="spellEnd"/>
      <w:r w:rsidRPr="00B62207">
        <w:rPr>
          <w:rFonts w:ascii="Times New Roman" w:hAnsi="Times New Roman" w:cs="Times New Roman"/>
          <w:sz w:val="22"/>
          <w:szCs w:val="22"/>
        </w:rPr>
        <w:t xml:space="preserve"> &amp; Garrett, 2019).</w:t>
      </w:r>
    </w:p>
    <w:p w14:paraId="10F9B335" w14:textId="77777777" w:rsidR="009F259A" w:rsidRPr="00B62207" w:rsidRDefault="009F259A" w:rsidP="00216F6D">
      <w:pPr>
        <w:spacing w:after="0" w:line="480" w:lineRule="auto"/>
        <w:jc w:val="both"/>
        <w:rPr>
          <w:rFonts w:ascii="Times New Roman" w:hAnsi="Times New Roman" w:cs="Times New Roman"/>
          <w:sz w:val="22"/>
          <w:szCs w:val="22"/>
        </w:rPr>
      </w:pPr>
    </w:p>
    <w:p w14:paraId="759908E7" w14:textId="0AF4E74C" w:rsidR="00D80139" w:rsidRDefault="009F259A"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 xml:space="preserve">In terms of variable construction, the dataset </w:t>
      </w:r>
      <w:r w:rsidR="0029222B" w:rsidRPr="0029222B">
        <w:rPr>
          <w:rFonts w:ascii="Times New Roman" w:hAnsi="Times New Roman" w:cs="Times New Roman"/>
          <w:sz w:val="22"/>
          <w:szCs w:val="22"/>
        </w:rPr>
        <w:t>combines</w:t>
      </w:r>
      <w:r w:rsidRPr="00B62207">
        <w:rPr>
          <w:rFonts w:ascii="Times New Roman" w:hAnsi="Times New Roman" w:cs="Times New Roman"/>
          <w:sz w:val="22"/>
          <w:szCs w:val="22"/>
        </w:rPr>
        <w:t xml:space="preserve"> traditional financial ratios </w:t>
      </w:r>
      <w:r w:rsidR="0029222B" w:rsidRPr="0029222B">
        <w:rPr>
          <w:rFonts w:ascii="Times New Roman" w:hAnsi="Times New Roman" w:cs="Times New Roman"/>
          <w:sz w:val="22"/>
          <w:szCs w:val="22"/>
        </w:rPr>
        <w:t>with</w:t>
      </w:r>
      <w:r w:rsidRPr="00B62207">
        <w:rPr>
          <w:rFonts w:ascii="Times New Roman" w:hAnsi="Times New Roman" w:cs="Times New Roman"/>
          <w:sz w:val="22"/>
          <w:szCs w:val="22"/>
        </w:rPr>
        <w:t xml:space="preserve"> emerging default risk factors. Firstly, the business industry is</w:t>
      </w:r>
      <w:r w:rsidR="00A10D14">
        <w:rPr>
          <w:rFonts w:ascii="Times New Roman" w:hAnsi="Times New Roman" w:cs="Times New Roman"/>
          <w:sz w:val="22"/>
          <w:szCs w:val="22"/>
        </w:rPr>
        <w:t xml:space="preserve"> </w:t>
      </w:r>
      <w:r w:rsidR="00A10D14" w:rsidRPr="00A10D14">
        <w:rPr>
          <w:rFonts w:ascii="Times New Roman" w:hAnsi="Times New Roman" w:cs="Times New Roman"/>
          <w:sz w:val="22"/>
          <w:szCs w:val="22"/>
        </w:rPr>
        <w:t xml:space="preserve">represented across five sectors and </w:t>
      </w:r>
      <w:r w:rsidR="00F64FDB">
        <w:rPr>
          <w:rFonts w:ascii="Times New Roman" w:hAnsi="Times New Roman" w:cs="Times New Roman"/>
          <w:sz w:val="22"/>
          <w:szCs w:val="22"/>
        </w:rPr>
        <w:t>en</w:t>
      </w:r>
      <w:r w:rsidR="00A10D14" w:rsidRPr="00A10D14">
        <w:rPr>
          <w:rFonts w:ascii="Times New Roman" w:hAnsi="Times New Roman" w:cs="Times New Roman"/>
          <w:sz w:val="22"/>
          <w:szCs w:val="22"/>
        </w:rPr>
        <w:t>coded numerically for machine learning analysis</w:t>
      </w:r>
      <w:r w:rsidRPr="00B62207">
        <w:rPr>
          <w:rFonts w:ascii="Times New Roman" w:hAnsi="Times New Roman" w:cs="Times New Roman"/>
          <w:sz w:val="22"/>
          <w:szCs w:val="22"/>
        </w:rPr>
        <w:t xml:space="preserve">. Moreover, </w:t>
      </w:r>
      <w:r w:rsidR="0061025C" w:rsidRPr="0061025C">
        <w:rPr>
          <w:rFonts w:ascii="Times New Roman" w:hAnsi="Times New Roman" w:cs="Times New Roman"/>
          <w:sz w:val="22"/>
          <w:szCs w:val="22"/>
        </w:rPr>
        <w:t>ESG ratings, ranging from 1–9 (AAA–C), reflect firms’ environmental, social, and governance frameworks, with higher scores indicating weaker performance</w:t>
      </w:r>
      <w:r w:rsidRPr="00B62207">
        <w:rPr>
          <w:rFonts w:ascii="Times New Roman" w:hAnsi="Times New Roman" w:cs="Times New Roman"/>
          <w:sz w:val="22"/>
          <w:szCs w:val="22"/>
        </w:rPr>
        <w:t xml:space="preserve"> (Li, Zhang, &amp; Zhao, 2022a). Besides that, the remaining six financial ratios </w:t>
      </w:r>
      <w:r w:rsidR="002218DE">
        <w:rPr>
          <w:rFonts w:ascii="Times New Roman" w:hAnsi="Times New Roman" w:cs="Times New Roman"/>
          <w:sz w:val="22"/>
          <w:szCs w:val="22"/>
        </w:rPr>
        <w:t>(</w:t>
      </w:r>
      <w:r w:rsidRPr="00B62207">
        <w:rPr>
          <w:rFonts w:ascii="Times New Roman" w:hAnsi="Times New Roman" w:cs="Times New Roman"/>
          <w:sz w:val="22"/>
          <w:szCs w:val="22"/>
        </w:rPr>
        <w:t>debt to asset ratio, current ratio, ROA, firm size, cash flow and interest rate</w:t>
      </w:r>
      <w:r w:rsidR="002218DE">
        <w:rPr>
          <w:rFonts w:ascii="Times New Roman" w:hAnsi="Times New Roman" w:cs="Times New Roman"/>
          <w:sz w:val="22"/>
          <w:szCs w:val="22"/>
        </w:rPr>
        <w:t>)</w:t>
      </w:r>
      <w:r w:rsidRPr="00B62207">
        <w:rPr>
          <w:rFonts w:ascii="Times New Roman" w:hAnsi="Times New Roman" w:cs="Times New Roman"/>
          <w:sz w:val="22"/>
          <w:szCs w:val="22"/>
        </w:rPr>
        <w:t xml:space="preserve"> </w:t>
      </w:r>
      <w:r w:rsidR="00565403" w:rsidRPr="00565403">
        <w:rPr>
          <w:rFonts w:ascii="Times New Roman" w:hAnsi="Times New Roman" w:cs="Times New Roman"/>
          <w:sz w:val="22"/>
          <w:szCs w:val="22"/>
        </w:rPr>
        <w:t xml:space="preserve">were randomly generated within reasonable ranges and rounded to four decimals to reduce </w:t>
      </w:r>
      <w:r w:rsidR="003C58FF" w:rsidRPr="00565403">
        <w:rPr>
          <w:rFonts w:ascii="Times New Roman" w:hAnsi="Times New Roman" w:cs="Times New Roman"/>
          <w:sz w:val="22"/>
          <w:szCs w:val="22"/>
        </w:rPr>
        <w:t xml:space="preserve">complexity </w:t>
      </w:r>
      <w:r w:rsidR="003C58FF" w:rsidRPr="00B62207">
        <w:rPr>
          <w:rFonts w:ascii="Times New Roman" w:hAnsi="Times New Roman" w:cs="Times New Roman"/>
          <w:sz w:val="22"/>
          <w:szCs w:val="22"/>
        </w:rPr>
        <w:t>(</w:t>
      </w:r>
      <w:r w:rsidRPr="00B62207">
        <w:rPr>
          <w:rFonts w:ascii="Times New Roman" w:hAnsi="Times New Roman" w:cs="Times New Roman"/>
          <w:sz w:val="22"/>
          <w:szCs w:val="22"/>
        </w:rPr>
        <w:t>Löffler &amp; Maurer, 2011; Bajwa &amp; Rashid, 2021</w:t>
      </w:r>
      <w:r w:rsidR="0001467D" w:rsidRPr="00B62207">
        <w:rPr>
          <w:rFonts w:ascii="Times New Roman" w:hAnsi="Times New Roman" w:cs="Times New Roman"/>
          <w:sz w:val="22"/>
          <w:szCs w:val="22"/>
        </w:rPr>
        <w:t>a</w:t>
      </w:r>
      <w:r w:rsidRPr="00B62207">
        <w:rPr>
          <w:rFonts w:ascii="Times New Roman" w:hAnsi="Times New Roman" w:cs="Times New Roman"/>
          <w:sz w:val="22"/>
          <w:szCs w:val="22"/>
        </w:rPr>
        <w:t xml:space="preserve">; Cathcart, Dufour, Rossi, &amp; </w:t>
      </w:r>
      <w:proofErr w:type="spellStart"/>
      <w:r w:rsidRPr="00B62207">
        <w:rPr>
          <w:rFonts w:ascii="Times New Roman" w:hAnsi="Times New Roman" w:cs="Times New Roman"/>
          <w:sz w:val="22"/>
          <w:szCs w:val="22"/>
        </w:rPr>
        <w:t>Varotto</w:t>
      </w:r>
      <w:proofErr w:type="spellEnd"/>
      <w:r w:rsidRPr="00B62207">
        <w:rPr>
          <w:rFonts w:ascii="Times New Roman" w:hAnsi="Times New Roman" w:cs="Times New Roman"/>
          <w:sz w:val="22"/>
          <w:szCs w:val="22"/>
        </w:rPr>
        <w:t>, 2020)</w:t>
      </w:r>
      <w:r w:rsidR="00D80139">
        <w:rPr>
          <w:rFonts w:ascii="Times New Roman" w:hAnsi="Times New Roman" w:cs="Times New Roman"/>
          <w:sz w:val="22"/>
          <w:szCs w:val="22"/>
        </w:rPr>
        <w:t>.</w:t>
      </w:r>
    </w:p>
    <w:p w14:paraId="4476FED8" w14:textId="77777777" w:rsidR="001E006B" w:rsidRDefault="001E006B" w:rsidP="00216F6D">
      <w:pPr>
        <w:spacing w:after="0" w:line="480" w:lineRule="auto"/>
        <w:jc w:val="both"/>
        <w:rPr>
          <w:rFonts w:ascii="Times New Roman" w:hAnsi="Times New Roman" w:cs="Times New Roman"/>
          <w:sz w:val="22"/>
          <w:szCs w:val="22"/>
        </w:rPr>
      </w:pPr>
    </w:p>
    <w:p w14:paraId="375F2AB7" w14:textId="702C7BDF" w:rsidR="009F259A" w:rsidRPr="00B62207" w:rsidRDefault="00AC6319" w:rsidP="00216F6D">
      <w:pPr>
        <w:spacing w:after="0" w:line="480" w:lineRule="auto"/>
        <w:jc w:val="center"/>
        <w:rPr>
          <w:rFonts w:ascii="Times New Roman" w:hAnsi="Times New Roman" w:cs="Times New Roman"/>
          <w:sz w:val="22"/>
          <w:szCs w:val="22"/>
        </w:rPr>
      </w:pPr>
      <w:r w:rsidRPr="00B62207">
        <w:rPr>
          <w:rFonts w:ascii="Times New Roman" w:hAnsi="Times New Roman" w:cs="Times New Roman"/>
          <w:noProof/>
          <w:sz w:val="22"/>
          <w:szCs w:val="22"/>
        </w:rPr>
        <w:drawing>
          <wp:inline distT="0" distB="0" distL="0" distR="0" wp14:anchorId="0AF950CE" wp14:editId="52417434">
            <wp:extent cx="4429103" cy="2361537"/>
            <wp:effectExtent l="0" t="0" r="0" b="1270"/>
            <wp:docPr id="1173212605" name="Picture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3312" cy="2379777"/>
                    </a:xfrm>
                    <a:prstGeom prst="rect">
                      <a:avLst/>
                    </a:prstGeom>
                    <a:noFill/>
                    <a:ln>
                      <a:noFill/>
                    </a:ln>
                  </pic:spPr>
                </pic:pic>
              </a:graphicData>
            </a:graphic>
          </wp:inline>
        </w:drawing>
      </w:r>
    </w:p>
    <w:p w14:paraId="039C51B1" w14:textId="3EC25014" w:rsidR="009F259A" w:rsidRPr="00ED39C5" w:rsidRDefault="00A83AAB" w:rsidP="00216F6D">
      <w:pPr>
        <w:pStyle w:val="Subtitle"/>
        <w:spacing w:line="480" w:lineRule="auto"/>
        <w:jc w:val="center"/>
        <w:rPr>
          <w:rFonts w:ascii="Times New Roman" w:hAnsi="Times New Roman" w:cs="Times New Roman"/>
          <w:sz w:val="20"/>
          <w:szCs w:val="20"/>
        </w:rPr>
      </w:pPr>
      <w:bookmarkStart w:id="3" w:name="_Toc208742958"/>
      <w:r w:rsidRPr="00ED39C5">
        <w:rPr>
          <w:rFonts w:ascii="Times New Roman" w:hAnsi="Times New Roman" w:cs="Times New Roman"/>
          <w:sz w:val="20"/>
          <w:szCs w:val="20"/>
        </w:rPr>
        <w:t xml:space="preserve">Figure </w:t>
      </w:r>
      <w:r w:rsidR="00AD22BC" w:rsidRPr="00ED39C5">
        <w:rPr>
          <w:rFonts w:ascii="Times New Roman" w:hAnsi="Times New Roman" w:cs="Times New Roman"/>
          <w:sz w:val="20"/>
          <w:szCs w:val="20"/>
        </w:rPr>
        <w:t>2</w:t>
      </w:r>
      <w:r w:rsidRPr="00ED39C5">
        <w:rPr>
          <w:rFonts w:ascii="Times New Roman" w:hAnsi="Times New Roman" w:cs="Times New Roman"/>
          <w:sz w:val="20"/>
          <w:szCs w:val="20"/>
        </w:rPr>
        <w:t xml:space="preserve">: </w:t>
      </w:r>
      <w:r w:rsidR="009F259A" w:rsidRPr="00ED39C5">
        <w:rPr>
          <w:rFonts w:ascii="Times New Roman" w:hAnsi="Times New Roman" w:cs="Times New Roman"/>
          <w:sz w:val="20"/>
          <w:szCs w:val="20"/>
        </w:rPr>
        <w:t>Data Collection and Selection</w:t>
      </w:r>
      <w:bookmarkEnd w:id="3"/>
    </w:p>
    <w:p w14:paraId="1EF69F49" w14:textId="169C5863" w:rsidR="009F259A" w:rsidRPr="00ED39C5" w:rsidRDefault="009F259A" w:rsidP="00216F6D">
      <w:pPr>
        <w:spacing w:after="0" w:line="480" w:lineRule="auto"/>
        <w:jc w:val="center"/>
        <w:rPr>
          <w:rFonts w:ascii="Times New Roman" w:hAnsi="Times New Roman" w:cs="Times New Roman"/>
          <w:sz w:val="20"/>
          <w:szCs w:val="20"/>
        </w:rPr>
      </w:pPr>
      <w:r w:rsidRPr="00ED39C5">
        <w:rPr>
          <w:rFonts w:ascii="Times New Roman" w:hAnsi="Times New Roman" w:cs="Times New Roman"/>
          <w:noProof/>
          <w:sz w:val="20"/>
          <w:szCs w:val="20"/>
        </w:rPr>
        <mc:AlternateContent>
          <mc:Choice Requires="wpi">
            <w:drawing>
              <wp:anchor distT="0" distB="0" distL="114300" distR="114300" simplePos="0" relativeHeight="251658242" behindDoc="0" locked="0" layoutInCell="1" allowOverlap="1" wp14:anchorId="7BF0DFFD" wp14:editId="62CDE611">
                <wp:simplePos x="0" y="0"/>
                <wp:positionH relativeFrom="column">
                  <wp:posOffset>3123648</wp:posOffset>
                </wp:positionH>
                <wp:positionV relativeFrom="paragraph">
                  <wp:posOffset>1059254</wp:posOffset>
                </wp:positionV>
                <wp:extent cx="360" cy="360"/>
                <wp:effectExtent l="38100" t="38100" r="38100" b="38100"/>
                <wp:wrapNone/>
                <wp:docPr id="12747324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rto="http://schemas.microsoft.com/office/word/2006/arto">
            <w:pict>
              <v:shapetype w14:anchorId="3024A5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45.45pt;margin-top:82.9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bEQ8NUBAACdBAAAEAAAAGRycy9pbmsvaW5rMS54bWy0&#10;k01vozAQhu8r7X+w3MNeFjCGlIBKemqklXalVT+k9kjBDVaxHRkTkn+/AzgOVdNL1RUSwmP8zswz&#10;r6+u96JBO6ZbrmSOQ59gxGSpKi43OX64X3tLjFpTyKpolGQ5PrAWX6++f7vi8lU0GbwRKMh2+BJN&#10;jmtjtlkQ9H3v95Gv9CaghETBL/n65zde2VMVe+GSG0jZHkOlkobtzSCW8SrHpdkT9z9o36lOl8xt&#10;DxFdnv4wuijZWmlRGKdYF1KyBslCQN2PGJnDFj445NkwjZHg0LBH/TBO4uVNCoFin+PZuoMSW6hE&#10;4OC85tN/0Fy/1xzKimhymWBkS6rYbqgpGJlnH/f+V6st04azE+YJit04oHJaj3wmUJq1qumG2WC0&#10;K5oOkIWEgC1s7jA4A+S9HrD5Uj3g8qHevLi3aGx7cw4WmrPUcbSGCwZGF1vnMdOC8BC+M3q8DpTQ&#10;hUdSjyzvSZRFl1mc+ikNZ6OwLj5qPuuurZ3esz75ddxx1KbOel6Z2kEnPokWjvqc+bmzNeOb2nzy&#10;cKkaBRfCTvviJgkpjWddjQmd3c5c3tGByDZ/y15yfDHeXzSenAJj9wSFiMaLZPHzB4HHW4Zp+MbG&#10;LgvMZ/UPAAD//wMAUEsDBBQABgAIAAAAIQA4mO124QAAAAsBAAAPAAAAZHJzL2Rvd25yZXYueG1s&#10;TI/NTsMwEITvSLyDtUjcqNPSHxLiVC2oh1KBoO0DuPGSRMTryHbbwNOzPcFxZz7NzuTz3rbihD40&#10;jhQMBwkIpNKZhioF+93q7gFEiJqMbh2hgm8MMC+ur3KdGXemDzxtYyU4hEKmFdQxdpmUoazR6jBw&#10;HRJ7n85bHfn0lTRenznctnKUJFNpdUP8odYdPtVYfm2PVsFy8/b6/lyu0S831v7McDh5Wa+Uur3p&#10;F48gIvbxD4ZLfa4OBXc6uCOZIFoF4zRJGWVjOuENTIzTe153uCizFGSRy/8bi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dbEQ8NUBAACdBAAAEAAA&#10;AAAAAAAAAAAAAADTAwAAZHJzL2luay9pbmsxLnhtbFBLAQItABQABgAIAAAAIQA4mO124QAAAAsB&#10;AAAPAAAAAAAAAAAAAAAAANYFAABkcnMvZG93bnJldi54bWxQSwECLQAUAAYACAAAACEAeRi8nb8A&#10;AAAhAQAAGQAAAAAAAAAAAAAAAADkBgAAZHJzL19yZWxzL2Uyb0RvYy54bWwucmVsc1BLBQYAAAAA&#10;BgAGAHgBAADaBwAAAAA=&#10;">
                <v:imagedata r:id="rId12" o:title=""/>
              </v:shape>
            </w:pict>
          </mc:Fallback>
        </mc:AlternateContent>
      </w:r>
      <w:r w:rsidRPr="00ED39C5">
        <w:rPr>
          <w:rFonts w:ascii="Times New Roman" w:hAnsi="Times New Roman" w:cs="Times New Roman"/>
          <w:noProof/>
          <w:sz w:val="20"/>
          <w:szCs w:val="20"/>
        </w:rPr>
        <mc:AlternateContent>
          <mc:Choice Requires="wpi">
            <w:drawing>
              <wp:anchor distT="0" distB="0" distL="114300" distR="114300" simplePos="0" relativeHeight="251658241" behindDoc="0" locked="0" layoutInCell="1" allowOverlap="1" wp14:anchorId="10000F71" wp14:editId="6D5D1FCA">
                <wp:simplePos x="0" y="0"/>
                <wp:positionH relativeFrom="column">
                  <wp:posOffset>-848952</wp:posOffset>
                </wp:positionH>
                <wp:positionV relativeFrom="paragraph">
                  <wp:posOffset>561734</wp:posOffset>
                </wp:positionV>
                <wp:extent cx="360" cy="360"/>
                <wp:effectExtent l="38100" t="38100" r="38100" b="38100"/>
                <wp:wrapNone/>
                <wp:docPr id="1947385490"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arto="http://schemas.microsoft.com/office/word/2006/arto">
            <w:pict>
              <v:shape w14:anchorId="43360289" id="Ink 5" o:spid="_x0000_s1026" type="#_x0000_t75" style="position:absolute;margin-left:-67.35pt;margin-top:43.7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PUaPdYBAACdBAAAEAAAAGRycy9pbmsvaW5rMS54bWy0&#10;k11vmzAUhu8n7T9Y7sVuBtiGlASV9KqRJm3StHbSeknBDVaxHdkmJP9+h484VE1vpk5ICB/j95zz&#10;nNc3twfZoD03VmiVYxoSjLgqdSXUNse/HzbBEiPrClUVjVY8x0du8e3686cboV5kk8EbgYKy/Zds&#10;clw7t8uiqOu6sItDbbYRIySOvqmXH9/xejpV8WehhIOU9hQqtXL84HqxTFQ5Lt2B+P9B+163puR+&#10;u4+Y8vyHM0XJN9rIwnnFulCKN0gVEur+g5E77uBDQJ4tNxhJAQ0HLKRJmizvVhAoDjmerVso0UIl&#10;EkeXNR//g+bmrWZfVszS6xSjqaSK7/uaooF59n7vP43eceMEP2MeoUwbR1SO64HPCMpwq5u2nw1G&#10;+6JpARklBGwx5abRBSBv9YDNh+oBl3f15sW9RjO1N+cwQfOWOo3WCcnB6HLnPeYsCPfhe2eG68AI&#10;WwRkFZDlA4mz+DpLViGL6WwUk4tPmk+mtbXXezJnvw47ntrYWScqV3voJCTxwlOfM790tuZiW7t/&#10;PFzqRsOFmKZ9dZdSxpJZV0NCb7cLl3dwIJqa/8Wfc3w13F80nBwDQ/cUEcSSRbr4+oXAEyzpir6y&#10;sc8C81n/BQAA//8DAFBLAwQUAAYACAAAACEAA9tljeEAAAALAQAADwAAAGRycy9kb3ducmV2Lnht&#10;bEyPwU7DMAyG70i8Q2QkblvawdpRmk4MtMOYQDB4gKwxbUXjVEm2FZ4ec4Kjf3/6/blcjrYXR/Sh&#10;c6QgnSYgkGpnOmoUvL+tJwsQIWoyuneECr4wwLI6Pyt1YdyJXvG4i43gEgqFVtDGOBRShrpFq8PU&#10;DUi8+3De6sijb6Tx+sTltpezJMmk1R3xhVYPeN9i/bk7WAWr7fPTy0O9Qb/aWvudYzp/3KyVurwY&#10;725BRBzjHwy/+qwOFTvt3YFMEL2CSXp1nTOrYJHPQTDBySwDsefkJgNZlfL/D9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ND1Gj3WAQAAnQQAABAA&#10;AAAAAAAAAAAAAAAA0wMAAGRycy9pbmsvaW5rMS54bWxQSwECLQAUAAYACAAAACEAA9tljeEAAAAL&#10;AQAADwAAAAAAAAAAAAAAAADXBQAAZHJzL2Rvd25yZXYueG1sUEsBAi0AFAAGAAgAAAAhAHkYvJ2/&#10;AAAAIQEAABkAAAAAAAAAAAAAAAAA5QYAAGRycy9fcmVscy9lMm9Eb2MueG1sLnJlbHNQSwUGAAAA&#10;AAYABgB4AQAA2wcAAAAA&#10;">
                <v:imagedata r:id="rId12" o:title=""/>
              </v:shape>
            </w:pict>
          </mc:Fallback>
        </mc:AlternateContent>
      </w:r>
      <w:r w:rsidRPr="00ED39C5">
        <w:rPr>
          <w:rFonts w:ascii="Times New Roman" w:hAnsi="Times New Roman" w:cs="Times New Roman"/>
          <w:noProof/>
          <w:sz w:val="20"/>
          <w:szCs w:val="20"/>
        </w:rPr>
        <mc:AlternateContent>
          <mc:Choice Requires="wpi">
            <w:drawing>
              <wp:anchor distT="0" distB="0" distL="114300" distR="114300" simplePos="0" relativeHeight="251658240" behindDoc="0" locked="0" layoutInCell="1" allowOverlap="1" wp14:anchorId="28997C00" wp14:editId="2336C9F8">
                <wp:simplePos x="0" y="0"/>
                <wp:positionH relativeFrom="column">
                  <wp:posOffset>-775512</wp:posOffset>
                </wp:positionH>
                <wp:positionV relativeFrom="paragraph">
                  <wp:posOffset>108134</wp:posOffset>
                </wp:positionV>
                <wp:extent cx="360" cy="360"/>
                <wp:effectExtent l="38100" t="38100" r="38100" b="38100"/>
                <wp:wrapNone/>
                <wp:docPr id="449241377"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arto="http://schemas.microsoft.com/office/word/2006/arto">
            <w:pict>
              <v:shape w14:anchorId="72C13AEB" id="Ink 4" o:spid="_x0000_s1026" type="#_x0000_t75" style="position:absolute;margin-left:-61.55pt;margin-top:8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bQu2NUBAACdBAAAEAAAAGRycy9pbmsvaW5rMS54bWy0&#10;k1FvmzAQx98n7TtY7sNeBthAQoJK+tRIkzZpWjtpe6TgBqtgR7YJybffYRyHqunLtAkJ4TP+393v&#10;/r69O3YtOjCluRQFpiHBiIlK1lzsCvzzcRusMNKmFHXZSsEKfGIa320+frjl4qVrc3gjUBB6/Ora&#10;AjfG7PMoGoYhHJJQql0UE5JEX8TLt694407V7JkLbiClPocqKQw7mlEs53WBK3Mk/n/QfpC9qpjf&#10;HiOquvxhVFmxrVRdabxiUwrBWiTKDur+hZE57eGDQ54dUxh1HBoO4pCmWbq6X0OgPBZ4tu6hRA2V&#10;dDi6rvn7P2hu32qOZSVxtswwciXV7DDWFFnm+fu9f1dyz5Th7IJ5guI2Tqia1pbPBEoxLdt+nA1G&#10;h7LtARklBGzhctPoCpC3esDmn+oBl3f15sW9RuPam3Nw0LylzqM1vGNg9G7vPWY0CI/hB6PsdYhJ&#10;vAjIOiCrR5LkyTJPl2FCyWwUzsVnzSfV68brPamLX+2OpzZ1NvDaNB46CUmy8NTnzK+dbRjfNeYv&#10;D1eylXAh3LRv7jMax+msK5vQ2+3K5bUORK75H+y5wDf2/iJ7cgrY7gmiKE4X2eLzJwJPsKJr+srG&#10;PgvMZ/MHAAD//wMAUEsDBBQABgAIAAAAIQC1sA9D3gAAAAsBAAAPAAAAZHJzL2Rvd25yZXYueG1s&#10;TE/LTsMwELwj9R+sReLWOi6irUKcioJ6KBWoFD7AjZckaryObLcNfD3LCW47D83OFMvBdeKMIbae&#10;NKhJBgKp8ralWsPH+3q8ABGTIWs6T6jhCyMsy9FVYXLrL/SG532qBYdQzI2GJqU+lzJWDToTJ75H&#10;Yu3TB2cSw1BLG8yFw10np1k2k860xB8a0+Njg9Vxf3IaVtvXl91TtcGw2jr3PUd197xZa31zPTzc&#10;g0g4pD8z/Nbn6lByp4M/kY2i0zBW01vFXlZmPIodzCi+DswsFMiykP83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ebQu2NUBAACdBAAAEAAAAAAA&#10;AAAAAAAAAADTAwAAZHJzL2luay9pbmsxLnhtbFBLAQItABQABgAIAAAAIQC1sA9D3gAAAAsBAAAP&#10;AAAAAAAAAAAAAAAAANYFAABkcnMvZG93bnJldi54bWxQSwECLQAUAAYACAAAACEAeRi8nb8AAAAh&#10;AQAAGQAAAAAAAAAAAAAAAADhBgAAZHJzL19yZWxzL2Uyb0RvYy54bWwucmVsc1BLBQYAAAAABgAG&#10;AHgBAADXBwAAAAA=&#10;">
                <v:imagedata r:id="rId12" o:title=""/>
              </v:shape>
            </w:pict>
          </mc:Fallback>
        </mc:AlternateContent>
      </w:r>
      <w:r w:rsidRPr="00ED39C5">
        <w:rPr>
          <w:rFonts w:ascii="Times New Roman" w:hAnsi="Times New Roman" w:cs="Times New Roman"/>
          <w:noProof/>
          <w:sz w:val="20"/>
          <w:szCs w:val="20"/>
        </w:rPr>
        <w:drawing>
          <wp:inline distT="0" distB="0" distL="0" distR="0" wp14:anchorId="07EEEAE4" wp14:editId="73B5DE5A">
            <wp:extent cx="4498490" cy="1812897"/>
            <wp:effectExtent l="0" t="0" r="0" b="0"/>
            <wp:docPr id="1952516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16937" name="Picture 1" descr="A screenshot of a computer&#10;&#10;AI-generated content may be incorrect."/>
                    <pic:cNvPicPr/>
                  </pic:nvPicPr>
                  <pic:blipFill>
                    <a:blip r:embed="rId15"/>
                    <a:stretch>
                      <a:fillRect/>
                    </a:stretch>
                  </pic:blipFill>
                  <pic:spPr>
                    <a:xfrm>
                      <a:off x="0" y="0"/>
                      <a:ext cx="4604615" cy="1855665"/>
                    </a:xfrm>
                    <a:prstGeom prst="rect">
                      <a:avLst/>
                    </a:prstGeom>
                  </pic:spPr>
                </pic:pic>
              </a:graphicData>
            </a:graphic>
          </wp:inline>
        </w:drawing>
      </w:r>
    </w:p>
    <w:p w14:paraId="25EE81CF" w14:textId="3C4ADC74" w:rsidR="009F259A" w:rsidRPr="00ED39C5" w:rsidRDefault="00A83AAB" w:rsidP="00216F6D">
      <w:pPr>
        <w:pStyle w:val="Subtitle"/>
        <w:spacing w:line="480" w:lineRule="auto"/>
        <w:jc w:val="center"/>
        <w:rPr>
          <w:rFonts w:ascii="Times New Roman" w:hAnsi="Times New Roman" w:cs="Times New Roman"/>
          <w:sz w:val="20"/>
          <w:szCs w:val="20"/>
        </w:rPr>
      </w:pPr>
      <w:bookmarkStart w:id="4" w:name="_Toc208742959"/>
      <w:r w:rsidRPr="00ED39C5">
        <w:rPr>
          <w:rFonts w:ascii="Times New Roman" w:hAnsi="Times New Roman" w:cs="Times New Roman"/>
          <w:sz w:val="20"/>
          <w:szCs w:val="20"/>
        </w:rPr>
        <w:t xml:space="preserve">Figure </w:t>
      </w:r>
      <w:r w:rsidR="00AD22BC" w:rsidRPr="00ED39C5">
        <w:rPr>
          <w:rFonts w:ascii="Times New Roman" w:hAnsi="Times New Roman" w:cs="Times New Roman"/>
          <w:sz w:val="20"/>
          <w:szCs w:val="20"/>
        </w:rPr>
        <w:t>3</w:t>
      </w:r>
      <w:r w:rsidRPr="00ED39C5">
        <w:rPr>
          <w:rFonts w:ascii="Times New Roman" w:hAnsi="Times New Roman" w:cs="Times New Roman"/>
          <w:sz w:val="20"/>
          <w:szCs w:val="20"/>
        </w:rPr>
        <w:t xml:space="preserve">: </w:t>
      </w:r>
      <w:r w:rsidR="009F259A" w:rsidRPr="00ED39C5">
        <w:rPr>
          <w:rFonts w:ascii="Times New Roman" w:hAnsi="Times New Roman" w:cs="Times New Roman"/>
          <w:sz w:val="20"/>
          <w:szCs w:val="20"/>
        </w:rPr>
        <w:t>Result of Data Selection and Preparation</w:t>
      </w:r>
      <w:bookmarkEnd w:id="4"/>
    </w:p>
    <w:p w14:paraId="1898D734" w14:textId="77777777" w:rsidR="009F259A" w:rsidRPr="00B62207" w:rsidRDefault="009F259A" w:rsidP="00216F6D">
      <w:pPr>
        <w:spacing w:after="0" w:line="480" w:lineRule="auto"/>
        <w:jc w:val="both"/>
        <w:rPr>
          <w:rFonts w:ascii="Times New Roman" w:hAnsi="Times New Roman" w:cs="Times New Roman"/>
          <w:sz w:val="22"/>
          <w:szCs w:val="22"/>
        </w:rPr>
      </w:pPr>
    </w:p>
    <w:p w14:paraId="4CA3C6F1" w14:textId="6FC09F73" w:rsidR="008B107D" w:rsidRPr="00286FD1" w:rsidRDefault="009F07D4" w:rsidP="00216F6D">
      <w:pPr>
        <w:pStyle w:val="Heading1"/>
        <w:numPr>
          <w:ilvl w:val="0"/>
          <w:numId w:val="1"/>
        </w:numPr>
        <w:spacing w:before="0" w:after="0" w:line="480" w:lineRule="auto"/>
        <w:ind w:left="360"/>
        <w:jc w:val="both"/>
        <w:rPr>
          <w:rFonts w:ascii="Times New Roman" w:hAnsi="Times New Roman" w:cs="Times New Roman"/>
          <w:b/>
          <w:sz w:val="24"/>
          <w:szCs w:val="24"/>
        </w:rPr>
      </w:pPr>
      <w:bookmarkStart w:id="5" w:name="_Toc208742922"/>
      <w:r w:rsidRPr="00ED39C5">
        <w:rPr>
          <w:rFonts w:ascii="Times New Roman" w:hAnsi="Times New Roman" w:cs="Times New Roman"/>
          <w:b/>
          <w:sz w:val="24"/>
          <w:szCs w:val="24"/>
        </w:rPr>
        <w:t>Variable Selection and Economic Justification</w:t>
      </w:r>
      <w:bookmarkEnd w:id="5"/>
      <w:r w:rsidRPr="00ED39C5">
        <w:rPr>
          <w:rFonts w:ascii="Times New Roman" w:hAnsi="Times New Roman" w:cs="Times New Roman"/>
          <w:b/>
          <w:sz w:val="24"/>
          <w:szCs w:val="24"/>
        </w:rPr>
        <w:t xml:space="preserve"> </w:t>
      </w:r>
    </w:p>
    <w:p w14:paraId="22C0D30D" w14:textId="1C614558" w:rsidR="008B107D" w:rsidRPr="00B62207" w:rsidRDefault="003D41AE" w:rsidP="00216F6D">
      <w:pPr>
        <w:pStyle w:val="ListParagraph"/>
        <w:spacing w:after="0" w:line="480" w:lineRule="auto"/>
        <w:ind w:left="0"/>
        <w:jc w:val="both"/>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Variables included in the current research were selected due to their theoretical and empirical significance in predicting the default</w:t>
      </w:r>
      <w:r w:rsidR="00D15CD0">
        <w:rPr>
          <w:rFonts w:ascii="Times New Roman" w:hAnsi="Times New Roman" w:cs="Times New Roman"/>
          <w:sz w:val="22"/>
          <w:szCs w:val="22"/>
          <w:shd w:val="clear" w:color="auto" w:fill="FFFFFF"/>
        </w:rPr>
        <w:t xml:space="preserve"> and</w:t>
      </w:r>
      <w:r w:rsidRPr="00B62207">
        <w:rPr>
          <w:rFonts w:ascii="Times New Roman" w:hAnsi="Times New Roman" w:cs="Times New Roman"/>
          <w:sz w:val="22"/>
          <w:szCs w:val="22"/>
          <w:shd w:val="clear" w:color="auto" w:fill="FFFFFF"/>
        </w:rPr>
        <w:t xml:space="preserve"> the previous literature</w:t>
      </w:r>
      <w:r w:rsidR="00D15CD0">
        <w:rPr>
          <w:rFonts w:ascii="Times New Roman" w:hAnsi="Times New Roman" w:cs="Times New Roman"/>
          <w:sz w:val="22"/>
          <w:szCs w:val="22"/>
          <w:shd w:val="clear" w:color="auto" w:fill="FFFFFF"/>
        </w:rPr>
        <w:t>s</w:t>
      </w:r>
      <w:r w:rsidRPr="00B62207">
        <w:rPr>
          <w:rFonts w:ascii="Times New Roman" w:hAnsi="Times New Roman" w:cs="Times New Roman"/>
          <w:sz w:val="22"/>
          <w:szCs w:val="22"/>
          <w:shd w:val="clear" w:color="auto" w:fill="FFFFFF"/>
        </w:rPr>
        <w:t xml:space="preserve">. The </w:t>
      </w:r>
      <w:r w:rsidR="008B107D" w:rsidRPr="00B62207">
        <w:rPr>
          <w:rFonts w:ascii="Times New Roman" w:hAnsi="Times New Roman" w:cs="Times New Roman"/>
          <w:sz w:val="22"/>
          <w:szCs w:val="22"/>
          <w:shd w:val="clear" w:color="auto" w:fill="FFFFFF"/>
        </w:rPr>
        <w:t>Debt-to-Asset Ratio</w:t>
      </w:r>
      <w:r w:rsidRPr="00B62207">
        <w:rPr>
          <w:rFonts w:ascii="Times New Roman" w:hAnsi="Times New Roman" w:cs="Times New Roman"/>
          <w:sz w:val="22"/>
          <w:szCs w:val="22"/>
          <w:shd w:val="clear" w:color="auto" w:fill="FFFFFF"/>
        </w:rPr>
        <w:t xml:space="preserve"> is one of the critical variables as it portrays </w:t>
      </w:r>
      <w:r w:rsidR="00116918">
        <w:rPr>
          <w:rFonts w:ascii="Times New Roman" w:hAnsi="Times New Roman" w:cs="Times New Roman"/>
          <w:sz w:val="22"/>
          <w:szCs w:val="22"/>
          <w:shd w:val="clear" w:color="auto" w:fill="FFFFFF"/>
        </w:rPr>
        <w:t>a firm’s leverage</w:t>
      </w:r>
      <w:r w:rsidRPr="00B62207">
        <w:rPr>
          <w:rFonts w:ascii="Times New Roman" w:hAnsi="Times New Roman" w:cs="Times New Roman"/>
          <w:sz w:val="22"/>
          <w:szCs w:val="22"/>
          <w:shd w:val="clear" w:color="auto" w:fill="FFFFFF"/>
        </w:rPr>
        <w:t xml:space="preserve"> relative to the</w:t>
      </w:r>
      <w:r w:rsidR="008B107D" w:rsidRPr="00B62207">
        <w:rPr>
          <w:rFonts w:ascii="Times New Roman" w:hAnsi="Times New Roman" w:cs="Times New Roman"/>
          <w:sz w:val="22"/>
          <w:szCs w:val="22"/>
          <w:shd w:val="clear" w:color="auto" w:fill="FFFFFF"/>
        </w:rPr>
        <w:t xml:space="preserve"> total assets</w:t>
      </w:r>
      <w:r w:rsidRPr="00B62207">
        <w:rPr>
          <w:rFonts w:ascii="Times New Roman" w:hAnsi="Times New Roman" w:cs="Times New Roman"/>
          <w:sz w:val="22"/>
          <w:szCs w:val="22"/>
          <w:shd w:val="clear" w:color="auto" w:fill="FFFFFF"/>
        </w:rPr>
        <w:t xml:space="preserve"> of the firm.</w:t>
      </w:r>
      <w:r w:rsidR="008B107D" w:rsidRPr="00B62207">
        <w:rPr>
          <w:rFonts w:ascii="Times New Roman" w:hAnsi="Times New Roman" w:cs="Times New Roman"/>
          <w:sz w:val="22"/>
          <w:szCs w:val="22"/>
          <w:shd w:val="clear" w:color="auto" w:fill="FFFFFF"/>
        </w:rPr>
        <w:t xml:space="preserve"> Higher leverage </w:t>
      </w:r>
      <w:r w:rsidR="00DF16EB">
        <w:rPr>
          <w:rFonts w:ascii="Times New Roman" w:hAnsi="Times New Roman" w:cs="Times New Roman"/>
          <w:sz w:val="22"/>
          <w:szCs w:val="22"/>
          <w:shd w:val="clear" w:color="auto" w:fill="FFFFFF"/>
        </w:rPr>
        <w:t>signals greater</w:t>
      </w:r>
      <w:r w:rsidRPr="00B62207">
        <w:rPr>
          <w:rFonts w:ascii="Times New Roman" w:hAnsi="Times New Roman" w:cs="Times New Roman"/>
          <w:sz w:val="22"/>
          <w:szCs w:val="22"/>
          <w:shd w:val="clear" w:color="auto" w:fill="FFFFFF"/>
        </w:rPr>
        <w:t xml:space="preserve"> financial commitments in comparison with the assets, which are </w:t>
      </w:r>
      <w:r w:rsidR="008F2C0E" w:rsidRPr="00B62207">
        <w:rPr>
          <w:rFonts w:ascii="Times New Roman" w:hAnsi="Times New Roman" w:cs="Times New Roman"/>
          <w:sz w:val="22"/>
          <w:szCs w:val="22"/>
          <w:shd w:val="clear" w:color="auto" w:fill="FFFFFF"/>
        </w:rPr>
        <w:t>intricately linked</w:t>
      </w:r>
      <w:r w:rsidRPr="00B62207">
        <w:rPr>
          <w:rFonts w:ascii="Times New Roman" w:hAnsi="Times New Roman" w:cs="Times New Roman"/>
          <w:sz w:val="22"/>
          <w:szCs w:val="22"/>
          <w:shd w:val="clear" w:color="auto" w:fill="FFFFFF"/>
        </w:rPr>
        <w:t xml:space="preserve"> with a high likelihood of default (Löffler and Maurer, 2011a).</w:t>
      </w:r>
      <w:r w:rsidR="00B275B2">
        <w:rPr>
          <w:rFonts w:ascii="Times New Roman" w:hAnsi="Times New Roman" w:cs="Times New Roman"/>
          <w:sz w:val="22"/>
          <w:szCs w:val="22"/>
          <w:shd w:val="clear" w:color="auto" w:fill="FFFFFF"/>
        </w:rPr>
        <w:t xml:space="preserve"> </w:t>
      </w:r>
      <w:r w:rsidR="00B275B2" w:rsidRPr="00361760">
        <w:rPr>
          <w:rFonts w:ascii="Times New Roman" w:hAnsi="Times New Roman" w:cs="Times New Roman"/>
          <w:sz w:val="22"/>
          <w:szCs w:val="22"/>
          <w:shd w:val="clear" w:color="auto" w:fill="FFFFFF"/>
        </w:rPr>
        <w:t xml:space="preserve">Following established practice, the ratio is constrained between 0 and </w:t>
      </w:r>
      <w:r w:rsidR="00361760">
        <w:rPr>
          <w:rFonts w:ascii="Times New Roman" w:hAnsi="Times New Roman" w:cs="Times New Roman"/>
          <w:sz w:val="22"/>
          <w:szCs w:val="22"/>
          <w:shd w:val="clear" w:color="auto" w:fill="FFFFFF"/>
        </w:rPr>
        <w:t>1.</w:t>
      </w:r>
    </w:p>
    <w:p w14:paraId="286EB20F" w14:textId="77777777" w:rsidR="003777E1" w:rsidRPr="00B62207" w:rsidRDefault="003777E1" w:rsidP="00216F6D">
      <w:pPr>
        <w:pStyle w:val="ListParagraph"/>
        <w:spacing w:after="0" w:line="480" w:lineRule="auto"/>
        <w:ind w:left="0"/>
        <w:jc w:val="both"/>
        <w:rPr>
          <w:rFonts w:ascii="Times New Roman" w:hAnsi="Times New Roman" w:cs="Times New Roman"/>
          <w:color w:val="00B050"/>
          <w:sz w:val="22"/>
          <w:szCs w:val="22"/>
        </w:rPr>
      </w:pPr>
    </w:p>
    <w:p w14:paraId="5A6D719D" w14:textId="5DED1C84" w:rsidR="008B107D" w:rsidRPr="00B62207" w:rsidRDefault="008B107D"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 xml:space="preserve">The Current Ratio was incorporated to reflect liquidity, as the ability to meet short-term liabilities is critical for survival. A ratio below 1 implies technical insolvency, whereas higher liquidity ratios </w:t>
      </w:r>
      <w:r w:rsidR="00302951" w:rsidRPr="00B62207">
        <w:rPr>
          <w:rFonts w:ascii="Times New Roman" w:hAnsi="Times New Roman" w:cs="Times New Roman"/>
          <w:sz w:val="22"/>
          <w:szCs w:val="22"/>
        </w:rPr>
        <w:t>reduce</w:t>
      </w:r>
      <w:r w:rsidRPr="00B62207">
        <w:rPr>
          <w:rFonts w:ascii="Times New Roman" w:hAnsi="Times New Roman" w:cs="Times New Roman"/>
          <w:sz w:val="22"/>
          <w:szCs w:val="22"/>
        </w:rPr>
        <w:t xml:space="preserve"> default risk (Grammenos, Nomikos, &amp; </w:t>
      </w:r>
      <w:proofErr w:type="spellStart"/>
      <w:r w:rsidRPr="00B62207">
        <w:rPr>
          <w:rFonts w:ascii="Times New Roman" w:hAnsi="Times New Roman" w:cs="Times New Roman"/>
          <w:sz w:val="22"/>
          <w:szCs w:val="22"/>
        </w:rPr>
        <w:t>Papapostolou</w:t>
      </w:r>
      <w:proofErr w:type="spellEnd"/>
      <w:r w:rsidRPr="00B62207">
        <w:rPr>
          <w:rFonts w:ascii="Times New Roman" w:hAnsi="Times New Roman" w:cs="Times New Roman"/>
          <w:sz w:val="22"/>
          <w:szCs w:val="22"/>
        </w:rPr>
        <w:t>, 2008). Nevertheless, excess liquidity may signal a lack of profitable investment opportunities, which could negatively impact long-term performance (Zhang et al., 2020a). Thus, the relationship is expected to be negative but nonlinear, with a practical range between 0.25 and 3.</w:t>
      </w:r>
    </w:p>
    <w:p w14:paraId="4A504808" w14:textId="77777777" w:rsidR="008E7777" w:rsidRPr="00B62207" w:rsidRDefault="008E7777" w:rsidP="00216F6D">
      <w:pPr>
        <w:spacing w:after="0" w:line="480" w:lineRule="auto"/>
        <w:jc w:val="both"/>
        <w:rPr>
          <w:rFonts w:ascii="Times New Roman" w:hAnsi="Times New Roman" w:cs="Times New Roman"/>
          <w:sz w:val="22"/>
          <w:szCs w:val="22"/>
        </w:rPr>
      </w:pPr>
    </w:p>
    <w:p w14:paraId="33AC7059" w14:textId="6B98A476" w:rsidR="008B107D" w:rsidRPr="00B62207" w:rsidRDefault="008B107D"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 xml:space="preserve">Profitability is </w:t>
      </w:r>
      <w:r w:rsidR="001E561C">
        <w:rPr>
          <w:rFonts w:ascii="Times New Roman" w:hAnsi="Times New Roman" w:cs="Times New Roman"/>
          <w:sz w:val="22"/>
          <w:szCs w:val="22"/>
        </w:rPr>
        <w:t>captured</w:t>
      </w:r>
      <w:r w:rsidRPr="00B62207">
        <w:rPr>
          <w:rFonts w:ascii="Times New Roman" w:hAnsi="Times New Roman" w:cs="Times New Roman"/>
          <w:sz w:val="22"/>
          <w:szCs w:val="22"/>
        </w:rPr>
        <w:t xml:space="preserve"> through Return on Assets (ROA), </w:t>
      </w:r>
      <w:r w:rsidR="00906604" w:rsidRPr="00906604">
        <w:rPr>
          <w:rFonts w:ascii="Times New Roman" w:hAnsi="Times New Roman" w:cs="Times New Roman"/>
          <w:sz w:val="22"/>
          <w:szCs w:val="22"/>
        </w:rPr>
        <w:t>reflecting how efficiently assets generate net income</w:t>
      </w:r>
      <w:r w:rsidRPr="00B62207">
        <w:rPr>
          <w:rFonts w:ascii="Times New Roman" w:hAnsi="Times New Roman" w:cs="Times New Roman"/>
          <w:sz w:val="22"/>
          <w:szCs w:val="22"/>
        </w:rPr>
        <w:t xml:space="preserve">. A higher ROA indicates stronger financial health, leading to a lower </w:t>
      </w:r>
      <w:r w:rsidR="00C633F6">
        <w:rPr>
          <w:rFonts w:ascii="Times New Roman" w:hAnsi="Times New Roman" w:cs="Times New Roman"/>
          <w:sz w:val="22"/>
          <w:szCs w:val="22"/>
        </w:rPr>
        <w:t>default probability</w:t>
      </w:r>
      <w:r w:rsidR="003914AD" w:rsidRPr="00B62207">
        <w:rPr>
          <w:rFonts w:ascii="Times New Roman" w:hAnsi="Times New Roman" w:cs="Times New Roman"/>
          <w:sz w:val="22"/>
          <w:szCs w:val="22"/>
        </w:rPr>
        <w:t>.</w:t>
      </w:r>
      <w:r w:rsidRPr="00B62207">
        <w:rPr>
          <w:rFonts w:ascii="Times New Roman" w:hAnsi="Times New Roman" w:cs="Times New Roman"/>
          <w:sz w:val="22"/>
          <w:szCs w:val="22"/>
        </w:rPr>
        <w:t xml:space="preserve"> The higher a company’s return on assets compared to its industry, the better (Grammenos et al., 2008b). The variable is bounded between -0.5 and 0.3 to capture both loss-making and profitable firms</w:t>
      </w:r>
      <w:r w:rsidR="00F8144C">
        <w:rPr>
          <w:rFonts w:ascii="Times New Roman" w:hAnsi="Times New Roman" w:cs="Times New Roman"/>
          <w:sz w:val="22"/>
          <w:szCs w:val="22"/>
        </w:rPr>
        <w:t xml:space="preserve">, </w:t>
      </w:r>
      <w:r w:rsidR="00F8144C" w:rsidRPr="00F8144C">
        <w:rPr>
          <w:rFonts w:ascii="Times New Roman" w:hAnsi="Times New Roman" w:cs="Times New Roman"/>
          <w:sz w:val="22"/>
          <w:szCs w:val="22"/>
        </w:rPr>
        <w:t>following prior studies</w:t>
      </w:r>
      <w:r w:rsidR="00F8144C" w:rsidRPr="00B62207">
        <w:rPr>
          <w:rFonts w:ascii="Times New Roman" w:hAnsi="Times New Roman" w:cs="Times New Roman"/>
          <w:sz w:val="22"/>
          <w:szCs w:val="22"/>
        </w:rPr>
        <w:t xml:space="preserve"> </w:t>
      </w:r>
      <w:r w:rsidRPr="00B62207">
        <w:rPr>
          <w:rFonts w:ascii="Times New Roman" w:hAnsi="Times New Roman" w:cs="Times New Roman"/>
          <w:sz w:val="22"/>
          <w:szCs w:val="22"/>
        </w:rPr>
        <w:t>(Löffler &amp; Maurer, 2011b).</w:t>
      </w:r>
      <w:r w:rsidRPr="00F8144C">
        <w:rPr>
          <w:rFonts w:ascii="Times New Roman" w:hAnsi="Times New Roman" w:cs="Times New Roman"/>
          <w:sz w:val="22"/>
          <w:szCs w:val="22"/>
        </w:rPr>
        <w:t xml:space="preserve"> In addition</w:t>
      </w:r>
      <w:r w:rsidRPr="00B62207">
        <w:rPr>
          <w:rFonts w:ascii="Times New Roman" w:hAnsi="Times New Roman" w:cs="Times New Roman"/>
          <w:sz w:val="22"/>
          <w:szCs w:val="22"/>
        </w:rPr>
        <w:t xml:space="preserve">, </w:t>
      </w:r>
      <w:r w:rsidR="007A0751" w:rsidRPr="007A0751">
        <w:rPr>
          <w:rFonts w:ascii="Times New Roman" w:hAnsi="Times New Roman" w:cs="Times New Roman"/>
          <w:sz w:val="22"/>
          <w:szCs w:val="22"/>
        </w:rPr>
        <w:t>ROA is also a key indicator for investors when making investment decisions</w:t>
      </w:r>
      <w:r w:rsidRPr="00B62207">
        <w:rPr>
          <w:rFonts w:ascii="Times New Roman" w:hAnsi="Times New Roman" w:cs="Times New Roman"/>
          <w:sz w:val="22"/>
          <w:szCs w:val="22"/>
        </w:rPr>
        <w:t xml:space="preserve"> (</w:t>
      </w:r>
      <w:proofErr w:type="spellStart"/>
      <w:r w:rsidRPr="00B62207">
        <w:rPr>
          <w:rFonts w:ascii="Times New Roman" w:hAnsi="Times New Roman" w:cs="Times New Roman"/>
          <w:sz w:val="22"/>
          <w:szCs w:val="22"/>
        </w:rPr>
        <w:t>Tserng</w:t>
      </w:r>
      <w:proofErr w:type="spellEnd"/>
      <w:r w:rsidRPr="00B62207">
        <w:rPr>
          <w:rFonts w:ascii="Times New Roman" w:hAnsi="Times New Roman" w:cs="Times New Roman"/>
          <w:sz w:val="22"/>
          <w:szCs w:val="22"/>
        </w:rPr>
        <w:t xml:space="preserve"> et al., 2014).</w:t>
      </w:r>
    </w:p>
    <w:p w14:paraId="3196F993" w14:textId="77777777" w:rsidR="008B107D" w:rsidRPr="00B62207" w:rsidRDefault="008B107D" w:rsidP="00216F6D">
      <w:pPr>
        <w:spacing w:after="0" w:line="480" w:lineRule="auto"/>
        <w:jc w:val="both"/>
        <w:rPr>
          <w:rFonts w:ascii="Times New Roman" w:hAnsi="Times New Roman" w:cs="Times New Roman"/>
          <w:sz w:val="22"/>
          <w:szCs w:val="22"/>
        </w:rPr>
      </w:pPr>
    </w:p>
    <w:p w14:paraId="795ED7C7" w14:textId="41596CB3" w:rsidR="008B107D" w:rsidRPr="00B62207" w:rsidRDefault="008B107D"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shd w:val="clear" w:color="auto" w:fill="FFFFFF"/>
        </w:rPr>
        <w:t>Firm Size, measured as the logarithm of total assets, which is ln (total assets), was selected</w:t>
      </w:r>
      <w:r w:rsidR="006C6D87">
        <w:rPr>
          <w:rFonts w:ascii="Times New Roman" w:hAnsi="Times New Roman" w:cs="Times New Roman"/>
          <w:sz w:val="22"/>
          <w:szCs w:val="22"/>
          <w:shd w:val="clear" w:color="auto" w:fill="FFFFFF"/>
        </w:rPr>
        <w:t xml:space="preserve"> as </w:t>
      </w:r>
      <w:r w:rsidR="006C6D87">
        <w:rPr>
          <w:rFonts w:ascii="Times New Roman" w:hAnsi="Times New Roman" w:cs="Times New Roman"/>
          <w:sz w:val="22"/>
          <w:szCs w:val="22"/>
        </w:rPr>
        <w:t>l</w:t>
      </w:r>
      <w:r w:rsidRPr="00B62207">
        <w:rPr>
          <w:rFonts w:ascii="Times New Roman" w:hAnsi="Times New Roman" w:cs="Times New Roman"/>
          <w:sz w:val="22"/>
          <w:szCs w:val="22"/>
        </w:rPr>
        <w:t xml:space="preserve">arger firms have lower </w:t>
      </w:r>
      <w:r w:rsidR="006C6D87">
        <w:rPr>
          <w:rFonts w:ascii="Times New Roman" w:hAnsi="Times New Roman" w:cs="Times New Roman"/>
          <w:sz w:val="22"/>
          <w:szCs w:val="22"/>
        </w:rPr>
        <w:t>default probability</w:t>
      </w:r>
      <w:r w:rsidRPr="00B62207">
        <w:rPr>
          <w:rFonts w:ascii="Times New Roman" w:hAnsi="Times New Roman" w:cs="Times New Roman"/>
          <w:sz w:val="22"/>
          <w:szCs w:val="22"/>
        </w:rPr>
        <w:t xml:space="preserve"> (</w:t>
      </w:r>
      <w:r w:rsidR="006C6D87">
        <w:rPr>
          <w:rFonts w:ascii="Times New Roman" w:hAnsi="Times New Roman" w:cs="Times New Roman"/>
          <w:sz w:val="22"/>
          <w:szCs w:val="22"/>
        </w:rPr>
        <w:t>DP</w:t>
      </w:r>
      <w:r w:rsidRPr="00B62207">
        <w:rPr>
          <w:rFonts w:ascii="Times New Roman" w:hAnsi="Times New Roman" w:cs="Times New Roman"/>
          <w:sz w:val="22"/>
          <w:szCs w:val="22"/>
        </w:rPr>
        <w:t xml:space="preserve">) </w:t>
      </w:r>
      <w:r w:rsidR="00AA7E9A">
        <w:rPr>
          <w:rFonts w:ascii="Times New Roman" w:hAnsi="Times New Roman" w:cs="Times New Roman"/>
          <w:sz w:val="22"/>
          <w:szCs w:val="22"/>
        </w:rPr>
        <w:t>due to</w:t>
      </w:r>
      <w:r w:rsidRPr="00B62207">
        <w:rPr>
          <w:rFonts w:ascii="Times New Roman" w:hAnsi="Times New Roman" w:cs="Times New Roman"/>
          <w:sz w:val="22"/>
          <w:szCs w:val="22"/>
        </w:rPr>
        <w:t xml:space="preserve"> </w:t>
      </w:r>
      <w:r w:rsidR="00A95B3C" w:rsidRPr="00FF3AC8">
        <w:rPr>
          <w:rFonts w:ascii="Times New Roman" w:hAnsi="Times New Roman" w:cs="Times New Roman"/>
          <w:sz w:val="22"/>
          <w:szCs w:val="22"/>
          <w:shd w:val="clear" w:color="auto" w:fill="FFFFFF"/>
        </w:rPr>
        <w:t xml:space="preserve">business diversification </w:t>
      </w:r>
      <w:r w:rsidRPr="00FF3AC8">
        <w:rPr>
          <w:rFonts w:ascii="Times New Roman" w:hAnsi="Times New Roman" w:cs="Times New Roman"/>
          <w:sz w:val="22"/>
          <w:szCs w:val="22"/>
          <w:shd w:val="clear" w:color="auto" w:fill="FFFFFF"/>
        </w:rPr>
        <w:t xml:space="preserve">and </w:t>
      </w:r>
      <w:r w:rsidR="00FF3AC8" w:rsidRPr="00FF3AC8">
        <w:rPr>
          <w:rFonts w:ascii="Times New Roman" w:hAnsi="Times New Roman" w:cs="Times New Roman"/>
          <w:sz w:val="22"/>
          <w:szCs w:val="22"/>
          <w:shd w:val="clear" w:color="auto" w:fill="FFFFFF"/>
        </w:rPr>
        <w:t>broader financing channels</w:t>
      </w:r>
      <w:r w:rsidR="00FF3AC8" w:rsidRPr="00B62207">
        <w:rPr>
          <w:rFonts w:ascii="Times New Roman" w:hAnsi="Times New Roman" w:cs="Times New Roman"/>
          <w:sz w:val="22"/>
          <w:szCs w:val="22"/>
          <w:shd w:val="clear" w:color="auto" w:fill="FFFFFF"/>
        </w:rPr>
        <w:t xml:space="preserve"> </w:t>
      </w:r>
      <w:r w:rsidRPr="00B62207">
        <w:rPr>
          <w:rFonts w:ascii="Times New Roman" w:hAnsi="Times New Roman" w:cs="Times New Roman"/>
          <w:sz w:val="22"/>
          <w:szCs w:val="22"/>
          <w:shd w:val="clear" w:color="auto" w:fill="FFFFFF"/>
        </w:rPr>
        <w:t>(Zhang et al., 2020b)</w:t>
      </w:r>
      <w:r w:rsidRPr="00FF3AC8">
        <w:rPr>
          <w:rFonts w:ascii="Times New Roman" w:hAnsi="Times New Roman" w:cs="Times New Roman"/>
          <w:sz w:val="22"/>
          <w:szCs w:val="22"/>
          <w:shd w:val="clear" w:color="auto" w:fill="FFFFFF"/>
        </w:rPr>
        <w:t>. Large-scale industries exhibit higher external financial dependence than small</w:t>
      </w:r>
      <w:r w:rsidR="004251D6">
        <w:rPr>
          <w:rFonts w:ascii="Times New Roman" w:hAnsi="Times New Roman" w:cs="Times New Roman"/>
          <w:sz w:val="22"/>
          <w:szCs w:val="22"/>
          <w:shd w:val="clear" w:color="auto" w:fill="FFFFFF"/>
        </w:rPr>
        <w:t>-</w:t>
      </w:r>
      <w:r w:rsidRPr="00FF3AC8">
        <w:rPr>
          <w:rFonts w:ascii="Times New Roman" w:hAnsi="Times New Roman" w:cs="Times New Roman"/>
          <w:sz w:val="22"/>
          <w:szCs w:val="22"/>
          <w:shd w:val="clear" w:color="auto" w:fill="FFFFFF"/>
        </w:rPr>
        <w:t xml:space="preserve">scale industries. In addition, </w:t>
      </w:r>
      <w:r w:rsidR="00730265">
        <w:rPr>
          <w:rFonts w:ascii="Times New Roman" w:hAnsi="Times New Roman" w:cs="Times New Roman"/>
          <w:sz w:val="22"/>
          <w:szCs w:val="22"/>
          <w:shd w:val="clear" w:color="auto" w:fill="FFFFFF"/>
        </w:rPr>
        <w:t>t</w:t>
      </w:r>
      <w:r w:rsidR="00730265" w:rsidRPr="00730265">
        <w:rPr>
          <w:rFonts w:ascii="Times New Roman" w:hAnsi="Times New Roman" w:cs="Times New Roman"/>
          <w:sz w:val="22"/>
          <w:szCs w:val="22"/>
          <w:shd w:val="clear" w:color="auto" w:fill="FFFFFF"/>
        </w:rPr>
        <w:t>hey also face fewer credit constraints, whereas smaller firms are more vulnerable</w:t>
      </w:r>
      <w:r w:rsidRPr="00730265">
        <w:rPr>
          <w:rFonts w:ascii="Times New Roman" w:hAnsi="Times New Roman" w:cs="Times New Roman"/>
          <w:sz w:val="22"/>
          <w:szCs w:val="22"/>
          <w:shd w:val="clear" w:color="auto" w:fill="FFFFFF"/>
        </w:rPr>
        <w:t xml:space="preserve">. </w:t>
      </w:r>
      <w:r w:rsidRPr="00B62207">
        <w:rPr>
          <w:rFonts w:ascii="Times New Roman" w:hAnsi="Times New Roman" w:cs="Times New Roman"/>
          <w:sz w:val="22"/>
          <w:szCs w:val="22"/>
          <w:shd w:val="clear" w:color="auto" w:fill="FFFFFF"/>
        </w:rPr>
        <w:t xml:space="preserve">Following Westgaard and Van der </w:t>
      </w:r>
      <w:proofErr w:type="spellStart"/>
      <w:r w:rsidRPr="00B62207">
        <w:rPr>
          <w:rFonts w:ascii="Times New Roman" w:hAnsi="Times New Roman" w:cs="Times New Roman"/>
          <w:sz w:val="22"/>
          <w:szCs w:val="22"/>
          <w:shd w:val="clear" w:color="auto" w:fill="FFFFFF"/>
        </w:rPr>
        <w:t>Wijst</w:t>
      </w:r>
      <w:proofErr w:type="spellEnd"/>
      <w:r w:rsidRPr="00B62207">
        <w:rPr>
          <w:rFonts w:ascii="Times New Roman" w:hAnsi="Times New Roman" w:cs="Times New Roman"/>
          <w:sz w:val="22"/>
          <w:szCs w:val="22"/>
          <w:shd w:val="clear" w:color="auto" w:fill="FFFFFF"/>
        </w:rPr>
        <w:t xml:space="preserve"> (2001a), firm size was restricted between 10 and 21 to exclude inactive firms </w:t>
      </w:r>
      <w:r w:rsidR="002F07F0" w:rsidRPr="00F473FE">
        <w:rPr>
          <w:rFonts w:ascii="Times New Roman" w:hAnsi="Times New Roman" w:cs="Times New Roman"/>
          <w:sz w:val="22"/>
          <w:szCs w:val="22"/>
        </w:rPr>
        <w:t>with potential accounting errors</w:t>
      </w:r>
      <w:r w:rsidRPr="00B62207">
        <w:rPr>
          <w:rFonts w:ascii="Times New Roman" w:hAnsi="Times New Roman" w:cs="Times New Roman"/>
          <w:sz w:val="22"/>
          <w:szCs w:val="22"/>
          <w:shd w:val="clear" w:color="auto" w:fill="FFFFFF"/>
        </w:rPr>
        <w:t>.</w:t>
      </w:r>
    </w:p>
    <w:p w14:paraId="4688D824" w14:textId="77777777" w:rsidR="008B107D" w:rsidRPr="00B62207" w:rsidRDefault="008B107D" w:rsidP="00216F6D">
      <w:pPr>
        <w:spacing w:after="0" w:line="480" w:lineRule="auto"/>
        <w:jc w:val="center"/>
        <w:rPr>
          <w:rFonts w:ascii="Times New Roman" w:hAnsi="Times New Roman" w:cs="Times New Roman"/>
          <w:color w:val="00B050"/>
          <w:sz w:val="22"/>
          <w:szCs w:val="22"/>
        </w:rPr>
      </w:pPr>
      <w:r w:rsidRPr="00B62207">
        <w:rPr>
          <w:rFonts w:ascii="Times New Roman" w:hAnsi="Times New Roman" w:cs="Times New Roman"/>
          <w:noProof/>
          <w:sz w:val="22"/>
          <w:szCs w:val="22"/>
        </w:rPr>
        <w:drawing>
          <wp:inline distT="0" distB="0" distL="0" distR="0" wp14:anchorId="574449FB" wp14:editId="171888EC">
            <wp:extent cx="6036373" cy="1816100"/>
            <wp:effectExtent l="0" t="0" r="0" b="0"/>
            <wp:docPr id="684236912" name="Picture 3"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36912" name="Picture 3" descr="A table with numbers and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067687" cy="1825521"/>
                    </a:xfrm>
                    <a:prstGeom prst="rect">
                      <a:avLst/>
                    </a:prstGeom>
                  </pic:spPr>
                </pic:pic>
              </a:graphicData>
            </a:graphic>
          </wp:inline>
        </w:drawing>
      </w:r>
    </w:p>
    <w:p w14:paraId="0AD8B7D2" w14:textId="13A777D3" w:rsidR="008B107D" w:rsidRPr="00ED39C5" w:rsidRDefault="008B107D" w:rsidP="00216F6D">
      <w:pPr>
        <w:pStyle w:val="Subtitle"/>
        <w:numPr>
          <w:ilvl w:val="0"/>
          <w:numId w:val="0"/>
        </w:numPr>
        <w:spacing w:after="0" w:line="480" w:lineRule="auto"/>
        <w:ind w:left="720"/>
        <w:jc w:val="center"/>
        <w:rPr>
          <w:rFonts w:ascii="Times New Roman" w:hAnsi="Times New Roman" w:cs="Times New Roman"/>
          <w:sz w:val="20"/>
          <w:szCs w:val="20"/>
        </w:rPr>
      </w:pPr>
      <w:bookmarkStart w:id="6" w:name="_Toc208742960"/>
      <w:r w:rsidRPr="00ED39C5">
        <w:rPr>
          <w:rFonts w:ascii="Times New Roman" w:hAnsi="Times New Roman" w:cs="Times New Roman"/>
          <w:sz w:val="20"/>
          <w:szCs w:val="20"/>
        </w:rPr>
        <w:t>F</w:t>
      </w:r>
      <w:r w:rsidR="00C730D0" w:rsidRPr="00ED39C5">
        <w:rPr>
          <w:rFonts w:ascii="Times New Roman" w:hAnsi="Times New Roman" w:cs="Times New Roman"/>
          <w:sz w:val="20"/>
          <w:szCs w:val="20"/>
        </w:rPr>
        <w:t>i</w:t>
      </w:r>
      <w:r w:rsidRPr="00ED39C5">
        <w:rPr>
          <w:rFonts w:ascii="Times New Roman" w:hAnsi="Times New Roman" w:cs="Times New Roman"/>
          <w:sz w:val="20"/>
          <w:szCs w:val="20"/>
        </w:rPr>
        <w:t xml:space="preserve">gure </w:t>
      </w:r>
      <w:r w:rsidR="00AD22BC" w:rsidRPr="00ED39C5">
        <w:rPr>
          <w:rFonts w:ascii="Times New Roman" w:hAnsi="Times New Roman" w:cs="Times New Roman"/>
          <w:sz w:val="20"/>
          <w:szCs w:val="20"/>
        </w:rPr>
        <w:t>4</w:t>
      </w:r>
      <w:r w:rsidRPr="00ED39C5">
        <w:rPr>
          <w:rFonts w:ascii="Times New Roman" w:hAnsi="Times New Roman" w:cs="Times New Roman"/>
          <w:sz w:val="20"/>
          <w:szCs w:val="20"/>
        </w:rPr>
        <w:t xml:space="preserve">: </w:t>
      </w:r>
      <w:r w:rsidR="00C730D0" w:rsidRPr="00ED39C5">
        <w:rPr>
          <w:rFonts w:ascii="Times New Roman" w:hAnsi="Times New Roman" w:cs="Times New Roman"/>
          <w:sz w:val="20"/>
          <w:szCs w:val="20"/>
        </w:rPr>
        <w:t>T</w:t>
      </w:r>
      <w:r w:rsidRPr="00ED39C5">
        <w:rPr>
          <w:rFonts w:ascii="Times New Roman" w:hAnsi="Times New Roman" w:cs="Times New Roman"/>
          <w:sz w:val="20"/>
          <w:szCs w:val="20"/>
        </w:rPr>
        <w:t>he total assets indicating firm size (Lopez, 2004)</w:t>
      </w:r>
      <w:bookmarkEnd w:id="6"/>
    </w:p>
    <w:p w14:paraId="43B3410A" w14:textId="77777777" w:rsidR="008B107D" w:rsidRPr="00B62207" w:rsidRDefault="008B107D" w:rsidP="00216F6D">
      <w:pPr>
        <w:spacing w:after="0" w:line="480" w:lineRule="auto"/>
        <w:jc w:val="both"/>
        <w:rPr>
          <w:rFonts w:ascii="Times New Roman" w:hAnsi="Times New Roman" w:cs="Times New Roman"/>
          <w:sz w:val="22"/>
          <w:szCs w:val="22"/>
        </w:rPr>
      </w:pPr>
    </w:p>
    <w:p w14:paraId="3710A57E" w14:textId="04C2AAD5" w:rsidR="008B107D" w:rsidRPr="00B62207" w:rsidRDefault="008B107D"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 xml:space="preserve">Another important determinant is Cash Flow to Debt, which directly measures a firm’s ability to meet obligations (Westgaard &amp; Van der Wijst, 2001b). Higher </w:t>
      </w:r>
      <w:r w:rsidR="00105DCB">
        <w:rPr>
          <w:rFonts w:ascii="Times New Roman" w:hAnsi="Times New Roman" w:cs="Times New Roman"/>
          <w:sz w:val="22"/>
          <w:szCs w:val="22"/>
        </w:rPr>
        <w:t>ratio</w:t>
      </w:r>
      <w:r w:rsidRPr="00B62207">
        <w:rPr>
          <w:rFonts w:ascii="Times New Roman" w:hAnsi="Times New Roman" w:cs="Times New Roman"/>
          <w:sz w:val="22"/>
          <w:szCs w:val="22"/>
        </w:rPr>
        <w:t xml:space="preserve"> reduces default risk, while persistent negative operating cash flow signals financial distress (Bhimani, </w:t>
      </w:r>
      <w:proofErr w:type="spellStart"/>
      <w:r w:rsidRPr="00B62207">
        <w:rPr>
          <w:rFonts w:ascii="Times New Roman" w:hAnsi="Times New Roman" w:cs="Times New Roman"/>
          <w:sz w:val="22"/>
          <w:szCs w:val="22"/>
        </w:rPr>
        <w:t>Gulamhussen</w:t>
      </w:r>
      <w:proofErr w:type="spellEnd"/>
      <w:r w:rsidRPr="00B62207">
        <w:rPr>
          <w:rFonts w:ascii="Times New Roman" w:hAnsi="Times New Roman" w:cs="Times New Roman"/>
          <w:sz w:val="22"/>
          <w:szCs w:val="22"/>
        </w:rPr>
        <w:t xml:space="preserve">, &amp; da Rocha Lopes, 2014). </w:t>
      </w:r>
      <w:r w:rsidR="00125E82" w:rsidRPr="00125E82">
        <w:rPr>
          <w:rFonts w:ascii="Times New Roman" w:hAnsi="Times New Roman" w:cs="Times New Roman"/>
          <w:sz w:val="22"/>
          <w:szCs w:val="22"/>
        </w:rPr>
        <w:t>Negative values may result from losses</w:t>
      </w:r>
      <w:r w:rsidR="00DC65F1">
        <w:rPr>
          <w:rFonts w:ascii="Times New Roman" w:hAnsi="Times New Roman" w:cs="Times New Roman"/>
          <w:sz w:val="22"/>
          <w:szCs w:val="22"/>
        </w:rPr>
        <w:t>,</w:t>
      </w:r>
      <w:r w:rsidR="00125E82" w:rsidRPr="00125E82">
        <w:rPr>
          <w:rFonts w:ascii="Times New Roman" w:hAnsi="Times New Roman" w:cs="Times New Roman"/>
          <w:sz w:val="22"/>
          <w:szCs w:val="22"/>
        </w:rPr>
        <w:t xml:space="preserve"> high working capital needs. For instance, a ratio of -0.5 means OCF covers only half of debt, while 1.0 implies the firm could repay its entire debt within one year’s cash flow</w:t>
      </w:r>
      <w:r w:rsidRPr="00B62207">
        <w:rPr>
          <w:rFonts w:ascii="Times New Roman" w:hAnsi="Times New Roman" w:cs="Times New Roman"/>
          <w:sz w:val="22"/>
          <w:szCs w:val="22"/>
        </w:rPr>
        <w:t>.</w:t>
      </w:r>
    </w:p>
    <w:p w14:paraId="1801D964" w14:textId="77777777" w:rsidR="008B107D" w:rsidRPr="00B62207" w:rsidRDefault="008B107D" w:rsidP="00216F6D">
      <w:pPr>
        <w:spacing w:after="0" w:line="480" w:lineRule="auto"/>
        <w:jc w:val="both"/>
        <w:rPr>
          <w:rFonts w:ascii="Times New Roman" w:hAnsi="Times New Roman" w:cs="Times New Roman"/>
          <w:sz w:val="22"/>
          <w:szCs w:val="22"/>
        </w:rPr>
      </w:pPr>
    </w:p>
    <w:p w14:paraId="14A9A114" w14:textId="668B3866" w:rsidR="008B107D" w:rsidRPr="00B62207" w:rsidRDefault="008B107D"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 xml:space="preserve">Beyond financial indicators, ESG ratings were included to capture the impact of sustainability practices. </w:t>
      </w:r>
      <w:r w:rsidR="00C931AC" w:rsidRPr="00BB1E75">
        <w:rPr>
          <w:rFonts w:ascii="Times New Roman" w:hAnsi="Times New Roman" w:cs="Times New Roman"/>
          <w:sz w:val="22"/>
          <w:szCs w:val="22"/>
        </w:rPr>
        <w:t>Firms with stronger ESG performance tend to increase shareholder value, have better credit scores, and stronger political connections</w:t>
      </w:r>
      <w:r w:rsidR="00C931AC">
        <w:t xml:space="preserve"> </w:t>
      </w:r>
      <w:r w:rsidRPr="00B62207">
        <w:rPr>
          <w:rFonts w:ascii="Times New Roman" w:hAnsi="Times New Roman" w:cs="Times New Roman"/>
          <w:sz w:val="22"/>
          <w:szCs w:val="22"/>
        </w:rPr>
        <w:t xml:space="preserve">(Li, Zhang, &amp; Zhao, 2022b). The ESG investments </w:t>
      </w:r>
      <w:r w:rsidR="00365EAC" w:rsidRPr="00B62207">
        <w:rPr>
          <w:rFonts w:ascii="Times New Roman" w:hAnsi="Times New Roman" w:cs="Times New Roman"/>
          <w:sz w:val="22"/>
          <w:szCs w:val="22"/>
        </w:rPr>
        <w:t>are</w:t>
      </w:r>
      <w:r w:rsidRPr="00B62207">
        <w:rPr>
          <w:rFonts w:ascii="Times New Roman" w:hAnsi="Times New Roman" w:cs="Times New Roman"/>
          <w:sz w:val="22"/>
          <w:szCs w:val="22"/>
        </w:rPr>
        <w:t xml:space="preserve"> </w:t>
      </w:r>
      <w:r w:rsidR="00F34A8D" w:rsidRPr="00B62207">
        <w:rPr>
          <w:rFonts w:ascii="Times New Roman" w:hAnsi="Times New Roman" w:cs="Times New Roman"/>
          <w:sz w:val="22"/>
          <w:szCs w:val="22"/>
        </w:rPr>
        <w:t>associated</w:t>
      </w:r>
      <w:r w:rsidRPr="00B62207">
        <w:rPr>
          <w:rFonts w:ascii="Times New Roman" w:hAnsi="Times New Roman" w:cs="Times New Roman"/>
          <w:sz w:val="22"/>
          <w:szCs w:val="22"/>
        </w:rPr>
        <w:t xml:space="preserve"> with cash flow and affect short-term repayment ability. Strong ESG performance has been found to enhance resilience</w:t>
      </w:r>
      <w:r w:rsidR="00854A74">
        <w:rPr>
          <w:rFonts w:ascii="Times New Roman" w:hAnsi="Times New Roman" w:cs="Times New Roman"/>
          <w:sz w:val="22"/>
          <w:szCs w:val="22"/>
        </w:rPr>
        <w:t xml:space="preserve"> and</w:t>
      </w:r>
      <w:r w:rsidRPr="00B62207">
        <w:rPr>
          <w:rFonts w:ascii="Times New Roman" w:hAnsi="Times New Roman" w:cs="Times New Roman"/>
          <w:sz w:val="22"/>
          <w:szCs w:val="22"/>
        </w:rPr>
        <w:t xml:space="preserve"> access to finance, reduce default risk.</w:t>
      </w:r>
    </w:p>
    <w:p w14:paraId="09A209D9" w14:textId="77777777" w:rsidR="008B107D" w:rsidRPr="00B62207" w:rsidRDefault="008B107D" w:rsidP="00216F6D">
      <w:pPr>
        <w:spacing w:after="0" w:line="480" w:lineRule="auto"/>
        <w:jc w:val="both"/>
        <w:rPr>
          <w:rFonts w:ascii="Times New Roman" w:hAnsi="Times New Roman" w:cs="Times New Roman"/>
          <w:sz w:val="22"/>
          <w:szCs w:val="22"/>
        </w:rPr>
      </w:pPr>
    </w:p>
    <w:p w14:paraId="4A95289F" w14:textId="07A939E5" w:rsidR="008B107D" w:rsidRPr="00B62207" w:rsidRDefault="008B107D" w:rsidP="00216F6D">
      <w:pPr>
        <w:pStyle w:val="NormalWeb"/>
        <w:spacing w:before="0" w:beforeAutospacing="0" w:after="0" w:afterAutospacing="0" w:line="480" w:lineRule="auto"/>
        <w:jc w:val="both"/>
        <w:rPr>
          <w:sz w:val="22"/>
          <w:szCs w:val="22"/>
        </w:rPr>
      </w:pPr>
      <w:r w:rsidRPr="00B62207">
        <w:rPr>
          <w:sz w:val="22"/>
          <w:szCs w:val="22"/>
        </w:rPr>
        <w:t>Finally, Industry categories were considered to account for sector-specific variations in credit risk, as systematic factors such as business cycles, regulation, and capital intensity affect default rates (Memmel, Gündüz, &amp; Raupach, 2015</w:t>
      </w:r>
      <w:r w:rsidR="00C07D28" w:rsidRPr="00B62207">
        <w:rPr>
          <w:sz w:val="22"/>
          <w:szCs w:val="22"/>
        </w:rPr>
        <w:t>a</w:t>
      </w:r>
      <w:r w:rsidRPr="00B62207">
        <w:rPr>
          <w:sz w:val="22"/>
          <w:szCs w:val="22"/>
        </w:rPr>
        <w:t xml:space="preserve">). </w:t>
      </w:r>
      <w:r w:rsidR="00C97707" w:rsidRPr="00C97707">
        <w:rPr>
          <w:sz w:val="22"/>
          <w:szCs w:val="22"/>
        </w:rPr>
        <w:t>Industry affiliation also affects recovery values in default</w:t>
      </w:r>
      <w:r w:rsidRPr="00B62207">
        <w:rPr>
          <w:sz w:val="22"/>
          <w:szCs w:val="22"/>
        </w:rPr>
        <w:t xml:space="preserve"> (Benzschawel, Haroon &amp; Wu, 2011). </w:t>
      </w:r>
      <w:r w:rsidR="001B12F0">
        <w:rPr>
          <w:sz w:val="22"/>
          <w:szCs w:val="22"/>
        </w:rPr>
        <w:t>Short</w:t>
      </w:r>
      <w:r w:rsidR="00E8183E">
        <w:rPr>
          <w:sz w:val="22"/>
          <w:szCs w:val="22"/>
        </w:rPr>
        <w:t>-</w:t>
      </w:r>
      <w:r w:rsidR="001B12F0">
        <w:rPr>
          <w:sz w:val="22"/>
          <w:szCs w:val="22"/>
        </w:rPr>
        <w:t xml:space="preserve">term </w:t>
      </w:r>
      <w:r w:rsidR="00E8183E">
        <w:rPr>
          <w:sz w:val="22"/>
          <w:szCs w:val="22"/>
        </w:rPr>
        <w:t>i</w:t>
      </w:r>
      <w:r w:rsidRPr="00B62207">
        <w:rPr>
          <w:sz w:val="22"/>
          <w:szCs w:val="22"/>
        </w:rPr>
        <w:t>nterest rates were initially considered</w:t>
      </w:r>
      <w:r w:rsidR="00F356DE">
        <w:rPr>
          <w:sz w:val="22"/>
          <w:szCs w:val="22"/>
        </w:rPr>
        <w:t xml:space="preserve"> but </w:t>
      </w:r>
      <w:r w:rsidRPr="00B62207">
        <w:rPr>
          <w:sz w:val="22"/>
          <w:szCs w:val="22"/>
        </w:rPr>
        <w:t xml:space="preserve">excluded due to their ambiguous relationship with default risk, as high rates can simultaneously increase </w:t>
      </w:r>
      <w:r w:rsidR="008F1414">
        <w:rPr>
          <w:sz w:val="22"/>
          <w:szCs w:val="22"/>
        </w:rPr>
        <w:t xml:space="preserve">both </w:t>
      </w:r>
      <w:r w:rsidRPr="00B62207">
        <w:rPr>
          <w:sz w:val="22"/>
          <w:szCs w:val="22"/>
        </w:rPr>
        <w:t xml:space="preserve">borrowing costs </w:t>
      </w:r>
      <w:r w:rsidR="008F1414">
        <w:rPr>
          <w:sz w:val="22"/>
          <w:szCs w:val="22"/>
        </w:rPr>
        <w:t xml:space="preserve">and </w:t>
      </w:r>
      <w:r w:rsidRPr="00B62207">
        <w:rPr>
          <w:sz w:val="22"/>
          <w:szCs w:val="22"/>
        </w:rPr>
        <w:t>signal robust economic conditions</w:t>
      </w:r>
      <w:r w:rsidR="00CB0AE3">
        <w:rPr>
          <w:sz w:val="22"/>
          <w:szCs w:val="22"/>
        </w:rPr>
        <w:t xml:space="preserve"> </w:t>
      </w:r>
      <w:r w:rsidRPr="00B62207">
        <w:rPr>
          <w:sz w:val="22"/>
          <w:szCs w:val="22"/>
        </w:rPr>
        <w:t>(Zhang et al., 2020c).</w:t>
      </w:r>
    </w:p>
    <w:p w14:paraId="0561DE64" w14:textId="77777777" w:rsidR="004750F6" w:rsidRPr="00B62207" w:rsidRDefault="004750F6" w:rsidP="00216F6D">
      <w:pPr>
        <w:pStyle w:val="NormalWeb"/>
        <w:spacing w:before="0" w:beforeAutospacing="0" w:after="0" w:afterAutospacing="0" w:line="480" w:lineRule="auto"/>
        <w:jc w:val="both"/>
        <w:rPr>
          <w:sz w:val="22"/>
          <w:szCs w:val="22"/>
        </w:rPr>
      </w:pPr>
    </w:p>
    <w:p w14:paraId="6B30759A" w14:textId="276EB71A" w:rsidR="00D00B09" w:rsidRPr="00286FD1" w:rsidRDefault="003D4F0D" w:rsidP="00216F6D">
      <w:pPr>
        <w:pStyle w:val="Heading1"/>
        <w:numPr>
          <w:ilvl w:val="0"/>
          <w:numId w:val="1"/>
        </w:numPr>
        <w:spacing w:before="0" w:after="0" w:line="480" w:lineRule="auto"/>
        <w:ind w:left="360"/>
        <w:jc w:val="both"/>
        <w:rPr>
          <w:rFonts w:ascii="Times New Roman" w:hAnsi="Times New Roman" w:cs="Times New Roman"/>
          <w:b/>
          <w:sz w:val="24"/>
          <w:szCs w:val="24"/>
        </w:rPr>
      </w:pPr>
      <w:bookmarkStart w:id="7" w:name="_Toc208742923"/>
      <w:r w:rsidRPr="00ED39C5">
        <w:rPr>
          <w:rFonts w:ascii="Times New Roman" w:hAnsi="Times New Roman" w:cs="Times New Roman"/>
          <w:b/>
          <w:sz w:val="24"/>
          <w:szCs w:val="24"/>
        </w:rPr>
        <w:t>Coefficient Interpretation</w:t>
      </w:r>
      <w:bookmarkEnd w:id="7"/>
      <w:r w:rsidRPr="00ED39C5">
        <w:rPr>
          <w:rFonts w:ascii="Times New Roman" w:hAnsi="Times New Roman" w:cs="Times New Roman"/>
          <w:b/>
          <w:sz w:val="24"/>
          <w:szCs w:val="24"/>
        </w:rPr>
        <w:t xml:space="preserve"> </w:t>
      </w:r>
    </w:p>
    <w:p w14:paraId="2EB7E654" w14:textId="7CE37A2F" w:rsidR="00D00B09" w:rsidRDefault="00D00B09"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The regression analysis provides important insights into the relationship between firm-specific, financial, and non-financial factors and the probability of default. Starting with Debt-to-Asset Ratio (Leverage), the estimated coefficient is +0.5, indicating that higher leverage significantly increases default risk. This finding is consistent with Löffler and Maurer (2011c), who identify leverage as a central driver of default probability, with coefficients ranging from 0.47 to 0.6. The positive sign is economically sensible, as firms with higher debt levels face greater repayment pressure and weaker solvency positions.</w:t>
      </w:r>
    </w:p>
    <w:p w14:paraId="29D70970" w14:textId="77777777" w:rsidR="00286FD1" w:rsidRPr="00B62207" w:rsidRDefault="00286FD1" w:rsidP="00216F6D">
      <w:pPr>
        <w:spacing w:after="0" w:line="480" w:lineRule="auto"/>
        <w:jc w:val="both"/>
        <w:rPr>
          <w:rFonts w:ascii="Times New Roman" w:hAnsi="Times New Roman" w:cs="Times New Roman"/>
          <w:sz w:val="22"/>
          <w:szCs w:val="22"/>
        </w:rPr>
      </w:pPr>
    </w:p>
    <w:p w14:paraId="600BEDA5" w14:textId="0E937A35" w:rsidR="00D00B09" w:rsidRPr="00B62207" w:rsidRDefault="00D00B09" w:rsidP="00216F6D">
      <w:pPr>
        <w:spacing w:after="0" w:line="480" w:lineRule="auto"/>
        <w:jc w:val="both"/>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 xml:space="preserve">The Current Ratio (Liquidity) is associated with a coefficient of -0.32, suggesting that greater liquidity reduces the likelihood of default. This result aligns with Nadarajah et al. (2021), who find that firms with stronger short-term assets relative to liabilities face lower insolvency risk with coefficient ranging from -0.2 to -0.5. However, Zhang et al. (2020d) </w:t>
      </w:r>
      <w:r w:rsidR="001618B9" w:rsidRPr="001618B9">
        <w:rPr>
          <w:rFonts w:ascii="Times New Roman" w:hAnsi="Times New Roman" w:cs="Times New Roman"/>
          <w:sz w:val="22"/>
          <w:szCs w:val="22"/>
          <w:shd w:val="clear" w:color="auto" w:fill="FFFFFF"/>
        </w:rPr>
        <w:t>note that excess cash may signal poor investment opportunities or higher idiosyncratic risk.</w:t>
      </w:r>
      <w:r w:rsidR="001618B9">
        <w:rPr>
          <w:rFonts w:ascii="Times New Roman" w:hAnsi="Times New Roman" w:cs="Times New Roman"/>
          <w:sz w:val="22"/>
          <w:szCs w:val="22"/>
          <w:shd w:val="clear" w:color="auto" w:fill="FFFFFF"/>
        </w:rPr>
        <w:t xml:space="preserve"> </w:t>
      </w:r>
      <w:r w:rsidRPr="00B62207">
        <w:rPr>
          <w:rFonts w:ascii="Times New Roman" w:hAnsi="Times New Roman" w:cs="Times New Roman"/>
          <w:sz w:val="22"/>
          <w:szCs w:val="22"/>
          <w:shd w:val="clear" w:color="auto" w:fill="FFFFFF"/>
        </w:rPr>
        <w:t>Thus, while the negative sign supports financial theory, the magnitude reflects the moderate influence of liquidity compared to leverage.</w:t>
      </w:r>
    </w:p>
    <w:p w14:paraId="482FB62F" w14:textId="77777777" w:rsidR="00D00B09" w:rsidRPr="00B62207" w:rsidRDefault="00D00B09" w:rsidP="00216F6D">
      <w:pPr>
        <w:spacing w:after="0" w:line="480" w:lineRule="auto"/>
        <w:jc w:val="both"/>
        <w:rPr>
          <w:rFonts w:ascii="Times New Roman" w:hAnsi="Times New Roman" w:cs="Times New Roman"/>
          <w:sz w:val="22"/>
          <w:szCs w:val="22"/>
          <w:shd w:val="clear" w:color="auto" w:fill="FFFFFF"/>
        </w:rPr>
      </w:pPr>
    </w:p>
    <w:p w14:paraId="44A8B792" w14:textId="3B27BA87" w:rsidR="00D00B09" w:rsidRPr="00B62207" w:rsidRDefault="00D00B09"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 xml:space="preserve">The Return on Assets (ROA) show that higher profitability lowers default risk. This result is in line with the studies of </w:t>
      </w:r>
      <w:proofErr w:type="spellStart"/>
      <w:r w:rsidRPr="00B62207">
        <w:rPr>
          <w:rFonts w:ascii="Times New Roman" w:hAnsi="Times New Roman" w:cs="Times New Roman"/>
          <w:sz w:val="22"/>
          <w:szCs w:val="22"/>
        </w:rPr>
        <w:t>Tserng</w:t>
      </w:r>
      <w:proofErr w:type="spellEnd"/>
      <w:r w:rsidRPr="00B62207">
        <w:rPr>
          <w:rFonts w:ascii="Times New Roman" w:hAnsi="Times New Roman" w:cs="Times New Roman"/>
          <w:sz w:val="22"/>
          <w:szCs w:val="22"/>
        </w:rPr>
        <w:t xml:space="preserve"> et al. (2014b) and Qiu and Ronen (2025), which demonstrate that profitability remains a key determinant of financial stability. As ROA is a fundamental performance indicator, the strong negative relationship makes economic sense, highlighting how higher efficiency in asset utili</w:t>
      </w:r>
      <w:r w:rsidR="00D7651B" w:rsidRPr="00B62207">
        <w:rPr>
          <w:rFonts w:ascii="Times New Roman" w:hAnsi="Times New Roman" w:cs="Times New Roman"/>
          <w:sz w:val="22"/>
          <w:szCs w:val="22"/>
        </w:rPr>
        <w:t>s</w:t>
      </w:r>
      <w:r w:rsidRPr="00B62207">
        <w:rPr>
          <w:rFonts w:ascii="Times New Roman" w:hAnsi="Times New Roman" w:cs="Times New Roman"/>
          <w:sz w:val="22"/>
          <w:szCs w:val="22"/>
        </w:rPr>
        <w:t>ation reduces default probability; therefore, the coefficient of -0.4 has been set.</w:t>
      </w:r>
    </w:p>
    <w:p w14:paraId="3FF036F9" w14:textId="77777777" w:rsidR="00F0062A" w:rsidRPr="00B62207" w:rsidRDefault="00F0062A" w:rsidP="00216F6D">
      <w:pPr>
        <w:spacing w:after="0" w:line="480" w:lineRule="auto"/>
        <w:jc w:val="both"/>
        <w:rPr>
          <w:rFonts w:ascii="Times New Roman" w:hAnsi="Times New Roman" w:cs="Times New Roman"/>
          <w:sz w:val="22"/>
          <w:szCs w:val="22"/>
        </w:rPr>
      </w:pPr>
    </w:p>
    <w:p w14:paraId="3E157519" w14:textId="7846AC51" w:rsidR="00125630" w:rsidRPr="00B62207" w:rsidRDefault="00125630" w:rsidP="00216F6D">
      <w:pPr>
        <w:spacing w:after="0" w:line="480" w:lineRule="auto"/>
        <w:jc w:val="both"/>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For Firm Size, the coefficient is –0.15 (p &lt; 0.01)</w:t>
      </w:r>
      <w:r w:rsidR="00472F88">
        <w:rPr>
          <w:rFonts w:ascii="Times New Roman" w:hAnsi="Times New Roman" w:cs="Times New Roman"/>
          <w:sz w:val="22"/>
          <w:szCs w:val="22"/>
          <w:shd w:val="clear" w:color="auto" w:fill="FFFFFF"/>
        </w:rPr>
        <w:t>, supporting</w:t>
      </w:r>
      <w:r w:rsidRPr="00B62207">
        <w:rPr>
          <w:rFonts w:ascii="Times New Roman" w:hAnsi="Times New Roman" w:cs="Times New Roman"/>
          <w:sz w:val="22"/>
          <w:szCs w:val="22"/>
          <w:shd w:val="clear" w:color="auto" w:fill="FFFFFF"/>
        </w:rPr>
        <w:t xml:space="preserve"> prior research (Zhang et al., 2020e; Cathcart et al., 2020b) that larger firms are less vulnerable to default due to diversification, stronger market positions, and easier access to external finance. As there are marginal effects on the probabilities of default, which </w:t>
      </w:r>
      <w:r w:rsidR="00284AD6" w:rsidRPr="00B62207">
        <w:rPr>
          <w:rFonts w:ascii="Times New Roman" w:hAnsi="Times New Roman" w:cs="Times New Roman"/>
          <w:sz w:val="22"/>
          <w:szCs w:val="22"/>
          <w:shd w:val="clear" w:color="auto" w:fill="FFFFFF"/>
        </w:rPr>
        <w:t>are</w:t>
      </w:r>
      <w:r w:rsidRPr="00B62207">
        <w:rPr>
          <w:rFonts w:ascii="Times New Roman" w:hAnsi="Times New Roman" w:cs="Times New Roman"/>
          <w:sz w:val="22"/>
          <w:szCs w:val="22"/>
          <w:shd w:val="clear" w:color="auto" w:fill="FFFFFF"/>
        </w:rPr>
        <w:t xml:space="preserve"> different between large and small firms, rang</w:t>
      </w:r>
      <w:r w:rsidR="00206225">
        <w:rPr>
          <w:rFonts w:ascii="Times New Roman" w:hAnsi="Times New Roman" w:cs="Times New Roman"/>
          <w:sz w:val="22"/>
          <w:szCs w:val="22"/>
          <w:shd w:val="clear" w:color="auto" w:fill="FFFFFF"/>
        </w:rPr>
        <w:t>e</w:t>
      </w:r>
      <w:r w:rsidRPr="00B62207">
        <w:rPr>
          <w:rFonts w:ascii="Times New Roman" w:hAnsi="Times New Roman" w:cs="Times New Roman"/>
          <w:sz w:val="22"/>
          <w:szCs w:val="22"/>
          <w:shd w:val="clear" w:color="auto" w:fill="FFFFFF"/>
        </w:rPr>
        <w:t xml:space="preserve"> from 0.14 to 0.17. The magnitude suggests that while firm size matters, its effect is smaller compared to profitability and leverage.</w:t>
      </w:r>
    </w:p>
    <w:p w14:paraId="0401AF84" w14:textId="77777777" w:rsidR="00125630" w:rsidRPr="00B62207" w:rsidRDefault="00125630" w:rsidP="00216F6D">
      <w:pPr>
        <w:spacing w:after="0" w:line="480" w:lineRule="auto"/>
        <w:jc w:val="both"/>
        <w:rPr>
          <w:rFonts w:ascii="Times New Roman" w:hAnsi="Times New Roman" w:cs="Times New Roman"/>
          <w:sz w:val="22"/>
          <w:szCs w:val="22"/>
          <w:shd w:val="clear" w:color="auto" w:fill="FFFFFF"/>
        </w:rPr>
      </w:pPr>
    </w:p>
    <w:p w14:paraId="583A1D11" w14:textId="3062EA7D" w:rsidR="00125630" w:rsidRPr="00B62207" w:rsidRDefault="00125630" w:rsidP="00216F6D">
      <w:pPr>
        <w:spacing w:after="0" w:line="480" w:lineRule="auto"/>
        <w:jc w:val="both"/>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Next, the Cash Flow to Debt ratio also exhibits a negative coefficient (–0.4), underscoring that stronger cash generation reduces default probability. This is consistent with Bhimani et al. (2014b), who note that firms with higher operating cash flows relative to debt enjoy greater repayment capacity, specifically, an increase in one unit in the cash to debt decrease</w:t>
      </w:r>
      <w:r w:rsidR="00D322C3" w:rsidRPr="00B62207">
        <w:rPr>
          <w:rFonts w:ascii="Times New Roman" w:hAnsi="Times New Roman" w:cs="Times New Roman"/>
          <w:sz w:val="22"/>
          <w:szCs w:val="22"/>
          <w:shd w:val="clear" w:color="auto" w:fill="FFFFFF"/>
        </w:rPr>
        <w:t>s</w:t>
      </w:r>
      <w:r w:rsidRPr="00B62207">
        <w:rPr>
          <w:rFonts w:ascii="Times New Roman" w:hAnsi="Times New Roman" w:cs="Times New Roman"/>
          <w:sz w:val="22"/>
          <w:szCs w:val="22"/>
          <w:shd w:val="clear" w:color="auto" w:fill="FFFFFF"/>
        </w:rPr>
        <w:t xml:space="preserve"> the probability of default by approximately 30%. The </w:t>
      </w:r>
      <w:r w:rsidR="00793017" w:rsidRPr="00B62207">
        <w:rPr>
          <w:rFonts w:ascii="Times New Roman" w:hAnsi="Times New Roman" w:cs="Times New Roman"/>
          <w:sz w:val="22"/>
          <w:szCs w:val="22"/>
          <w:shd w:val="clear" w:color="auto" w:fill="FFFFFF"/>
        </w:rPr>
        <w:t>large</w:t>
      </w:r>
      <w:r w:rsidRPr="00B62207">
        <w:rPr>
          <w:rFonts w:ascii="Times New Roman" w:hAnsi="Times New Roman" w:cs="Times New Roman"/>
          <w:sz w:val="22"/>
          <w:szCs w:val="22"/>
          <w:shd w:val="clear" w:color="auto" w:fill="FFFFFF"/>
        </w:rPr>
        <w:t xml:space="preserve"> magnitude confirms that cash flow is one of the primary determinants of solvency, so the coefficient could not be low.</w:t>
      </w:r>
    </w:p>
    <w:p w14:paraId="7807D108" w14:textId="77777777" w:rsidR="00125630" w:rsidRPr="00B62207" w:rsidRDefault="00125630" w:rsidP="00216F6D">
      <w:pPr>
        <w:spacing w:after="0" w:line="480" w:lineRule="auto"/>
        <w:jc w:val="both"/>
        <w:rPr>
          <w:rFonts w:ascii="Times New Roman" w:hAnsi="Times New Roman" w:cs="Times New Roman"/>
          <w:sz w:val="22"/>
          <w:szCs w:val="22"/>
          <w:shd w:val="clear" w:color="auto" w:fill="FFFFFF"/>
        </w:rPr>
      </w:pPr>
    </w:p>
    <w:p w14:paraId="4879FEF9" w14:textId="392CFD9B" w:rsidR="00125630" w:rsidRPr="00B62207" w:rsidRDefault="00185D71" w:rsidP="00216F6D">
      <w:pPr>
        <w:spacing w:after="0" w:line="480" w:lineRule="auto"/>
        <w:jc w:val="both"/>
        <w:rPr>
          <w:rFonts w:ascii="Times New Roman" w:hAnsi="Times New Roman" w:cs="Times New Roman"/>
          <w:sz w:val="22"/>
          <w:szCs w:val="22"/>
          <w:shd w:val="clear" w:color="auto" w:fill="FFFFFF"/>
        </w:rPr>
      </w:pPr>
      <w:r w:rsidRPr="00185D71">
        <w:rPr>
          <w:rFonts w:ascii="Times New Roman" w:hAnsi="Times New Roman" w:cs="Times New Roman"/>
          <w:sz w:val="22"/>
          <w:szCs w:val="22"/>
          <w:shd w:val="clear" w:color="auto" w:fill="FFFFFF"/>
        </w:rPr>
        <w:t>The ESG score has a positive coefficient of +0.02 (p &lt; 0.01), reflecting its scaling where higher values indicate weaker performance</w:t>
      </w:r>
      <w:r w:rsidR="00125630" w:rsidRPr="00B62207">
        <w:rPr>
          <w:rFonts w:ascii="Times New Roman" w:hAnsi="Times New Roman" w:cs="Times New Roman"/>
          <w:sz w:val="22"/>
          <w:szCs w:val="22"/>
          <w:shd w:val="clear" w:color="auto" w:fill="FFFFFF"/>
        </w:rPr>
        <w:t xml:space="preserve">. </w:t>
      </w:r>
      <w:r w:rsidR="00A547F9" w:rsidRPr="00A547F9">
        <w:rPr>
          <w:rFonts w:ascii="Times New Roman" w:hAnsi="Times New Roman" w:cs="Times New Roman"/>
          <w:sz w:val="22"/>
          <w:szCs w:val="22"/>
          <w:shd w:val="clear" w:color="auto" w:fill="FFFFFF"/>
        </w:rPr>
        <w:t xml:space="preserve">This aligns </w:t>
      </w:r>
      <w:r w:rsidR="00125630" w:rsidRPr="00B62207">
        <w:rPr>
          <w:rFonts w:ascii="Times New Roman" w:hAnsi="Times New Roman" w:cs="Times New Roman"/>
          <w:sz w:val="22"/>
          <w:szCs w:val="22"/>
          <w:shd w:val="clear" w:color="auto" w:fill="FFFFFF"/>
        </w:rPr>
        <w:t xml:space="preserve">with Li, Zhang, and Zhao (2022c), who show that poor ESG standing increases long-term risk exposure, </w:t>
      </w:r>
      <w:r w:rsidR="00DE6493" w:rsidRPr="00B62207">
        <w:rPr>
          <w:rFonts w:ascii="Times New Roman" w:hAnsi="Times New Roman" w:cs="Times New Roman"/>
          <w:sz w:val="22"/>
          <w:szCs w:val="22"/>
          <w:shd w:val="clear" w:color="auto" w:fill="FFFFFF"/>
        </w:rPr>
        <w:t>particularly</w:t>
      </w:r>
      <w:r w:rsidR="00125630" w:rsidRPr="00B62207">
        <w:rPr>
          <w:rFonts w:ascii="Times New Roman" w:hAnsi="Times New Roman" w:cs="Times New Roman"/>
          <w:sz w:val="22"/>
          <w:szCs w:val="22"/>
          <w:shd w:val="clear" w:color="auto" w:fill="FFFFFF"/>
        </w:rPr>
        <w:t xml:space="preserve"> ESG rating increases </w:t>
      </w:r>
      <w:r w:rsidR="00EA30BB" w:rsidRPr="00B62207">
        <w:rPr>
          <w:rFonts w:ascii="Times New Roman" w:hAnsi="Times New Roman" w:cs="Times New Roman"/>
          <w:sz w:val="22"/>
          <w:szCs w:val="22"/>
          <w:shd w:val="clear" w:color="auto" w:fill="FFFFFF"/>
        </w:rPr>
        <w:t>five</w:t>
      </w:r>
      <w:r w:rsidR="00125630" w:rsidRPr="00B62207">
        <w:rPr>
          <w:rFonts w:ascii="Times New Roman" w:hAnsi="Times New Roman" w:cs="Times New Roman"/>
          <w:sz w:val="22"/>
          <w:szCs w:val="22"/>
          <w:shd w:val="clear" w:color="auto" w:fill="FFFFFF"/>
        </w:rPr>
        <w:t xml:space="preserve"> times, leading to decreases </w:t>
      </w:r>
      <w:r w:rsidR="008F2C0E" w:rsidRPr="00B62207">
        <w:rPr>
          <w:rFonts w:ascii="Times New Roman" w:hAnsi="Times New Roman" w:cs="Times New Roman"/>
          <w:sz w:val="22"/>
          <w:szCs w:val="22"/>
          <w:shd w:val="clear" w:color="auto" w:fill="FFFFFF"/>
        </w:rPr>
        <w:t>three</w:t>
      </w:r>
      <w:r w:rsidR="00125630" w:rsidRPr="00B62207">
        <w:rPr>
          <w:rFonts w:ascii="Times New Roman" w:hAnsi="Times New Roman" w:cs="Times New Roman"/>
          <w:sz w:val="22"/>
          <w:szCs w:val="22"/>
          <w:shd w:val="clear" w:color="auto" w:fill="FFFFFF"/>
        </w:rPr>
        <w:t xml:space="preserve"> times, which means that one unit increase in ESG score raises default risk by 0.02. </w:t>
      </w:r>
      <w:r w:rsidR="00E218B6" w:rsidRPr="00E218B6">
        <w:rPr>
          <w:rFonts w:ascii="Times New Roman" w:hAnsi="Times New Roman" w:cs="Times New Roman"/>
          <w:sz w:val="22"/>
          <w:szCs w:val="22"/>
          <w:shd w:val="clear" w:color="auto" w:fill="FFFFFF"/>
        </w:rPr>
        <w:t>While the effect is modest compared to financial ratios, it is economically meaningful, as ESG factors play a secondary but significant role in creditworthiness.</w:t>
      </w:r>
    </w:p>
    <w:p w14:paraId="58A798C4" w14:textId="77777777" w:rsidR="00D00B09" w:rsidRPr="00B62207" w:rsidRDefault="00D00B09" w:rsidP="00216F6D">
      <w:pPr>
        <w:spacing w:after="0" w:line="480" w:lineRule="auto"/>
        <w:jc w:val="both"/>
        <w:rPr>
          <w:rFonts w:ascii="Times New Roman" w:hAnsi="Times New Roman" w:cs="Times New Roman"/>
          <w:sz w:val="22"/>
          <w:szCs w:val="22"/>
        </w:rPr>
      </w:pPr>
    </w:p>
    <w:p w14:paraId="5D3CD049" w14:textId="0DBEB17C" w:rsidR="00A379F8" w:rsidRPr="005E2333" w:rsidRDefault="003967D3" w:rsidP="005E2333">
      <w:pPr>
        <w:pStyle w:val="NormalWeb"/>
        <w:spacing w:before="0" w:beforeAutospacing="0" w:after="0" w:afterAutospacing="0" w:line="480" w:lineRule="auto"/>
        <w:jc w:val="both"/>
        <w:rPr>
          <w:rFonts w:eastAsiaTheme="minorEastAsia"/>
          <w:kern w:val="2"/>
          <w:sz w:val="22"/>
          <w:szCs w:val="22"/>
          <w:shd w:val="clear" w:color="auto" w:fill="FFFFFF"/>
          <w:lang w:eastAsia="zh-CN"/>
          <w14:ligatures w14:val="standardContextual"/>
        </w:rPr>
      </w:pPr>
      <w:r w:rsidRPr="00B62207">
        <w:rPr>
          <w:rFonts w:eastAsiaTheme="minorEastAsia"/>
          <w:kern w:val="2"/>
          <w:sz w:val="22"/>
          <w:szCs w:val="22"/>
          <w:shd w:val="clear" w:color="auto" w:fill="FFFFFF"/>
          <w:lang w:eastAsia="zh-CN"/>
          <w14:ligatures w14:val="standardContextual"/>
        </w:rPr>
        <w:t xml:space="preserve">Finally, </w:t>
      </w:r>
      <w:r w:rsidR="00F6629F" w:rsidRPr="00B62207">
        <w:rPr>
          <w:rFonts w:eastAsiaTheme="minorEastAsia"/>
          <w:kern w:val="2"/>
          <w:sz w:val="22"/>
          <w:szCs w:val="22"/>
          <w:shd w:val="clear" w:color="auto" w:fill="FFFFFF"/>
          <w:lang w:eastAsia="zh-CN"/>
          <w14:ligatures w14:val="standardContextual"/>
        </w:rPr>
        <w:t xml:space="preserve">Industry type was included as a categorical variable, though its effect is modest compared to firm-level financials. Manufacturing and Construction (-0.15) lower default risk </w:t>
      </w:r>
      <w:r w:rsidR="003F5AA6" w:rsidRPr="003F5AA6">
        <w:rPr>
          <w:rFonts w:eastAsiaTheme="minorEastAsia"/>
          <w:kern w:val="2"/>
          <w:sz w:val="22"/>
          <w:szCs w:val="22"/>
          <w:shd w:val="clear" w:color="auto" w:fill="FFFFFF"/>
          <w:lang w:eastAsia="zh-CN"/>
          <w14:ligatures w14:val="standardContextual"/>
        </w:rPr>
        <w:t>due to their role in essential infrastructure and government support</w:t>
      </w:r>
      <w:r w:rsidR="00F6629F" w:rsidRPr="00B62207">
        <w:rPr>
          <w:rFonts w:eastAsiaTheme="minorEastAsia"/>
          <w:kern w:val="2"/>
          <w:sz w:val="22"/>
          <w:szCs w:val="22"/>
          <w:shd w:val="clear" w:color="auto" w:fill="FFFFFF"/>
          <w:lang w:eastAsia="zh-CN"/>
          <w14:ligatures w14:val="standardContextual"/>
        </w:rPr>
        <w:t xml:space="preserve">. Distribution (-0.1) also shows reduced risk, as strong logistics and supply chains provide resilience despite competition. Transportation (-0.04) modestly lowers risk, reflecting </w:t>
      </w:r>
      <w:r w:rsidR="001A042C" w:rsidRPr="001A042C">
        <w:rPr>
          <w:rFonts w:eastAsiaTheme="minorEastAsia"/>
          <w:kern w:val="2"/>
          <w:sz w:val="22"/>
          <w:szCs w:val="22"/>
          <w:shd w:val="clear" w:color="auto" w:fill="FFFFFF"/>
          <w:lang w:eastAsia="zh-CN"/>
          <w14:ligatures w14:val="standardContextual"/>
        </w:rPr>
        <w:t xml:space="preserve">its importance in trade </w:t>
      </w:r>
      <w:r w:rsidR="00F6629F" w:rsidRPr="00B62207">
        <w:rPr>
          <w:rFonts w:eastAsiaTheme="minorEastAsia"/>
          <w:kern w:val="2"/>
          <w:sz w:val="22"/>
          <w:szCs w:val="22"/>
          <w:shd w:val="clear" w:color="auto" w:fill="FFFFFF"/>
          <w:lang w:eastAsia="zh-CN"/>
          <w14:ligatures w14:val="standardContextual"/>
        </w:rPr>
        <w:t xml:space="preserve">and connectivity. Food and Agriculture (-0.02) slightly </w:t>
      </w:r>
      <w:r w:rsidR="00EA30BB" w:rsidRPr="00B62207">
        <w:rPr>
          <w:rFonts w:eastAsiaTheme="minorEastAsia"/>
          <w:kern w:val="2"/>
          <w:sz w:val="22"/>
          <w:szCs w:val="22"/>
          <w:shd w:val="clear" w:color="auto" w:fill="FFFFFF"/>
          <w:lang w:eastAsia="zh-CN"/>
          <w14:ligatures w14:val="standardContextual"/>
        </w:rPr>
        <w:t>reduce</w:t>
      </w:r>
      <w:r w:rsidR="00F6629F" w:rsidRPr="00B62207">
        <w:rPr>
          <w:rFonts w:eastAsiaTheme="minorEastAsia"/>
          <w:kern w:val="2"/>
          <w:sz w:val="22"/>
          <w:szCs w:val="22"/>
          <w:shd w:val="clear" w:color="auto" w:fill="FFFFFF"/>
          <w:lang w:eastAsia="zh-CN"/>
          <w14:ligatures w14:val="standardContextual"/>
        </w:rPr>
        <w:t xml:space="preserve"> risk due to their necessity in all economies, though returns can be volatile. Services (-0.01) have the smallest effect, </w:t>
      </w:r>
      <w:r w:rsidR="00FB133D" w:rsidRPr="00FB133D">
        <w:rPr>
          <w:rFonts w:eastAsiaTheme="minorEastAsia"/>
          <w:kern w:val="2"/>
          <w:sz w:val="22"/>
          <w:szCs w:val="22"/>
          <w:shd w:val="clear" w:color="auto" w:fill="FFFFFF"/>
          <w:lang w:eastAsia="zh-CN"/>
          <w14:ligatures w14:val="standardContextual"/>
        </w:rPr>
        <w:t>contributing modestly to stability</w:t>
      </w:r>
      <w:r w:rsidRPr="00B62207">
        <w:rPr>
          <w:rFonts w:eastAsiaTheme="minorEastAsia"/>
          <w:kern w:val="2"/>
          <w:sz w:val="22"/>
          <w:szCs w:val="22"/>
          <w:shd w:val="clear" w:color="auto" w:fill="FFFFFF"/>
          <w:lang w:eastAsia="zh-CN"/>
          <w14:ligatures w14:val="standardContextual"/>
        </w:rPr>
        <w:t>.</w:t>
      </w:r>
    </w:p>
    <w:p w14:paraId="7ED3080E" w14:textId="08BFF0F6" w:rsidR="00A379F8" w:rsidRPr="00B62207" w:rsidRDefault="00763DE3" w:rsidP="00216F6D">
      <w:pPr>
        <w:spacing w:after="0" w:line="480" w:lineRule="auto"/>
        <w:jc w:val="center"/>
        <w:rPr>
          <w:rFonts w:ascii="Times New Roman" w:hAnsi="Times New Roman" w:cs="Times New Roman"/>
          <w:sz w:val="22"/>
          <w:szCs w:val="22"/>
        </w:rPr>
      </w:pPr>
      <w:r w:rsidRPr="00B62207">
        <w:rPr>
          <w:rFonts w:ascii="Times New Roman" w:hAnsi="Times New Roman" w:cs="Times New Roman"/>
          <w:noProof/>
          <w:sz w:val="22"/>
          <w:szCs w:val="22"/>
        </w:rPr>
        <w:drawing>
          <wp:inline distT="0" distB="0" distL="0" distR="0" wp14:anchorId="392C5DC9" wp14:editId="11B0363A">
            <wp:extent cx="5168098" cy="4343400"/>
            <wp:effectExtent l="0" t="0" r="1270" b="0"/>
            <wp:docPr id="1532759820"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9820" name="Picture 1" descr="A chart with different colored squares&#10;&#10;AI-generated content may be incorrect."/>
                    <pic:cNvPicPr/>
                  </pic:nvPicPr>
                  <pic:blipFill>
                    <a:blip r:embed="rId17"/>
                    <a:stretch>
                      <a:fillRect/>
                    </a:stretch>
                  </pic:blipFill>
                  <pic:spPr>
                    <a:xfrm>
                      <a:off x="0" y="0"/>
                      <a:ext cx="5233509" cy="4398373"/>
                    </a:xfrm>
                    <a:prstGeom prst="rect">
                      <a:avLst/>
                    </a:prstGeom>
                  </pic:spPr>
                </pic:pic>
              </a:graphicData>
            </a:graphic>
          </wp:inline>
        </w:drawing>
      </w:r>
    </w:p>
    <w:p w14:paraId="6BC4CD9F" w14:textId="2C3D6C6B" w:rsidR="00CE13AE" w:rsidRDefault="00F10771" w:rsidP="005E2333">
      <w:pPr>
        <w:pStyle w:val="Subtitle"/>
        <w:spacing w:after="0" w:line="480" w:lineRule="auto"/>
        <w:jc w:val="center"/>
        <w:rPr>
          <w:rFonts w:ascii="Times New Roman" w:hAnsi="Times New Roman" w:cs="Times New Roman"/>
          <w:sz w:val="20"/>
          <w:szCs w:val="20"/>
        </w:rPr>
      </w:pPr>
      <w:bookmarkStart w:id="8" w:name="_Toc208742961"/>
      <w:r w:rsidRPr="00ED39C5">
        <w:rPr>
          <w:rFonts w:ascii="Times New Roman" w:hAnsi="Times New Roman" w:cs="Times New Roman"/>
          <w:sz w:val="20"/>
          <w:szCs w:val="20"/>
        </w:rPr>
        <w:t xml:space="preserve">Figure </w:t>
      </w:r>
      <w:r w:rsidR="00AD22BC" w:rsidRPr="00ED39C5">
        <w:rPr>
          <w:rFonts w:ascii="Times New Roman" w:hAnsi="Times New Roman" w:cs="Times New Roman"/>
          <w:sz w:val="20"/>
          <w:szCs w:val="20"/>
        </w:rPr>
        <w:t>5</w:t>
      </w:r>
      <w:r w:rsidR="00CE13AE" w:rsidRPr="00ED39C5">
        <w:rPr>
          <w:rFonts w:ascii="Times New Roman" w:hAnsi="Times New Roman" w:cs="Times New Roman"/>
          <w:sz w:val="20"/>
          <w:szCs w:val="20"/>
        </w:rPr>
        <w:t xml:space="preserve">: </w:t>
      </w:r>
      <w:r w:rsidR="00AC6319" w:rsidRPr="00ED39C5">
        <w:rPr>
          <w:rFonts w:ascii="Times New Roman" w:hAnsi="Times New Roman" w:cs="Times New Roman"/>
          <w:sz w:val="20"/>
          <w:szCs w:val="20"/>
        </w:rPr>
        <w:t xml:space="preserve">Correlation matrix between variables and </w:t>
      </w:r>
      <w:r w:rsidR="00C26205" w:rsidRPr="00ED39C5">
        <w:rPr>
          <w:rFonts w:ascii="Times New Roman" w:hAnsi="Times New Roman" w:cs="Times New Roman"/>
          <w:sz w:val="20"/>
          <w:szCs w:val="20"/>
        </w:rPr>
        <w:t>‘Default’</w:t>
      </w:r>
      <w:bookmarkEnd w:id="8"/>
    </w:p>
    <w:p w14:paraId="7B615CE0" w14:textId="77777777" w:rsidR="00286FD1" w:rsidRPr="00ED39C5" w:rsidRDefault="00286FD1" w:rsidP="00216F6D">
      <w:pPr>
        <w:spacing w:after="0" w:line="480" w:lineRule="auto"/>
        <w:jc w:val="both"/>
        <w:rPr>
          <w:rFonts w:ascii="Times New Roman" w:hAnsi="Times New Roman" w:cs="Times New Roman"/>
          <w:sz w:val="20"/>
          <w:szCs w:val="20"/>
        </w:rPr>
      </w:pPr>
    </w:p>
    <w:p w14:paraId="7E87228A" w14:textId="4AE4B585" w:rsidR="00C117CE" w:rsidRPr="00286FD1" w:rsidRDefault="00054930" w:rsidP="00216F6D">
      <w:pPr>
        <w:pStyle w:val="Heading1"/>
        <w:numPr>
          <w:ilvl w:val="0"/>
          <w:numId w:val="1"/>
        </w:numPr>
        <w:spacing w:before="0" w:after="0" w:line="480" w:lineRule="auto"/>
        <w:ind w:left="360"/>
        <w:jc w:val="both"/>
        <w:rPr>
          <w:rFonts w:ascii="Times New Roman" w:hAnsi="Times New Roman" w:cs="Times New Roman"/>
          <w:b/>
          <w:sz w:val="24"/>
          <w:szCs w:val="24"/>
        </w:rPr>
      </w:pPr>
      <w:bookmarkStart w:id="9" w:name="_Toc208742924"/>
      <w:r w:rsidRPr="00ED39C5">
        <w:rPr>
          <w:rFonts w:ascii="Times New Roman" w:hAnsi="Times New Roman" w:cs="Times New Roman"/>
          <w:b/>
          <w:sz w:val="24"/>
          <w:szCs w:val="24"/>
        </w:rPr>
        <w:t>Model Performance and Comparison</w:t>
      </w:r>
      <w:bookmarkEnd w:id="9"/>
      <w:r w:rsidRPr="00ED39C5">
        <w:rPr>
          <w:rFonts w:ascii="Times New Roman" w:hAnsi="Times New Roman" w:cs="Times New Roman"/>
          <w:b/>
          <w:sz w:val="24"/>
          <w:szCs w:val="24"/>
        </w:rPr>
        <w:t xml:space="preserve"> </w:t>
      </w:r>
    </w:p>
    <w:p w14:paraId="763E530E" w14:textId="6517181B" w:rsidR="00BD47F7" w:rsidRPr="00B62207" w:rsidRDefault="002B26B0" w:rsidP="00216F6D">
      <w:pPr>
        <w:spacing w:after="0" w:line="480" w:lineRule="auto"/>
        <w:jc w:val="both"/>
        <w:rPr>
          <w:rFonts w:ascii="Times New Roman" w:hAnsi="Times New Roman" w:cs="Times New Roman"/>
          <w:sz w:val="22"/>
          <w:szCs w:val="22"/>
        </w:rPr>
      </w:pPr>
      <w:r w:rsidRPr="002B26B0">
        <w:rPr>
          <w:rFonts w:ascii="Times New Roman" w:hAnsi="Times New Roman" w:cs="Times New Roman"/>
          <w:sz w:val="22"/>
          <w:szCs w:val="22"/>
        </w:rPr>
        <w:t xml:space="preserve">The Decision Tree classifier, using </w:t>
      </w:r>
      <w:proofErr w:type="spellStart"/>
      <w:r w:rsidRPr="002B26B0">
        <w:rPr>
          <w:rFonts w:ascii="Times New Roman" w:hAnsi="Times New Roman" w:cs="Times New Roman"/>
          <w:sz w:val="22"/>
          <w:szCs w:val="22"/>
        </w:rPr>
        <w:t>max_depth</w:t>
      </w:r>
      <w:proofErr w:type="spellEnd"/>
      <w:r w:rsidRPr="002B26B0">
        <w:rPr>
          <w:rFonts w:ascii="Times New Roman" w:hAnsi="Times New Roman" w:cs="Times New Roman"/>
          <w:sz w:val="22"/>
          <w:szCs w:val="22"/>
        </w:rPr>
        <w:t xml:space="preserve"> and </w:t>
      </w:r>
      <w:proofErr w:type="spellStart"/>
      <w:r w:rsidRPr="002B26B0">
        <w:rPr>
          <w:rFonts w:ascii="Times New Roman" w:hAnsi="Times New Roman" w:cs="Times New Roman"/>
          <w:sz w:val="22"/>
          <w:szCs w:val="22"/>
        </w:rPr>
        <w:t>random_state</w:t>
      </w:r>
      <w:proofErr w:type="spellEnd"/>
      <w:r w:rsidRPr="002B26B0">
        <w:rPr>
          <w:rFonts w:ascii="Times New Roman" w:hAnsi="Times New Roman" w:cs="Times New Roman"/>
          <w:sz w:val="22"/>
          <w:szCs w:val="22"/>
        </w:rPr>
        <w:t>, achieved 88% accuracy for predicting default risk</w:t>
      </w:r>
      <w:r w:rsidR="002A1080" w:rsidRPr="00B62207">
        <w:rPr>
          <w:rFonts w:ascii="Times New Roman" w:hAnsi="Times New Roman" w:cs="Times New Roman"/>
          <w:sz w:val="22"/>
          <w:szCs w:val="22"/>
        </w:rPr>
        <w:t xml:space="preserve">, which is considered a strong result for predicting default risk. For Class 0 </w:t>
      </w:r>
      <w:r w:rsidR="004A4A55" w:rsidRPr="00B15EF1">
        <w:rPr>
          <w:rFonts w:ascii="Times New Roman" w:hAnsi="Times New Roman" w:cs="Times New Roman"/>
          <w:sz w:val="22"/>
          <w:szCs w:val="22"/>
        </w:rPr>
        <w:t>(“No default”),</w:t>
      </w:r>
      <w:r w:rsidR="002A1080">
        <w:t xml:space="preserve"> </w:t>
      </w:r>
      <w:r w:rsidR="002A1080" w:rsidRPr="00B62207">
        <w:rPr>
          <w:rFonts w:ascii="Times New Roman" w:hAnsi="Times New Roman" w:cs="Times New Roman"/>
          <w:sz w:val="22"/>
          <w:szCs w:val="22"/>
        </w:rPr>
        <w:t>precision was 88%, meaning that 88% of the outcomes were correct, while the recall was 8</w:t>
      </w:r>
      <w:r w:rsidR="003955B2" w:rsidRPr="00B62207">
        <w:rPr>
          <w:rFonts w:ascii="Times New Roman" w:hAnsi="Times New Roman" w:cs="Times New Roman"/>
          <w:sz w:val="22"/>
          <w:szCs w:val="22"/>
        </w:rPr>
        <w:t>7</w:t>
      </w:r>
      <w:r w:rsidR="002A1080" w:rsidRPr="00B62207">
        <w:rPr>
          <w:rFonts w:ascii="Times New Roman" w:hAnsi="Times New Roman" w:cs="Times New Roman"/>
          <w:sz w:val="22"/>
          <w:szCs w:val="22"/>
        </w:rPr>
        <w:t>%, indicating that the model successfully identified 8</w:t>
      </w:r>
      <w:r w:rsidR="003955B2" w:rsidRPr="00B62207">
        <w:rPr>
          <w:rFonts w:ascii="Times New Roman" w:hAnsi="Times New Roman" w:cs="Times New Roman"/>
          <w:sz w:val="22"/>
          <w:szCs w:val="22"/>
        </w:rPr>
        <w:t>7</w:t>
      </w:r>
      <w:r w:rsidR="002A1080" w:rsidRPr="00B62207">
        <w:rPr>
          <w:rFonts w:ascii="Times New Roman" w:hAnsi="Times New Roman" w:cs="Times New Roman"/>
          <w:sz w:val="22"/>
          <w:szCs w:val="22"/>
        </w:rPr>
        <w:t>% of all actual cases. For Class 1, the precision was 8</w:t>
      </w:r>
      <w:r w:rsidR="003955B2" w:rsidRPr="00B62207">
        <w:rPr>
          <w:rFonts w:ascii="Times New Roman" w:hAnsi="Times New Roman" w:cs="Times New Roman"/>
          <w:sz w:val="22"/>
          <w:szCs w:val="22"/>
        </w:rPr>
        <w:t>7</w:t>
      </w:r>
      <w:r w:rsidR="002A1080" w:rsidRPr="00B62207">
        <w:rPr>
          <w:rFonts w:ascii="Times New Roman" w:hAnsi="Times New Roman" w:cs="Times New Roman"/>
          <w:sz w:val="22"/>
          <w:szCs w:val="22"/>
        </w:rPr>
        <w:t>%, while the recall was higher at 88%, showing that the model captured nearly all true “Default” cases. The difference between the two classes can be partly explained by the slight imbalance in the test data, with 1</w:t>
      </w:r>
      <w:r w:rsidR="00D6204A" w:rsidRPr="00B62207">
        <w:rPr>
          <w:rFonts w:ascii="Times New Roman" w:hAnsi="Times New Roman" w:cs="Times New Roman"/>
          <w:sz w:val="22"/>
          <w:szCs w:val="22"/>
        </w:rPr>
        <w:t>0025</w:t>
      </w:r>
      <w:r w:rsidR="002A1080" w:rsidRPr="00B62207">
        <w:rPr>
          <w:rFonts w:ascii="Times New Roman" w:hAnsi="Times New Roman" w:cs="Times New Roman"/>
          <w:sz w:val="22"/>
          <w:szCs w:val="22"/>
        </w:rPr>
        <w:t xml:space="preserve"> “No default” cases and 9</w:t>
      </w:r>
      <w:r w:rsidR="00D6204A" w:rsidRPr="00B62207">
        <w:rPr>
          <w:rFonts w:ascii="Times New Roman" w:hAnsi="Times New Roman" w:cs="Times New Roman"/>
          <w:sz w:val="22"/>
          <w:szCs w:val="22"/>
        </w:rPr>
        <w:t>975</w:t>
      </w:r>
      <w:r w:rsidR="002A1080" w:rsidRPr="00B62207">
        <w:rPr>
          <w:rFonts w:ascii="Times New Roman" w:hAnsi="Times New Roman" w:cs="Times New Roman"/>
          <w:sz w:val="22"/>
          <w:szCs w:val="22"/>
        </w:rPr>
        <w:t xml:space="preserve"> “Default” cases, and by the natural trade-off between precision and recall. The model tends to predict “No default” only when it is highly confident, resulting in higher precision but lower recall for Class 0, while it predicts “Default” more often to avoid missing true defaults, which increases recall but reduces precision for Class 1. In terms of averages, the macro </w:t>
      </w:r>
      <w:r w:rsidR="00AD22BC" w:rsidRPr="00AD22BC">
        <w:rPr>
          <w:rFonts w:ascii="Times New Roman" w:hAnsi="Times New Roman" w:cs="Times New Roman"/>
          <w:sz w:val="22"/>
          <w:szCs w:val="22"/>
        </w:rPr>
        <w:t>and</w:t>
      </w:r>
      <w:r w:rsidR="002A1080" w:rsidRPr="00B62207">
        <w:rPr>
          <w:rFonts w:ascii="Times New Roman" w:hAnsi="Times New Roman" w:cs="Times New Roman"/>
          <w:sz w:val="22"/>
          <w:szCs w:val="22"/>
        </w:rPr>
        <w:t xml:space="preserve"> weighted </w:t>
      </w:r>
      <w:r w:rsidR="00AD22BC" w:rsidRPr="00AD22BC">
        <w:rPr>
          <w:rFonts w:ascii="Times New Roman" w:hAnsi="Times New Roman" w:cs="Times New Roman"/>
          <w:sz w:val="22"/>
          <w:szCs w:val="22"/>
        </w:rPr>
        <w:t>averages were both 88%, indicating</w:t>
      </w:r>
      <w:r w:rsidR="002A1080" w:rsidRPr="00B62207">
        <w:rPr>
          <w:rFonts w:ascii="Times New Roman" w:hAnsi="Times New Roman" w:cs="Times New Roman"/>
          <w:sz w:val="22"/>
          <w:szCs w:val="22"/>
        </w:rPr>
        <w:t xml:space="preserve"> stable performance across classes</w:t>
      </w:r>
      <w:r w:rsidR="00E03D23">
        <w:rPr>
          <w:rFonts w:ascii="Times New Roman" w:hAnsi="Times New Roman" w:cs="Times New Roman"/>
          <w:sz w:val="22"/>
          <w:szCs w:val="22"/>
        </w:rPr>
        <w:t>.</w:t>
      </w:r>
    </w:p>
    <w:p w14:paraId="6460A0F7" w14:textId="77777777" w:rsidR="002A1080" w:rsidRPr="00B62207" w:rsidRDefault="002A1080" w:rsidP="00216F6D">
      <w:pPr>
        <w:spacing w:after="0" w:line="480" w:lineRule="auto"/>
        <w:jc w:val="center"/>
        <w:rPr>
          <w:rFonts w:ascii="Times New Roman" w:hAnsi="Times New Roman" w:cs="Times New Roman"/>
          <w:color w:val="EE0000"/>
          <w:sz w:val="22"/>
          <w:szCs w:val="22"/>
        </w:rPr>
      </w:pPr>
      <w:r w:rsidRPr="00B62207">
        <w:rPr>
          <w:rFonts w:ascii="Times New Roman" w:hAnsi="Times New Roman" w:cs="Times New Roman"/>
          <w:noProof/>
          <w:sz w:val="22"/>
          <w:szCs w:val="22"/>
        </w:rPr>
        <w:drawing>
          <wp:inline distT="0" distB="0" distL="0" distR="0" wp14:anchorId="7948A34E" wp14:editId="263253B2">
            <wp:extent cx="5829662" cy="800100"/>
            <wp:effectExtent l="0" t="0" r="0" b="0"/>
            <wp:docPr id="3754189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18940" name="Picture 1" descr="A screen shot of a computer&#10;&#10;AI-generated content may be incorrect."/>
                    <pic:cNvPicPr/>
                  </pic:nvPicPr>
                  <pic:blipFill>
                    <a:blip r:embed="rId18"/>
                    <a:stretch>
                      <a:fillRect/>
                    </a:stretch>
                  </pic:blipFill>
                  <pic:spPr>
                    <a:xfrm>
                      <a:off x="0" y="0"/>
                      <a:ext cx="5829662" cy="800100"/>
                    </a:xfrm>
                    <a:prstGeom prst="rect">
                      <a:avLst/>
                    </a:prstGeom>
                  </pic:spPr>
                </pic:pic>
              </a:graphicData>
            </a:graphic>
          </wp:inline>
        </w:drawing>
      </w:r>
    </w:p>
    <w:p w14:paraId="6A0C176B" w14:textId="77777777" w:rsidR="002A1080" w:rsidRPr="00B62207" w:rsidRDefault="002A1080" w:rsidP="00216F6D">
      <w:pPr>
        <w:spacing w:after="0" w:line="480" w:lineRule="auto"/>
        <w:jc w:val="center"/>
        <w:rPr>
          <w:rFonts w:ascii="Times New Roman" w:hAnsi="Times New Roman" w:cs="Times New Roman"/>
          <w:color w:val="EE0000"/>
          <w:sz w:val="22"/>
          <w:szCs w:val="22"/>
        </w:rPr>
      </w:pPr>
      <w:r w:rsidRPr="00B62207">
        <w:rPr>
          <w:rFonts w:ascii="Times New Roman" w:hAnsi="Times New Roman" w:cs="Times New Roman"/>
          <w:noProof/>
          <w:sz w:val="22"/>
          <w:szCs w:val="22"/>
        </w:rPr>
        <w:drawing>
          <wp:inline distT="0" distB="0" distL="0" distR="0" wp14:anchorId="14422EC3" wp14:editId="4BE2AD4A">
            <wp:extent cx="3412354" cy="1714500"/>
            <wp:effectExtent l="0" t="0" r="4445" b="0"/>
            <wp:docPr id="1265695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5648" name="Picture 1265695648"/>
                    <pic:cNvPicPr/>
                  </pic:nvPicPr>
                  <pic:blipFill>
                    <a:blip r:embed="rId19">
                      <a:extLst>
                        <a:ext uri="{28A0092B-C50C-407E-A947-70E740481C1C}">
                          <a14:useLocalDpi xmlns:a14="http://schemas.microsoft.com/office/drawing/2010/main" val="0"/>
                        </a:ext>
                      </a:extLst>
                    </a:blip>
                    <a:stretch>
                      <a:fillRect/>
                    </a:stretch>
                  </pic:blipFill>
                  <pic:spPr>
                    <a:xfrm>
                      <a:off x="0" y="0"/>
                      <a:ext cx="3434034" cy="1725393"/>
                    </a:xfrm>
                    <a:prstGeom prst="rect">
                      <a:avLst/>
                    </a:prstGeom>
                  </pic:spPr>
                </pic:pic>
              </a:graphicData>
            </a:graphic>
          </wp:inline>
        </w:drawing>
      </w:r>
    </w:p>
    <w:p w14:paraId="6CEB4F17" w14:textId="47641793" w:rsidR="002A1080" w:rsidRPr="00ED39C5" w:rsidRDefault="00CE13AE" w:rsidP="00216F6D">
      <w:pPr>
        <w:pStyle w:val="Subtitle"/>
        <w:spacing w:after="0" w:line="480" w:lineRule="auto"/>
        <w:jc w:val="center"/>
        <w:rPr>
          <w:rFonts w:ascii="Times New Roman" w:hAnsi="Times New Roman" w:cs="Times New Roman"/>
          <w:sz w:val="20"/>
          <w:szCs w:val="20"/>
        </w:rPr>
      </w:pPr>
      <w:bookmarkStart w:id="10" w:name="_Toc208742962"/>
      <w:r w:rsidRPr="00ED39C5">
        <w:rPr>
          <w:rFonts w:ascii="Times New Roman" w:hAnsi="Times New Roman" w:cs="Times New Roman"/>
          <w:sz w:val="20"/>
          <w:szCs w:val="20"/>
        </w:rPr>
        <w:t xml:space="preserve">Figure </w:t>
      </w:r>
      <w:r w:rsidR="00AD22BC" w:rsidRPr="00ED39C5">
        <w:rPr>
          <w:rFonts w:ascii="Times New Roman" w:hAnsi="Times New Roman" w:cs="Times New Roman"/>
          <w:sz w:val="20"/>
          <w:szCs w:val="20"/>
        </w:rPr>
        <w:t>6</w:t>
      </w:r>
      <w:r w:rsidRPr="00ED39C5">
        <w:rPr>
          <w:rFonts w:ascii="Times New Roman" w:hAnsi="Times New Roman" w:cs="Times New Roman"/>
          <w:sz w:val="20"/>
          <w:szCs w:val="20"/>
        </w:rPr>
        <w:t xml:space="preserve">: </w:t>
      </w:r>
      <w:r w:rsidR="002A1080" w:rsidRPr="00ED39C5">
        <w:rPr>
          <w:rFonts w:ascii="Times New Roman" w:hAnsi="Times New Roman" w:cs="Times New Roman"/>
          <w:sz w:val="20"/>
          <w:szCs w:val="20"/>
        </w:rPr>
        <w:t>Model performance of Decision Tree (before data scaling)</w:t>
      </w:r>
      <w:bookmarkEnd w:id="10"/>
    </w:p>
    <w:p w14:paraId="1A4622CA" w14:textId="77777777" w:rsidR="002A1080" w:rsidRPr="00ED39C5" w:rsidRDefault="002A1080" w:rsidP="00216F6D">
      <w:pPr>
        <w:spacing w:after="0" w:line="480" w:lineRule="auto"/>
        <w:jc w:val="both"/>
        <w:rPr>
          <w:rFonts w:ascii="Times New Roman" w:hAnsi="Times New Roman" w:cs="Times New Roman"/>
          <w:sz w:val="20"/>
          <w:szCs w:val="20"/>
        </w:rPr>
      </w:pPr>
    </w:p>
    <w:p w14:paraId="0FB1558F" w14:textId="4392F670" w:rsidR="002A1080" w:rsidRPr="00E52669" w:rsidRDefault="002A1080" w:rsidP="00216F6D">
      <w:pPr>
        <w:pStyle w:val="NormalWeb"/>
        <w:spacing w:before="0" w:beforeAutospacing="0" w:after="0" w:afterAutospacing="0" w:line="480" w:lineRule="auto"/>
        <w:jc w:val="both"/>
        <w:rPr>
          <w:rFonts w:eastAsiaTheme="minorEastAsia"/>
          <w:kern w:val="2"/>
          <w:sz w:val="22"/>
          <w:szCs w:val="22"/>
          <w:lang w:eastAsia="zh-CN"/>
          <w14:ligatures w14:val="standardContextual"/>
        </w:rPr>
      </w:pPr>
      <w:r w:rsidRPr="00B62207">
        <w:rPr>
          <w:rFonts w:eastAsiaTheme="minorEastAsia"/>
          <w:kern w:val="2"/>
          <w:sz w:val="22"/>
          <w:szCs w:val="22"/>
          <w:lang w:eastAsia="zh-CN"/>
          <w14:ligatures w14:val="standardContextual"/>
        </w:rPr>
        <w:t xml:space="preserve">After conducting grid search, the most effective parameters were tuned to enhance accuracy. </w:t>
      </w:r>
      <w:r w:rsidR="00822BDD" w:rsidRPr="00822BDD">
        <w:rPr>
          <w:rFonts w:eastAsiaTheme="minorEastAsia"/>
          <w:kern w:val="2"/>
          <w:sz w:val="22"/>
          <w:szCs w:val="22"/>
          <w:lang w:eastAsia="zh-CN"/>
          <w14:ligatures w14:val="standardContextual"/>
        </w:rPr>
        <w:t>Optimal</w:t>
      </w:r>
      <w:r w:rsidRPr="00B62207">
        <w:rPr>
          <w:rFonts w:eastAsiaTheme="minorEastAsia"/>
          <w:kern w:val="2"/>
          <w:sz w:val="22"/>
          <w:szCs w:val="22"/>
          <w:lang w:eastAsia="zh-CN"/>
          <w14:ligatures w14:val="standardContextual"/>
        </w:rPr>
        <w:t xml:space="preserve"> parameters </w:t>
      </w:r>
      <w:r w:rsidR="00822BDD" w:rsidRPr="00822BDD">
        <w:rPr>
          <w:rFonts w:eastAsiaTheme="minorEastAsia"/>
          <w:kern w:val="2"/>
          <w:sz w:val="22"/>
          <w:szCs w:val="22"/>
          <w:lang w:eastAsia="zh-CN"/>
          <w14:ligatures w14:val="standardContextual"/>
        </w:rPr>
        <w:t>were</w:t>
      </w:r>
      <w:r w:rsidRPr="00B62207">
        <w:rPr>
          <w:rFonts w:eastAsiaTheme="minorEastAsia"/>
          <w:kern w:val="2"/>
          <w:sz w:val="22"/>
          <w:szCs w:val="22"/>
          <w:lang w:eastAsia="zh-CN"/>
          <w14:ligatures w14:val="standardContextual"/>
        </w:rPr>
        <w:t xml:space="preserve"> criterion = 'entropy', which improves class separation by splitting nodes based on information gain; </w:t>
      </w:r>
      <w:proofErr w:type="spellStart"/>
      <w:r w:rsidRPr="00B62207">
        <w:rPr>
          <w:rFonts w:eastAsiaTheme="minorEastAsia"/>
          <w:kern w:val="2"/>
          <w:sz w:val="22"/>
          <w:szCs w:val="22"/>
          <w:lang w:eastAsia="zh-CN"/>
          <w14:ligatures w14:val="standardContextual"/>
        </w:rPr>
        <w:t>max_depth</w:t>
      </w:r>
      <w:proofErr w:type="spellEnd"/>
      <w:r w:rsidRPr="00B62207">
        <w:rPr>
          <w:rFonts w:eastAsiaTheme="minorEastAsia"/>
          <w:kern w:val="2"/>
          <w:sz w:val="22"/>
          <w:szCs w:val="22"/>
          <w:lang w:eastAsia="zh-CN"/>
          <w14:ligatures w14:val="standardContextual"/>
        </w:rPr>
        <w:t xml:space="preserve"> = 15, limiting tree depth to prevent overfitting; </w:t>
      </w:r>
      <w:proofErr w:type="spellStart"/>
      <w:r w:rsidRPr="00B62207">
        <w:rPr>
          <w:rFonts w:eastAsiaTheme="minorEastAsia"/>
          <w:kern w:val="2"/>
          <w:sz w:val="22"/>
          <w:szCs w:val="22"/>
          <w:lang w:eastAsia="zh-CN"/>
          <w14:ligatures w14:val="standardContextual"/>
        </w:rPr>
        <w:t>min_samples_leaf</w:t>
      </w:r>
      <w:proofErr w:type="spellEnd"/>
      <w:r w:rsidRPr="00B62207">
        <w:rPr>
          <w:rFonts w:eastAsiaTheme="minorEastAsia"/>
          <w:kern w:val="2"/>
          <w:sz w:val="22"/>
          <w:szCs w:val="22"/>
          <w:lang w:eastAsia="zh-CN"/>
          <w14:ligatures w14:val="standardContextual"/>
        </w:rPr>
        <w:t xml:space="preserve"> = 10, ensuring each leaf has at least ten samples; </w:t>
      </w:r>
      <w:proofErr w:type="spellStart"/>
      <w:r w:rsidRPr="00B62207">
        <w:rPr>
          <w:rFonts w:eastAsiaTheme="minorEastAsia"/>
          <w:kern w:val="2"/>
          <w:sz w:val="22"/>
          <w:szCs w:val="22"/>
          <w:lang w:eastAsia="zh-CN"/>
          <w14:ligatures w14:val="standardContextual"/>
        </w:rPr>
        <w:t>min_samples_split</w:t>
      </w:r>
      <w:proofErr w:type="spellEnd"/>
      <w:r w:rsidRPr="00B62207">
        <w:rPr>
          <w:rFonts w:eastAsiaTheme="minorEastAsia"/>
          <w:kern w:val="2"/>
          <w:sz w:val="22"/>
          <w:szCs w:val="22"/>
          <w:lang w:eastAsia="zh-CN"/>
          <w14:ligatures w14:val="standardContextual"/>
        </w:rPr>
        <w:t xml:space="preserve"> = 2, allowing splits with at least two samples; and </w:t>
      </w:r>
      <w:proofErr w:type="spellStart"/>
      <w:r w:rsidRPr="00B62207">
        <w:rPr>
          <w:rFonts w:eastAsiaTheme="minorEastAsia"/>
          <w:kern w:val="2"/>
          <w:sz w:val="22"/>
          <w:szCs w:val="22"/>
          <w:lang w:eastAsia="zh-CN"/>
          <w14:ligatures w14:val="standardContextual"/>
        </w:rPr>
        <w:t>max_features</w:t>
      </w:r>
      <w:proofErr w:type="spellEnd"/>
      <w:r w:rsidRPr="00B62207">
        <w:rPr>
          <w:rFonts w:eastAsiaTheme="minorEastAsia"/>
          <w:kern w:val="2"/>
          <w:sz w:val="22"/>
          <w:szCs w:val="22"/>
          <w:lang w:eastAsia="zh-CN"/>
          <w14:ligatures w14:val="standardContextual"/>
        </w:rPr>
        <w:t xml:space="preserve"> = None, considering all features when splitting. After tuning, model accuracy rose to 9</w:t>
      </w:r>
      <w:r w:rsidR="00C276BC" w:rsidRPr="00B62207">
        <w:rPr>
          <w:rFonts w:eastAsiaTheme="minorEastAsia"/>
          <w:kern w:val="2"/>
          <w:sz w:val="22"/>
          <w:szCs w:val="22"/>
          <w:lang w:eastAsia="zh-CN"/>
          <w14:ligatures w14:val="standardContextual"/>
        </w:rPr>
        <w:t>1</w:t>
      </w:r>
      <w:r w:rsidRPr="00B62207">
        <w:rPr>
          <w:rFonts w:eastAsiaTheme="minorEastAsia"/>
          <w:kern w:val="2"/>
          <w:sz w:val="22"/>
          <w:szCs w:val="22"/>
          <w:lang w:eastAsia="zh-CN"/>
          <w14:ligatures w14:val="standardContextual"/>
        </w:rPr>
        <w:t>%. Class 0 (No Default)</w:t>
      </w:r>
      <w:r w:rsidR="000A7B19">
        <w:rPr>
          <w:rFonts w:eastAsiaTheme="minorEastAsia"/>
          <w:kern w:val="2"/>
          <w:sz w:val="22"/>
          <w:szCs w:val="22"/>
          <w:lang w:eastAsia="zh-CN"/>
          <w14:ligatures w14:val="standardContextual"/>
        </w:rPr>
        <w:t xml:space="preserve"> </w:t>
      </w:r>
      <w:r w:rsidR="000A7B19" w:rsidRPr="00E52669">
        <w:rPr>
          <w:rFonts w:eastAsiaTheme="minorEastAsia"/>
          <w:kern w:val="2"/>
          <w:sz w:val="22"/>
          <w:szCs w:val="22"/>
          <w:lang w:eastAsia="zh-CN"/>
          <w14:ligatures w14:val="standardContextual"/>
        </w:rPr>
        <w:t>had 91%</w:t>
      </w:r>
      <w:r w:rsidR="00C276BC" w:rsidRPr="00E52669">
        <w:rPr>
          <w:rFonts w:eastAsiaTheme="minorEastAsia"/>
          <w:kern w:val="2"/>
          <w:sz w:val="22"/>
          <w:szCs w:val="22"/>
          <w:lang w:eastAsia="zh-CN"/>
          <w14:ligatures w14:val="standardContextual"/>
        </w:rPr>
        <w:t xml:space="preserve"> precision</w:t>
      </w:r>
      <w:r w:rsidR="000A7B19" w:rsidRPr="00E52669">
        <w:rPr>
          <w:rFonts w:eastAsiaTheme="minorEastAsia"/>
          <w:kern w:val="2"/>
          <w:sz w:val="22"/>
          <w:szCs w:val="22"/>
          <w:lang w:eastAsia="zh-CN"/>
          <w14:ligatures w14:val="standardContextual"/>
        </w:rPr>
        <w:t xml:space="preserve">, 92% </w:t>
      </w:r>
      <w:r w:rsidRPr="00E52669">
        <w:rPr>
          <w:rFonts w:eastAsiaTheme="minorEastAsia"/>
          <w:kern w:val="2"/>
          <w:sz w:val="22"/>
          <w:szCs w:val="22"/>
          <w:lang w:eastAsia="zh-CN"/>
          <w14:ligatures w14:val="standardContextual"/>
        </w:rPr>
        <w:t>recall</w:t>
      </w:r>
      <w:r w:rsidR="000A7B19" w:rsidRPr="00E52669">
        <w:rPr>
          <w:rFonts w:eastAsiaTheme="minorEastAsia"/>
          <w:kern w:val="2"/>
          <w:sz w:val="22"/>
          <w:szCs w:val="22"/>
          <w:lang w:eastAsia="zh-CN"/>
          <w14:ligatures w14:val="standardContextual"/>
        </w:rPr>
        <w:t>, and 91%</w:t>
      </w:r>
      <w:r w:rsidRPr="00E52669">
        <w:rPr>
          <w:rFonts w:eastAsiaTheme="minorEastAsia"/>
          <w:kern w:val="2"/>
          <w:sz w:val="22"/>
          <w:szCs w:val="22"/>
          <w:lang w:eastAsia="zh-CN"/>
          <w14:ligatures w14:val="standardContextual"/>
        </w:rPr>
        <w:t xml:space="preserve"> F1-score</w:t>
      </w:r>
      <w:r w:rsidRPr="00B62207">
        <w:rPr>
          <w:rFonts w:eastAsiaTheme="minorEastAsia"/>
          <w:kern w:val="2"/>
          <w:sz w:val="22"/>
          <w:szCs w:val="22"/>
          <w:lang w:eastAsia="zh-CN"/>
          <w14:ligatures w14:val="standardContextual"/>
        </w:rPr>
        <w:t>. For Class 1 (Default), precision</w:t>
      </w:r>
      <w:r w:rsidR="005D3BDE" w:rsidRPr="00B62207">
        <w:rPr>
          <w:rFonts w:eastAsiaTheme="minorEastAsia"/>
          <w:kern w:val="2"/>
          <w:sz w:val="22"/>
          <w:szCs w:val="22"/>
          <w:lang w:eastAsia="zh-CN"/>
          <w14:ligatures w14:val="standardContextual"/>
        </w:rPr>
        <w:t xml:space="preserve"> and recall also</w:t>
      </w:r>
      <w:r w:rsidRPr="00B62207">
        <w:rPr>
          <w:rFonts w:eastAsiaTheme="minorEastAsia"/>
          <w:kern w:val="2"/>
          <w:sz w:val="22"/>
          <w:szCs w:val="22"/>
          <w:lang w:eastAsia="zh-CN"/>
          <w14:ligatures w14:val="standardContextual"/>
        </w:rPr>
        <w:t xml:space="preserve"> </w:t>
      </w:r>
      <w:r w:rsidR="005D3BDE" w:rsidRPr="00B62207">
        <w:rPr>
          <w:rFonts w:eastAsiaTheme="minorEastAsia"/>
          <w:kern w:val="2"/>
          <w:sz w:val="22"/>
          <w:szCs w:val="22"/>
          <w:lang w:eastAsia="zh-CN"/>
          <w14:ligatures w14:val="standardContextual"/>
        </w:rPr>
        <w:t>increased to</w:t>
      </w:r>
      <w:r w:rsidRPr="00B62207">
        <w:rPr>
          <w:rFonts w:eastAsiaTheme="minorEastAsia"/>
          <w:kern w:val="2"/>
          <w:sz w:val="22"/>
          <w:szCs w:val="22"/>
          <w:lang w:eastAsia="zh-CN"/>
          <w14:ligatures w14:val="standardContextual"/>
        </w:rPr>
        <w:t xml:space="preserve"> 0.</w:t>
      </w:r>
      <w:r w:rsidR="005D3BDE" w:rsidRPr="00B62207">
        <w:rPr>
          <w:rFonts w:eastAsiaTheme="minorEastAsia"/>
          <w:kern w:val="2"/>
          <w:sz w:val="22"/>
          <w:szCs w:val="22"/>
          <w:lang w:eastAsia="zh-CN"/>
          <w14:ligatures w14:val="standardContextual"/>
        </w:rPr>
        <w:t>92</w:t>
      </w:r>
      <w:r w:rsidRPr="00B62207">
        <w:rPr>
          <w:rFonts w:eastAsiaTheme="minorEastAsia"/>
          <w:kern w:val="2"/>
          <w:sz w:val="22"/>
          <w:szCs w:val="22"/>
          <w:lang w:eastAsia="zh-CN"/>
          <w14:ligatures w14:val="standardContextual"/>
        </w:rPr>
        <w:t xml:space="preserve"> </w:t>
      </w:r>
      <w:r w:rsidR="005D3BDE" w:rsidRPr="00B62207">
        <w:rPr>
          <w:rFonts w:eastAsiaTheme="minorEastAsia"/>
          <w:kern w:val="2"/>
          <w:sz w:val="22"/>
          <w:szCs w:val="22"/>
          <w:lang w:eastAsia="zh-CN"/>
          <w14:ligatures w14:val="standardContextual"/>
        </w:rPr>
        <w:t>and</w:t>
      </w:r>
      <w:r w:rsidRPr="00B62207">
        <w:rPr>
          <w:rFonts w:eastAsiaTheme="minorEastAsia"/>
          <w:kern w:val="2"/>
          <w:sz w:val="22"/>
          <w:szCs w:val="22"/>
          <w:lang w:eastAsia="zh-CN"/>
          <w14:ligatures w14:val="standardContextual"/>
        </w:rPr>
        <w:t xml:space="preserve"> 0.9</w:t>
      </w:r>
      <w:r w:rsidR="005D3BDE" w:rsidRPr="00B62207">
        <w:rPr>
          <w:rFonts w:eastAsiaTheme="minorEastAsia"/>
          <w:kern w:val="2"/>
          <w:sz w:val="22"/>
          <w:szCs w:val="22"/>
          <w:lang w:eastAsia="zh-CN"/>
          <w14:ligatures w14:val="standardContextual"/>
        </w:rPr>
        <w:t>1 correspondingly</w:t>
      </w:r>
      <w:r w:rsidRPr="00B62207">
        <w:rPr>
          <w:rFonts w:eastAsiaTheme="minorEastAsia"/>
          <w:kern w:val="2"/>
          <w:sz w:val="22"/>
          <w:szCs w:val="22"/>
          <w:lang w:eastAsia="zh-CN"/>
          <w14:ligatures w14:val="standardContextual"/>
        </w:rPr>
        <w:t xml:space="preserve">. Overall, </w:t>
      </w:r>
      <w:r w:rsidR="00BC5847">
        <w:rPr>
          <w:rFonts w:eastAsiaTheme="minorEastAsia"/>
          <w:kern w:val="2"/>
          <w:sz w:val="22"/>
          <w:szCs w:val="22"/>
          <w:lang w:eastAsia="zh-CN"/>
          <w14:ligatures w14:val="standardContextual"/>
        </w:rPr>
        <w:t xml:space="preserve">it </w:t>
      </w:r>
      <w:r w:rsidRPr="00B62207">
        <w:rPr>
          <w:rFonts w:eastAsiaTheme="minorEastAsia"/>
          <w:kern w:val="2"/>
          <w:sz w:val="22"/>
          <w:szCs w:val="22"/>
          <w:lang w:eastAsia="zh-CN"/>
          <w14:ligatures w14:val="standardContextual"/>
        </w:rPr>
        <w:t>indicat</w:t>
      </w:r>
      <w:r w:rsidR="00BC5847">
        <w:rPr>
          <w:rFonts w:eastAsiaTheme="minorEastAsia"/>
          <w:kern w:val="2"/>
          <w:sz w:val="22"/>
          <w:szCs w:val="22"/>
          <w:lang w:eastAsia="zh-CN"/>
          <w14:ligatures w14:val="standardContextual"/>
        </w:rPr>
        <w:t>es</w:t>
      </w:r>
      <w:r w:rsidRPr="00B62207">
        <w:rPr>
          <w:rFonts w:eastAsiaTheme="minorEastAsia"/>
          <w:kern w:val="2"/>
          <w:sz w:val="22"/>
          <w:szCs w:val="22"/>
          <w:lang w:eastAsia="zh-CN"/>
          <w14:ligatures w14:val="standardContextual"/>
        </w:rPr>
        <w:t xml:space="preserve"> balanced performance </w:t>
      </w:r>
      <w:r w:rsidR="00E52669" w:rsidRPr="00E52669">
        <w:rPr>
          <w:rFonts w:eastAsiaTheme="minorEastAsia"/>
          <w:kern w:val="2"/>
          <w:sz w:val="22"/>
          <w:szCs w:val="22"/>
          <w:lang w:eastAsia="zh-CN"/>
          <w14:ligatures w14:val="standardContextual"/>
        </w:rPr>
        <w:t>across</w:t>
      </w:r>
      <w:r w:rsidR="00824BC5">
        <w:rPr>
          <w:rFonts w:eastAsiaTheme="minorEastAsia"/>
          <w:kern w:val="2"/>
          <w:sz w:val="22"/>
          <w:szCs w:val="22"/>
          <w:lang w:eastAsia="zh-CN"/>
          <w14:ligatures w14:val="standardContextual"/>
        </w:rPr>
        <w:t xml:space="preserve"> </w:t>
      </w:r>
      <w:r w:rsidR="004A744A">
        <w:rPr>
          <w:rFonts w:eastAsiaTheme="minorEastAsia"/>
          <w:kern w:val="2"/>
          <w:sz w:val="22"/>
          <w:szCs w:val="22"/>
          <w:lang w:eastAsia="zh-CN"/>
          <w14:ligatures w14:val="standardContextual"/>
        </w:rPr>
        <w:t xml:space="preserve">two </w:t>
      </w:r>
      <w:r w:rsidR="00E52669" w:rsidRPr="00E52669">
        <w:rPr>
          <w:rFonts w:eastAsiaTheme="minorEastAsia"/>
          <w:kern w:val="2"/>
          <w:sz w:val="22"/>
          <w:szCs w:val="22"/>
          <w:lang w:eastAsia="zh-CN"/>
          <w14:ligatures w14:val="standardContextual"/>
        </w:rPr>
        <w:t>classes</w:t>
      </w:r>
      <w:r w:rsidRPr="00B62207">
        <w:rPr>
          <w:rFonts w:eastAsiaTheme="minorEastAsia"/>
          <w:kern w:val="2"/>
          <w:sz w:val="22"/>
          <w:szCs w:val="22"/>
          <w:lang w:eastAsia="zh-CN"/>
          <w14:ligatures w14:val="standardContextual"/>
        </w:rPr>
        <w:t>.</w:t>
      </w:r>
    </w:p>
    <w:p w14:paraId="212C0EF1" w14:textId="77777777" w:rsidR="002A1080" w:rsidRPr="00B62207" w:rsidRDefault="002A1080" w:rsidP="00216F6D">
      <w:pPr>
        <w:spacing w:after="0" w:line="480" w:lineRule="auto"/>
        <w:jc w:val="center"/>
        <w:rPr>
          <w:rFonts w:ascii="Times New Roman" w:hAnsi="Times New Roman" w:cs="Times New Roman"/>
          <w:sz w:val="22"/>
          <w:szCs w:val="22"/>
        </w:rPr>
      </w:pPr>
      <w:r w:rsidRPr="00B62207">
        <w:rPr>
          <w:rFonts w:ascii="Times New Roman" w:hAnsi="Times New Roman" w:cs="Times New Roman"/>
          <w:noProof/>
          <w:sz w:val="22"/>
          <w:szCs w:val="22"/>
        </w:rPr>
        <w:drawing>
          <wp:inline distT="0" distB="0" distL="0" distR="0" wp14:anchorId="4A8C74F9" wp14:editId="5CA4AECE">
            <wp:extent cx="2120836" cy="2691994"/>
            <wp:effectExtent l="0" t="0" r="0" b="0"/>
            <wp:docPr id="2079530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006" name="Picture 1" descr="A screen shot of a computer program&#10;&#10;AI-generated content may be incorrect."/>
                    <pic:cNvPicPr/>
                  </pic:nvPicPr>
                  <pic:blipFill>
                    <a:blip r:embed="rId20"/>
                    <a:stretch>
                      <a:fillRect/>
                    </a:stretch>
                  </pic:blipFill>
                  <pic:spPr>
                    <a:xfrm>
                      <a:off x="0" y="0"/>
                      <a:ext cx="2120836" cy="2691994"/>
                    </a:xfrm>
                    <a:prstGeom prst="rect">
                      <a:avLst/>
                    </a:prstGeom>
                  </pic:spPr>
                </pic:pic>
              </a:graphicData>
            </a:graphic>
          </wp:inline>
        </w:drawing>
      </w:r>
      <w:r w:rsidRPr="00B62207">
        <w:rPr>
          <w:rFonts w:ascii="Times New Roman" w:hAnsi="Times New Roman" w:cs="Times New Roman"/>
          <w:noProof/>
          <w:sz w:val="22"/>
          <w:szCs w:val="22"/>
        </w:rPr>
        <w:drawing>
          <wp:inline distT="0" distB="0" distL="0" distR="0" wp14:anchorId="3621F824" wp14:editId="028D9EDB">
            <wp:extent cx="5943600" cy="1422400"/>
            <wp:effectExtent l="0" t="0" r="0" b="0"/>
            <wp:docPr id="1569668845"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845" name="Picture 4" descr="A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422400"/>
                    </a:xfrm>
                    <a:prstGeom prst="rect">
                      <a:avLst/>
                    </a:prstGeom>
                  </pic:spPr>
                </pic:pic>
              </a:graphicData>
            </a:graphic>
          </wp:inline>
        </w:drawing>
      </w:r>
    </w:p>
    <w:p w14:paraId="3124073C" w14:textId="1DFD9996" w:rsidR="00CE13AE" w:rsidRPr="00ED39C5" w:rsidRDefault="00CE13AE" w:rsidP="00216F6D">
      <w:pPr>
        <w:spacing w:after="0" w:line="480" w:lineRule="auto"/>
        <w:jc w:val="center"/>
        <w:rPr>
          <w:rFonts w:ascii="Times New Roman" w:hAnsi="Times New Roman" w:cs="Times New Roman"/>
          <w:sz w:val="20"/>
          <w:szCs w:val="20"/>
        </w:rPr>
      </w:pPr>
      <w:bookmarkStart w:id="11" w:name="_Toc208742963"/>
      <w:r w:rsidRPr="00ED39C5">
        <w:rPr>
          <w:rStyle w:val="SubtitleChar"/>
          <w:rFonts w:ascii="Times New Roman" w:hAnsi="Times New Roman" w:cs="Times New Roman"/>
          <w:sz w:val="20"/>
          <w:szCs w:val="20"/>
        </w:rPr>
        <w:t xml:space="preserve">Figure </w:t>
      </w:r>
      <w:r w:rsidR="00AD22BC" w:rsidRPr="00ED39C5">
        <w:rPr>
          <w:rStyle w:val="SubtitleChar"/>
          <w:rFonts w:ascii="Times New Roman" w:hAnsi="Times New Roman" w:cs="Times New Roman"/>
          <w:sz w:val="20"/>
          <w:szCs w:val="20"/>
        </w:rPr>
        <w:t>7</w:t>
      </w:r>
      <w:r w:rsidRPr="00ED39C5">
        <w:rPr>
          <w:rStyle w:val="SubtitleChar"/>
          <w:rFonts w:ascii="Times New Roman" w:hAnsi="Times New Roman" w:cs="Times New Roman"/>
          <w:sz w:val="20"/>
          <w:szCs w:val="20"/>
        </w:rPr>
        <w:t xml:space="preserve">: </w:t>
      </w:r>
      <w:r w:rsidR="002A1080" w:rsidRPr="00ED39C5">
        <w:rPr>
          <w:rStyle w:val="SubtitleChar"/>
          <w:rFonts w:ascii="Times New Roman" w:hAnsi="Times New Roman" w:cs="Times New Roman"/>
          <w:sz w:val="20"/>
          <w:szCs w:val="20"/>
        </w:rPr>
        <w:t>Model Performance of Decision Tree (after data scaling)</w:t>
      </w:r>
      <w:bookmarkEnd w:id="11"/>
    </w:p>
    <w:p w14:paraId="142B7EA7" w14:textId="77777777" w:rsidR="00CE13AE" w:rsidRPr="00B62207" w:rsidRDefault="00CE13AE" w:rsidP="00216F6D">
      <w:pPr>
        <w:spacing w:after="0" w:line="480" w:lineRule="auto"/>
        <w:jc w:val="both"/>
        <w:rPr>
          <w:rFonts w:ascii="Times New Roman" w:hAnsi="Times New Roman" w:cs="Times New Roman"/>
          <w:sz w:val="22"/>
          <w:szCs w:val="22"/>
        </w:rPr>
      </w:pPr>
    </w:p>
    <w:p w14:paraId="208DC198" w14:textId="35F1E134" w:rsidR="002A1080" w:rsidRPr="00B62207" w:rsidRDefault="002A1080"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Compared to the result of base line model, there are several</w:t>
      </w:r>
      <w:r w:rsidR="00E07DDE">
        <w:rPr>
          <w:rFonts w:ascii="Times New Roman" w:hAnsi="Times New Roman" w:cs="Times New Roman"/>
          <w:sz w:val="22"/>
          <w:szCs w:val="22"/>
        </w:rPr>
        <w:t xml:space="preserve"> mentioned</w:t>
      </w:r>
      <w:r w:rsidRPr="00B62207">
        <w:rPr>
          <w:rFonts w:ascii="Times New Roman" w:hAnsi="Times New Roman" w:cs="Times New Roman"/>
          <w:sz w:val="22"/>
          <w:szCs w:val="22"/>
        </w:rPr>
        <w:t xml:space="preserve"> modifications from the ranges while generating the analysis dataset, the addition of variables</w:t>
      </w:r>
      <w:r w:rsidR="006C6874">
        <w:rPr>
          <w:rFonts w:ascii="Times New Roman" w:hAnsi="Times New Roman" w:cs="Times New Roman"/>
          <w:sz w:val="22"/>
          <w:szCs w:val="22"/>
        </w:rPr>
        <w:t>,</w:t>
      </w:r>
      <w:r w:rsidRPr="00B62207">
        <w:rPr>
          <w:rFonts w:ascii="Times New Roman" w:hAnsi="Times New Roman" w:cs="Times New Roman"/>
          <w:sz w:val="22"/>
          <w:szCs w:val="22"/>
        </w:rPr>
        <w:t xml:space="preserve"> adjustment of coefficients in financial indicators to estimate the probability of default risk, </w:t>
      </w:r>
      <w:r w:rsidR="008E01ED">
        <w:rPr>
          <w:rFonts w:ascii="Times New Roman" w:hAnsi="Times New Roman" w:cs="Times New Roman"/>
          <w:sz w:val="22"/>
          <w:szCs w:val="22"/>
        </w:rPr>
        <w:t>and</w:t>
      </w:r>
      <w:r w:rsidR="00471D0E">
        <w:rPr>
          <w:rFonts w:ascii="Times New Roman" w:hAnsi="Times New Roman" w:cs="Times New Roman"/>
          <w:sz w:val="22"/>
          <w:szCs w:val="22"/>
        </w:rPr>
        <w:t xml:space="preserve"> changes of</w:t>
      </w:r>
      <w:r w:rsidRPr="00B62207">
        <w:rPr>
          <w:rFonts w:ascii="Times New Roman" w:hAnsi="Times New Roman" w:cs="Times New Roman"/>
          <w:sz w:val="22"/>
          <w:szCs w:val="22"/>
        </w:rPr>
        <w:t xml:space="preserve"> parameters for</w:t>
      </w:r>
      <w:r w:rsidR="00233DAE">
        <w:rPr>
          <w:rFonts w:ascii="Times New Roman" w:hAnsi="Times New Roman" w:cs="Times New Roman"/>
          <w:sz w:val="22"/>
          <w:szCs w:val="22"/>
        </w:rPr>
        <w:t xml:space="preserve"> the</w:t>
      </w:r>
      <w:r w:rsidR="004C0F79">
        <w:rPr>
          <w:rFonts w:ascii="Times New Roman" w:hAnsi="Times New Roman" w:cs="Times New Roman"/>
          <w:sz w:val="22"/>
          <w:szCs w:val="22"/>
        </w:rPr>
        <w:t xml:space="preserve"> training</w:t>
      </w:r>
      <w:r w:rsidRPr="00B62207">
        <w:rPr>
          <w:rFonts w:ascii="Times New Roman" w:hAnsi="Times New Roman" w:cs="Times New Roman"/>
          <w:sz w:val="22"/>
          <w:szCs w:val="22"/>
        </w:rPr>
        <w:t xml:space="preserve"> model. The</w:t>
      </w:r>
      <w:r w:rsidRPr="00B62207">
        <w:rPr>
          <w:rFonts w:ascii="Times New Roman" w:hAnsi="Times New Roman" w:cs="Times New Roman"/>
          <w:sz w:val="22"/>
          <w:szCs w:val="22"/>
          <w:lang w:val="vi-VN"/>
        </w:rPr>
        <w:t xml:space="preserve"> current </w:t>
      </w:r>
      <w:r w:rsidRPr="00B62207">
        <w:rPr>
          <w:rFonts w:ascii="Times New Roman" w:hAnsi="Times New Roman" w:cs="Times New Roman"/>
          <w:sz w:val="22"/>
          <w:szCs w:val="22"/>
        </w:rPr>
        <w:t>result indicates the superior accuracy performance, which is 9</w:t>
      </w:r>
      <w:r w:rsidR="005A04D8" w:rsidRPr="00B62207">
        <w:rPr>
          <w:rFonts w:ascii="Times New Roman" w:hAnsi="Times New Roman" w:cs="Times New Roman"/>
          <w:sz w:val="22"/>
          <w:szCs w:val="22"/>
        </w:rPr>
        <w:t>1</w:t>
      </w:r>
      <w:r w:rsidRPr="00B62207">
        <w:rPr>
          <w:rFonts w:ascii="Times New Roman" w:hAnsi="Times New Roman" w:cs="Times New Roman"/>
          <w:sz w:val="22"/>
          <w:szCs w:val="22"/>
        </w:rPr>
        <w:t>%, compared to 88% of the original result.</w:t>
      </w:r>
    </w:p>
    <w:p w14:paraId="60A0272F" w14:textId="77777777" w:rsidR="00CD508A" w:rsidRPr="00B62207" w:rsidRDefault="00CD508A" w:rsidP="00216F6D">
      <w:pPr>
        <w:spacing w:after="0" w:line="480" w:lineRule="auto"/>
        <w:jc w:val="center"/>
        <w:rPr>
          <w:rFonts w:ascii="Times New Roman" w:hAnsi="Times New Roman" w:cs="Times New Roman"/>
          <w:sz w:val="22"/>
          <w:szCs w:val="22"/>
        </w:rPr>
      </w:pPr>
      <w:r w:rsidRPr="00B62207">
        <w:rPr>
          <w:rFonts w:ascii="Times New Roman" w:hAnsi="Times New Roman" w:cs="Times New Roman"/>
          <w:noProof/>
          <w:sz w:val="22"/>
          <w:szCs w:val="22"/>
        </w:rPr>
        <w:drawing>
          <wp:inline distT="0" distB="0" distL="0" distR="0" wp14:anchorId="323ECDEE" wp14:editId="5670FFD9">
            <wp:extent cx="2236673" cy="3187700"/>
            <wp:effectExtent l="0" t="0" r="0" b="0"/>
            <wp:docPr id="152655635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56359" name="Picture 1" descr="A graph of a bar chart&#10;&#10;AI-generated content may be incorrect."/>
                    <pic:cNvPicPr/>
                  </pic:nvPicPr>
                  <pic:blipFill rotWithShape="1">
                    <a:blip r:embed="rId22"/>
                    <a:srcRect l="73602" b="11490"/>
                    <a:stretch/>
                  </pic:blipFill>
                  <pic:spPr bwMode="auto">
                    <a:xfrm>
                      <a:off x="0" y="0"/>
                      <a:ext cx="2239904" cy="3192305"/>
                    </a:xfrm>
                    <a:prstGeom prst="rect">
                      <a:avLst/>
                    </a:prstGeom>
                    <a:ln>
                      <a:noFill/>
                    </a:ln>
                    <a:extLst>
                      <a:ext uri="{53640926-AAD7-44D8-BBD7-CCE9431645EC}">
                        <a14:shadowObscured xmlns:a14="http://schemas.microsoft.com/office/drawing/2010/main"/>
                      </a:ext>
                    </a:extLst>
                  </pic:spPr>
                </pic:pic>
              </a:graphicData>
            </a:graphic>
          </wp:inline>
        </w:drawing>
      </w:r>
    </w:p>
    <w:p w14:paraId="7B0C1FB8" w14:textId="212602D0" w:rsidR="00CD508A" w:rsidRDefault="00CE13AE" w:rsidP="00216F6D">
      <w:pPr>
        <w:pStyle w:val="Subtitle"/>
        <w:spacing w:after="0" w:line="480" w:lineRule="auto"/>
        <w:jc w:val="center"/>
        <w:rPr>
          <w:rFonts w:ascii="Times New Roman" w:hAnsi="Times New Roman" w:cs="Times New Roman"/>
          <w:sz w:val="20"/>
          <w:szCs w:val="20"/>
        </w:rPr>
      </w:pPr>
      <w:bookmarkStart w:id="12" w:name="_Toc208742964"/>
      <w:r w:rsidRPr="00ED39C5">
        <w:rPr>
          <w:rFonts w:ascii="Times New Roman" w:hAnsi="Times New Roman" w:cs="Times New Roman"/>
          <w:sz w:val="20"/>
          <w:szCs w:val="20"/>
        </w:rPr>
        <w:t xml:space="preserve">Figure </w:t>
      </w:r>
      <w:r w:rsidR="00AD22BC" w:rsidRPr="00ED39C5">
        <w:rPr>
          <w:rFonts w:ascii="Times New Roman" w:hAnsi="Times New Roman" w:cs="Times New Roman"/>
          <w:sz w:val="20"/>
          <w:szCs w:val="20"/>
        </w:rPr>
        <w:t>8</w:t>
      </w:r>
      <w:r w:rsidRPr="00ED39C5">
        <w:rPr>
          <w:rFonts w:ascii="Times New Roman" w:hAnsi="Times New Roman" w:cs="Times New Roman"/>
          <w:sz w:val="20"/>
          <w:szCs w:val="20"/>
        </w:rPr>
        <w:t xml:space="preserve">: </w:t>
      </w:r>
      <w:r w:rsidR="00CD508A" w:rsidRPr="00ED39C5">
        <w:rPr>
          <w:rFonts w:ascii="Times New Roman" w:hAnsi="Times New Roman" w:cs="Times New Roman"/>
          <w:sz w:val="20"/>
          <w:szCs w:val="20"/>
        </w:rPr>
        <w:t>Current Model compared to Original Base Line Model</w:t>
      </w:r>
      <w:bookmarkEnd w:id="12"/>
    </w:p>
    <w:p w14:paraId="1B29DA65" w14:textId="25C697FB" w:rsidR="00CD508A" w:rsidRPr="00B62207" w:rsidRDefault="007F5ECB" w:rsidP="00216F6D">
      <w:pPr>
        <w:pStyle w:val="NormalWeb"/>
        <w:spacing w:after="0" w:afterAutospacing="0" w:line="480" w:lineRule="auto"/>
        <w:jc w:val="both"/>
        <w:rPr>
          <w:sz w:val="22"/>
          <w:szCs w:val="22"/>
        </w:rPr>
      </w:pPr>
      <w:r w:rsidRPr="00B62207">
        <w:rPr>
          <w:sz w:val="22"/>
          <w:szCs w:val="22"/>
        </w:rPr>
        <w:t>While the Decision Tree performed well, Logistic Regression (92%), Random Forest (91.5%), and SVC (92%) showed slightly better accuracy. Logistic Regression offers stability, generalisability, and useful probability outputs. Random Forest</w:t>
      </w:r>
      <w:r w:rsidR="00FC43CA" w:rsidRPr="00B62207">
        <w:rPr>
          <w:sz w:val="22"/>
          <w:szCs w:val="22"/>
        </w:rPr>
        <w:t>,</w:t>
      </w:r>
      <w:r w:rsidRPr="00B62207">
        <w:rPr>
          <w:sz w:val="22"/>
          <w:szCs w:val="22"/>
        </w:rPr>
        <w:t xml:space="preserve"> by combining multiple Decision Trees, reduces overfitting and handles both linear and non-linear patterns, while SVC with the RBF kernel captures complex boundaries in higher dimensions. Overall, these models outperform the Decision Tree in stability, robustness, and flexibility.</w:t>
      </w:r>
    </w:p>
    <w:p w14:paraId="2FAC149B" w14:textId="77777777" w:rsidR="00CD508A" w:rsidRPr="00B62207" w:rsidRDefault="00CD508A" w:rsidP="00216F6D">
      <w:pPr>
        <w:pStyle w:val="NormalWeb"/>
        <w:spacing w:before="0" w:beforeAutospacing="0" w:after="0" w:afterAutospacing="0" w:line="480" w:lineRule="auto"/>
        <w:jc w:val="both"/>
        <w:rPr>
          <w:sz w:val="22"/>
          <w:szCs w:val="22"/>
        </w:rPr>
      </w:pPr>
    </w:p>
    <w:p w14:paraId="779F55D2" w14:textId="5314E590" w:rsidR="00CD508A" w:rsidRPr="00B62207" w:rsidRDefault="00CD508A" w:rsidP="00216F6D">
      <w:pPr>
        <w:spacing w:after="0" w:line="480" w:lineRule="auto"/>
        <w:rPr>
          <w:rFonts w:ascii="Times New Roman" w:hAnsi="Times New Roman" w:cs="Times New Roman"/>
          <w:sz w:val="22"/>
          <w:szCs w:val="22"/>
        </w:rPr>
      </w:pPr>
      <w:r w:rsidRPr="00B62207">
        <w:rPr>
          <w:rFonts w:ascii="Times New Roman" w:hAnsi="Times New Roman" w:cs="Times New Roman"/>
          <w:noProof/>
          <w:sz w:val="22"/>
          <w:szCs w:val="22"/>
        </w:rPr>
        <w:drawing>
          <wp:inline distT="0" distB="0" distL="0" distR="0" wp14:anchorId="6F5AAE49" wp14:editId="4A873F85">
            <wp:extent cx="3203122" cy="1836000"/>
            <wp:effectExtent l="0" t="0" r="0" b="5715"/>
            <wp:docPr id="62949315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93156" name="Picture 1" descr="A graph of a bar chart&#10;&#10;AI-generated content may be incorrect."/>
                    <pic:cNvPicPr/>
                  </pic:nvPicPr>
                  <pic:blipFill rotWithShape="1">
                    <a:blip r:embed="rId22"/>
                    <a:srcRect r="25842"/>
                    <a:stretch>
                      <a:fillRect/>
                    </a:stretch>
                  </pic:blipFill>
                  <pic:spPr bwMode="auto">
                    <a:xfrm>
                      <a:off x="0" y="0"/>
                      <a:ext cx="3203122" cy="1836000"/>
                    </a:xfrm>
                    <a:prstGeom prst="rect">
                      <a:avLst/>
                    </a:prstGeom>
                    <a:ln>
                      <a:noFill/>
                    </a:ln>
                    <a:extLst>
                      <a:ext uri="{53640926-AAD7-44D8-BBD7-CCE9431645EC}">
                        <a14:shadowObscured xmlns:a14="http://schemas.microsoft.com/office/drawing/2010/main"/>
                      </a:ext>
                    </a:extLst>
                  </pic:spPr>
                </pic:pic>
              </a:graphicData>
            </a:graphic>
          </wp:inline>
        </w:drawing>
      </w:r>
      <w:r w:rsidR="00C175D1" w:rsidRPr="00B62207">
        <w:rPr>
          <w:rFonts w:ascii="Times New Roman" w:hAnsi="Times New Roman" w:cs="Times New Roman"/>
          <w:noProof/>
          <w:sz w:val="22"/>
          <w:szCs w:val="22"/>
          <w:lang w:val="en-US"/>
        </w:rPr>
        <w:drawing>
          <wp:inline distT="0" distB="0" distL="0" distR="0" wp14:anchorId="63B7B913" wp14:editId="57B5B84D">
            <wp:extent cx="2496378" cy="1836000"/>
            <wp:effectExtent l="0" t="0" r="5715" b="5715"/>
            <wp:docPr id="174946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68416" name=""/>
                    <pic:cNvPicPr/>
                  </pic:nvPicPr>
                  <pic:blipFill>
                    <a:blip r:embed="rId23"/>
                    <a:stretch>
                      <a:fillRect/>
                    </a:stretch>
                  </pic:blipFill>
                  <pic:spPr>
                    <a:xfrm>
                      <a:off x="0" y="0"/>
                      <a:ext cx="2496378" cy="1836000"/>
                    </a:xfrm>
                    <a:prstGeom prst="rect">
                      <a:avLst/>
                    </a:prstGeom>
                  </pic:spPr>
                </pic:pic>
              </a:graphicData>
            </a:graphic>
          </wp:inline>
        </w:drawing>
      </w:r>
    </w:p>
    <w:p w14:paraId="0DD7FE2D" w14:textId="21D74183" w:rsidR="00CD508A" w:rsidRPr="00ED39C5" w:rsidRDefault="00CE13AE" w:rsidP="00216F6D">
      <w:pPr>
        <w:pStyle w:val="Subtitle"/>
        <w:spacing w:line="480" w:lineRule="auto"/>
        <w:jc w:val="center"/>
        <w:rPr>
          <w:rFonts w:ascii="Times New Roman" w:hAnsi="Times New Roman" w:cs="Times New Roman"/>
          <w:sz w:val="20"/>
          <w:szCs w:val="20"/>
        </w:rPr>
      </w:pPr>
      <w:bookmarkStart w:id="13" w:name="_Toc208742965"/>
      <w:r w:rsidRPr="00ED39C5">
        <w:rPr>
          <w:rFonts w:ascii="Times New Roman" w:hAnsi="Times New Roman" w:cs="Times New Roman"/>
          <w:sz w:val="20"/>
          <w:szCs w:val="20"/>
        </w:rPr>
        <w:t xml:space="preserve">Figure </w:t>
      </w:r>
      <w:r w:rsidR="00AD22BC" w:rsidRPr="00ED39C5">
        <w:rPr>
          <w:rFonts w:ascii="Times New Roman" w:hAnsi="Times New Roman" w:cs="Times New Roman"/>
          <w:sz w:val="20"/>
          <w:szCs w:val="20"/>
        </w:rPr>
        <w:t>9</w:t>
      </w:r>
      <w:r w:rsidRPr="00ED39C5">
        <w:rPr>
          <w:rFonts w:ascii="Times New Roman" w:hAnsi="Times New Roman" w:cs="Times New Roman"/>
          <w:sz w:val="20"/>
          <w:szCs w:val="20"/>
        </w:rPr>
        <w:t xml:space="preserve">: </w:t>
      </w:r>
      <w:r w:rsidR="00CD508A" w:rsidRPr="00ED39C5">
        <w:rPr>
          <w:rFonts w:ascii="Times New Roman" w:hAnsi="Times New Roman" w:cs="Times New Roman"/>
          <w:sz w:val="20"/>
          <w:szCs w:val="20"/>
        </w:rPr>
        <w:t xml:space="preserve">Comparison between Decision Tree and other </w:t>
      </w:r>
      <w:r w:rsidR="00850047">
        <w:rPr>
          <w:rFonts w:ascii="Times New Roman" w:hAnsi="Times New Roman" w:cs="Times New Roman"/>
          <w:sz w:val="20"/>
          <w:szCs w:val="20"/>
        </w:rPr>
        <w:t>ML</w:t>
      </w:r>
      <w:r w:rsidR="00CD508A" w:rsidRPr="00ED39C5">
        <w:rPr>
          <w:rFonts w:ascii="Times New Roman" w:hAnsi="Times New Roman" w:cs="Times New Roman"/>
          <w:sz w:val="20"/>
          <w:szCs w:val="20"/>
        </w:rPr>
        <w:t xml:space="preserve"> models</w:t>
      </w:r>
      <w:r w:rsidR="003B7B7A" w:rsidRPr="00ED39C5">
        <w:rPr>
          <w:rFonts w:ascii="Times New Roman" w:hAnsi="Times New Roman" w:cs="Times New Roman"/>
          <w:sz w:val="20"/>
          <w:szCs w:val="20"/>
        </w:rPr>
        <w:t xml:space="preserve"> (</w:t>
      </w:r>
      <w:r w:rsidR="001137E7" w:rsidRPr="00ED39C5">
        <w:rPr>
          <w:rFonts w:ascii="Times New Roman" w:hAnsi="Times New Roman" w:cs="Times New Roman"/>
          <w:sz w:val="20"/>
          <w:szCs w:val="20"/>
        </w:rPr>
        <w:t>R</w:t>
      </w:r>
      <w:r w:rsidR="001137E7" w:rsidRPr="00ED39C5">
        <w:rPr>
          <w:rFonts w:ascii="Times New Roman" w:hAnsi="Times New Roman" w:cs="Times New Roman"/>
          <w:sz w:val="20"/>
          <w:szCs w:val="20"/>
          <w:vertAlign w:val="superscript"/>
        </w:rPr>
        <w:t xml:space="preserve">2 </w:t>
      </w:r>
      <w:r w:rsidR="00B1628C" w:rsidRPr="00ED39C5">
        <w:rPr>
          <w:rFonts w:ascii="Times New Roman" w:hAnsi="Times New Roman" w:cs="Times New Roman"/>
          <w:sz w:val="20"/>
          <w:szCs w:val="20"/>
        </w:rPr>
        <w:t>&amp; ROC curve</w:t>
      </w:r>
      <w:r w:rsidR="003B7B7A" w:rsidRPr="00ED39C5">
        <w:rPr>
          <w:rFonts w:ascii="Times New Roman" w:hAnsi="Times New Roman" w:cs="Times New Roman"/>
          <w:sz w:val="20"/>
          <w:szCs w:val="20"/>
        </w:rPr>
        <w:t>)</w:t>
      </w:r>
      <w:bookmarkEnd w:id="13"/>
    </w:p>
    <w:p w14:paraId="0906210D" w14:textId="2E2AE0FA" w:rsidR="007031E4" w:rsidRPr="00871678" w:rsidRDefault="007031E4" w:rsidP="00216F6D">
      <w:pPr>
        <w:pStyle w:val="Heading1"/>
        <w:numPr>
          <w:ilvl w:val="0"/>
          <w:numId w:val="1"/>
        </w:numPr>
        <w:spacing w:before="0" w:after="0" w:line="480" w:lineRule="auto"/>
        <w:ind w:left="360"/>
        <w:jc w:val="both"/>
        <w:rPr>
          <w:rFonts w:ascii="Times New Roman" w:hAnsi="Times New Roman" w:cs="Times New Roman"/>
          <w:b/>
          <w:sz w:val="24"/>
          <w:szCs w:val="24"/>
        </w:rPr>
      </w:pPr>
      <w:bookmarkStart w:id="14" w:name="_Toc208742925"/>
      <w:r w:rsidRPr="00ED39C5">
        <w:rPr>
          <w:rFonts w:ascii="Times New Roman" w:hAnsi="Times New Roman" w:cs="Times New Roman"/>
          <w:b/>
          <w:sz w:val="24"/>
          <w:szCs w:val="24"/>
        </w:rPr>
        <w:t>Limitations and Recommendations</w:t>
      </w:r>
      <w:bookmarkEnd w:id="14"/>
      <w:r w:rsidRPr="00ED39C5">
        <w:rPr>
          <w:rFonts w:ascii="Times New Roman" w:hAnsi="Times New Roman" w:cs="Times New Roman"/>
          <w:b/>
          <w:sz w:val="24"/>
          <w:szCs w:val="24"/>
        </w:rPr>
        <w:t xml:space="preserve"> </w:t>
      </w:r>
    </w:p>
    <w:p w14:paraId="75C31C6B" w14:textId="1225AD13" w:rsidR="007031E4" w:rsidRPr="00B62207" w:rsidRDefault="007031E4" w:rsidP="00216F6D">
      <w:pPr>
        <w:spacing w:after="0" w:line="480" w:lineRule="auto"/>
        <w:jc w:val="both"/>
        <w:rPr>
          <w:rFonts w:ascii="Times New Roman" w:hAnsi="Times New Roman" w:cs="Times New Roman"/>
          <w:sz w:val="22"/>
          <w:szCs w:val="22"/>
          <w:lang w:val="vi-VN"/>
        </w:rPr>
      </w:pPr>
      <w:r w:rsidRPr="00B62207">
        <w:rPr>
          <w:rFonts w:ascii="Times New Roman" w:hAnsi="Times New Roman" w:cs="Times New Roman"/>
          <w:sz w:val="22"/>
          <w:szCs w:val="22"/>
        </w:rPr>
        <w:t>When variables have high correlations, the model may overfit. It then has good results on the training set but poor results on new data. This problem is worse because the model does not use methods like cross-validation and pruning (Löffler &amp; Maurer, 2011</w:t>
      </w:r>
      <w:r w:rsidR="0001467D" w:rsidRPr="00B62207">
        <w:rPr>
          <w:rFonts w:ascii="Times New Roman" w:hAnsi="Times New Roman" w:cs="Times New Roman"/>
          <w:sz w:val="22"/>
          <w:szCs w:val="22"/>
        </w:rPr>
        <w:t>d</w:t>
      </w:r>
      <w:r w:rsidRPr="00B62207">
        <w:rPr>
          <w:rFonts w:ascii="Times New Roman" w:hAnsi="Times New Roman" w:cs="Times New Roman"/>
          <w:sz w:val="22"/>
          <w:szCs w:val="22"/>
        </w:rPr>
        <w:t>). Also, the use of simulated data lowers robustness. This is because values can be outside real ranges and there is no volatility. As a result, the model cannot show the differences found in the real world (Bajwa &amp; Rashid, 2021</w:t>
      </w:r>
      <w:r w:rsidR="0001467D" w:rsidRPr="00B62207">
        <w:rPr>
          <w:rFonts w:ascii="Times New Roman" w:hAnsi="Times New Roman" w:cs="Times New Roman"/>
          <w:sz w:val="22"/>
          <w:szCs w:val="22"/>
        </w:rPr>
        <w:t>b</w:t>
      </w:r>
      <w:r w:rsidRPr="00B62207">
        <w:rPr>
          <w:rFonts w:ascii="Times New Roman" w:hAnsi="Times New Roman" w:cs="Times New Roman"/>
          <w:sz w:val="22"/>
          <w:szCs w:val="22"/>
        </w:rPr>
        <w:t>). Another problem is the small use of macroeconomic factors. Empirical studies show that recession</w:t>
      </w:r>
      <w:r w:rsidR="00247059" w:rsidRPr="00B62207">
        <w:rPr>
          <w:rFonts w:ascii="Times New Roman" w:hAnsi="Times New Roman" w:cs="Times New Roman"/>
          <w:sz w:val="22"/>
          <w:szCs w:val="22"/>
        </w:rPr>
        <w:t xml:space="preserve"> and</w:t>
      </w:r>
      <w:r w:rsidRPr="00B62207">
        <w:rPr>
          <w:rFonts w:ascii="Times New Roman" w:hAnsi="Times New Roman" w:cs="Times New Roman"/>
          <w:sz w:val="22"/>
          <w:szCs w:val="22"/>
        </w:rPr>
        <w:t xml:space="preserve"> lower GDP growth raise the chance of default. They do this by changing revenues, refinancing costs, and cash flow buffers (Memmel, Gündüz, &amp; Raupach, 2015</w:t>
      </w:r>
      <w:r w:rsidR="00C07D28" w:rsidRPr="00B62207">
        <w:rPr>
          <w:rFonts w:ascii="Times New Roman" w:hAnsi="Times New Roman" w:cs="Times New Roman"/>
          <w:sz w:val="22"/>
          <w:szCs w:val="22"/>
        </w:rPr>
        <w:t>b</w:t>
      </w:r>
      <w:r w:rsidRPr="00B62207">
        <w:rPr>
          <w:rFonts w:ascii="Times New Roman" w:hAnsi="Times New Roman" w:cs="Times New Roman"/>
          <w:sz w:val="22"/>
          <w:szCs w:val="22"/>
        </w:rPr>
        <w:t>; Zhang, Ouyang, Liu, &amp; Xu, 2020</w:t>
      </w:r>
      <w:r w:rsidR="00C07D28" w:rsidRPr="00B62207">
        <w:rPr>
          <w:rFonts w:ascii="Times New Roman" w:hAnsi="Times New Roman" w:cs="Times New Roman"/>
          <w:sz w:val="22"/>
          <w:szCs w:val="22"/>
        </w:rPr>
        <w:t>f</w:t>
      </w:r>
      <w:r w:rsidRPr="00B62207">
        <w:rPr>
          <w:rFonts w:ascii="Times New Roman" w:hAnsi="Times New Roman" w:cs="Times New Roman"/>
          <w:sz w:val="22"/>
          <w:szCs w:val="22"/>
        </w:rPr>
        <w:t>).</w:t>
      </w:r>
    </w:p>
    <w:p w14:paraId="1B6B9D43" w14:textId="77777777" w:rsidR="008B333A" w:rsidRPr="00B62207" w:rsidRDefault="008B333A" w:rsidP="00216F6D">
      <w:pPr>
        <w:spacing w:after="0" w:line="480" w:lineRule="auto"/>
        <w:jc w:val="both"/>
        <w:rPr>
          <w:rFonts w:ascii="Times New Roman" w:hAnsi="Times New Roman" w:cs="Times New Roman"/>
          <w:sz w:val="22"/>
          <w:szCs w:val="22"/>
          <w:lang w:val="vi-VN"/>
        </w:rPr>
      </w:pPr>
    </w:p>
    <w:p w14:paraId="59263D9D" w14:textId="4E27EC3B" w:rsidR="007031E4" w:rsidRPr="00B62207" w:rsidRDefault="00FE14A8" w:rsidP="00216F6D">
      <w:pPr>
        <w:spacing w:after="0" w:line="480" w:lineRule="auto"/>
        <w:jc w:val="both"/>
        <w:rPr>
          <w:rFonts w:ascii="Times New Roman" w:hAnsi="Times New Roman" w:cs="Times New Roman"/>
          <w:sz w:val="22"/>
          <w:szCs w:val="22"/>
        </w:rPr>
      </w:pPr>
      <w:r w:rsidRPr="00B62207">
        <w:rPr>
          <w:rFonts w:ascii="Times New Roman" w:hAnsi="Times New Roman" w:cs="Times New Roman"/>
          <w:sz w:val="22"/>
          <w:szCs w:val="22"/>
        </w:rPr>
        <w:t>To solve these issues, f</w:t>
      </w:r>
      <w:r w:rsidR="007031E4" w:rsidRPr="00B62207">
        <w:rPr>
          <w:rFonts w:ascii="Times New Roman" w:hAnsi="Times New Roman" w:cs="Times New Roman"/>
          <w:sz w:val="22"/>
          <w:szCs w:val="22"/>
        </w:rPr>
        <w:t xml:space="preserve">irst, adding macroeconomic indicators like GDP growth can help show systemic risk (Cathcart, Dufour, Rossi, &amp; </w:t>
      </w:r>
      <w:proofErr w:type="spellStart"/>
      <w:r w:rsidR="007031E4" w:rsidRPr="00B62207">
        <w:rPr>
          <w:rFonts w:ascii="Times New Roman" w:hAnsi="Times New Roman" w:cs="Times New Roman"/>
          <w:sz w:val="22"/>
          <w:szCs w:val="22"/>
        </w:rPr>
        <w:t>Varotto</w:t>
      </w:r>
      <w:proofErr w:type="spellEnd"/>
      <w:r w:rsidR="007031E4" w:rsidRPr="00B62207">
        <w:rPr>
          <w:rFonts w:ascii="Times New Roman" w:hAnsi="Times New Roman" w:cs="Times New Roman"/>
          <w:sz w:val="22"/>
          <w:szCs w:val="22"/>
        </w:rPr>
        <w:t>, 2020</w:t>
      </w:r>
      <w:r w:rsidR="0067304F" w:rsidRPr="00B62207">
        <w:rPr>
          <w:rFonts w:ascii="Times New Roman" w:hAnsi="Times New Roman" w:cs="Times New Roman"/>
          <w:sz w:val="22"/>
          <w:szCs w:val="22"/>
        </w:rPr>
        <w:t>c</w:t>
      </w:r>
      <w:r w:rsidR="007031E4" w:rsidRPr="00B62207">
        <w:rPr>
          <w:rFonts w:ascii="Times New Roman" w:hAnsi="Times New Roman" w:cs="Times New Roman"/>
          <w:sz w:val="22"/>
          <w:szCs w:val="22"/>
        </w:rPr>
        <w:t>). Second, using ensemble learning methods like gradient boosting can lower overfitting and improve stability (Chan-Lau et al., 2024</w:t>
      </w:r>
      <w:r w:rsidR="0035302D" w:rsidRPr="00B62207">
        <w:rPr>
          <w:rFonts w:ascii="Times New Roman" w:hAnsi="Times New Roman" w:cs="Times New Roman"/>
          <w:sz w:val="22"/>
          <w:szCs w:val="22"/>
        </w:rPr>
        <w:t>b</w:t>
      </w:r>
      <w:r w:rsidR="007031E4" w:rsidRPr="00B62207">
        <w:rPr>
          <w:rFonts w:ascii="Times New Roman" w:hAnsi="Times New Roman" w:cs="Times New Roman"/>
          <w:sz w:val="22"/>
          <w:szCs w:val="22"/>
        </w:rPr>
        <w:t>). Third, using ESG ratings and real-time transaction data can give quick signals of solvency, though data availability is still a problem (Li, Zhang, &amp; Zhao, 2022</w:t>
      </w:r>
      <w:r w:rsidR="00E80422" w:rsidRPr="00B62207">
        <w:rPr>
          <w:rFonts w:ascii="Times New Roman" w:hAnsi="Times New Roman" w:cs="Times New Roman"/>
          <w:sz w:val="22"/>
          <w:szCs w:val="22"/>
        </w:rPr>
        <w:t>c</w:t>
      </w:r>
      <w:r w:rsidR="007031E4" w:rsidRPr="00B62207">
        <w:rPr>
          <w:rFonts w:ascii="Times New Roman" w:hAnsi="Times New Roman" w:cs="Times New Roman"/>
          <w:sz w:val="22"/>
          <w:szCs w:val="22"/>
        </w:rPr>
        <w:t>).</w:t>
      </w:r>
    </w:p>
    <w:p w14:paraId="460702D6" w14:textId="77777777" w:rsidR="00A379F8" w:rsidRPr="00B62207" w:rsidRDefault="00A379F8" w:rsidP="00216F6D">
      <w:pPr>
        <w:spacing w:after="0" w:line="480" w:lineRule="auto"/>
        <w:jc w:val="both"/>
        <w:rPr>
          <w:rFonts w:ascii="Times New Roman" w:hAnsi="Times New Roman" w:cs="Times New Roman"/>
          <w:sz w:val="22"/>
          <w:szCs w:val="22"/>
        </w:rPr>
      </w:pPr>
    </w:p>
    <w:p w14:paraId="7D142656" w14:textId="77777777" w:rsidR="00A379F8" w:rsidRPr="00B62207" w:rsidRDefault="00A379F8" w:rsidP="00216F6D">
      <w:pPr>
        <w:spacing w:after="0" w:line="480" w:lineRule="auto"/>
        <w:jc w:val="both"/>
        <w:rPr>
          <w:rFonts w:ascii="Times New Roman" w:hAnsi="Times New Roman" w:cs="Times New Roman"/>
          <w:sz w:val="22"/>
          <w:szCs w:val="22"/>
        </w:rPr>
      </w:pPr>
    </w:p>
    <w:p w14:paraId="3E4AED10" w14:textId="77777777" w:rsidR="00CE13AE" w:rsidRDefault="00CE13AE" w:rsidP="00216F6D">
      <w:pPr>
        <w:spacing w:after="0" w:line="480" w:lineRule="auto"/>
        <w:jc w:val="both"/>
        <w:rPr>
          <w:rFonts w:ascii="Times New Roman" w:hAnsi="Times New Roman" w:cs="Times New Roman"/>
          <w:sz w:val="22"/>
          <w:szCs w:val="22"/>
        </w:rPr>
      </w:pPr>
    </w:p>
    <w:p w14:paraId="3E27DBC9" w14:textId="77777777" w:rsidR="00BE329A" w:rsidRDefault="00BE329A" w:rsidP="00216F6D">
      <w:pPr>
        <w:spacing w:after="0" w:line="480" w:lineRule="auto"/>
        <w:jc w:val="both"/>
        <w:rPr>
          <w:rFonts w:ascii="Times New Roman" w:hAnsi="Times New Roman" w:cs="Times New Roman"/>
          <w:sz w:val="22"/>
          <w:szCs w:val="22"/>
        </w:rPr>
      </w:pPr>
    </w:p>
    <w:p w14:paraId="77606DF0" w14:textId="77777777" w:rsidR="00BE329A" w:rsidRDefault="00BE329A" w:rsidP="00216F6D">
      <w:pPr>
        <w:spacing w:after="0" w:line="480" w:lineRule="auto"/>
        <w:jc w:val="both"/>
        <w:rPr>
          <w:rFonts w:ascii="Times New Roman" w:hAnsi="Times New Roman" w:cs="Times New Roman"/>
          <w:sz w:val="22"/>
          <w:szCs w:val="22"/>
        </w:rPr>
      </w:pPr>
    </w:p>
    <w:p w14:paraId="7EFD5B3A" w14:textId="77777777" w:rsidR="00BE329A" w:rsidRDefault="00BE329A" w:rsidP="00216F6D">
      <w:pPr>
        <w:spacing w:after="0" w:line="480" w:lineRule="auto"/>
        <w:jc w:val="both"/>
        <w:rPr>
          <w:rFonts w:ascii="Times New Roman" w:hAnsi="Times New Roman" w:cs="Times New Roman"/>
          <w:sz w:val="22"/>
          <w:szCs w:val="22"/>
        </w:rPr>
      </w:pPr>
    </w:p>
    <w:p w14:paraId="4F3D7BE7" w14:textId="77777777" w:rsidR="00BE329A" w:rsidRDefault="00BE329A" w:rsidP="00216F6D">
      <w:pPr>
        <w:spacing w:after="0" w:line="480" w:lineRule="auto"/>
        <w:jc w:val="both"/>
        <w:rPr>
          <w:rFonts w:ascii="Times New Roman" w:hAnsi="Times New Roman" w:cs="Times New Roman"/>
          <w:sz w:val="22"/>
          <w:szCs w:val="22"/>
        </w:rPr>
      </w:pPr>
    </w:p>
    <w:p w14:paraId="6ABBA8E4" w14:textId="77777777" w:rsidR="00BE329A" w:rsidRDefault="00BE329A" w:rsidP="00216F6D">
      <w:pPr>
        <w:spacing w:after="0" w:line="480" w:lineRule="auto"/>
        <w:jc w:val="both"/>
        <w:rPr>
          <w:rFonts w:ascii="Times New Roman" w:hAnsi="Times New Roman" w:cs="Times New Roman"/>
          <w:sz w:val="22"/>
          <w:szCs w:val="22"/>
        </w:rPr>
      </w:pPr>
    </w:p>
    <w:p w14:paraId="2A567E13" w14:textId="77777777" w:rsidR="00BE329A" w:rsidRDefault="00BE329A" w:rsidP="00216F6D">
      <w:pPr>
        <w:spacing w:after="0" w:line="480" w:lineRule="auto"/>
        <w:jc w:val="both"/>
        <w:rPr>
          <w:rFonts w:ascii="Times New Roman" w:hAnsi="Times New Roman" w:cs="Times New Roman"/>
          <w:sz w:val="22"/>
          <w:szCs w:val="22"/>
        </w:rPr>
      </w:pPr>
    </w:p>
    <w:p w14:paraId="3F2D37F8" w14:textId="77777777" w:rsidR="00CE13AE" w:rsidRPr="00B62207" w:rsidRDefault="00CE13AE" w:rsidP="00216F6D">
      <w:pPr>
        <w:spacing w:after="0" w:line="480" w:lineRule="auto"/>
        <w:jc w:val="both"/>
        <w:rPr>
          <w:rFonts w:ascii="Times New Roman" w:hAnsi="Times New Roman" w:cs="Times New Roman"/>
          <w:sz w:val="22"/>
          <w:szCs w:val="22"/>
        </w:rPr>
      </w:pPr>
    </w:p>
    <w:p w14:paraId="373E0F41" w14:textId="7F5ECFFD" w:rsidR="00A379F8" w:rsidRPr="005E2333" w:rsidRDefault="00A379F8" w:rsidP="005E2333">
      <w:pPr>
        <w:pStyle w:val="Heading1"/>
        <w:spacing w:before="0" w:after="0" w:line="480" w:lineRule="auto"/>
        <w:jc w:val="both"/>
        <w:rPr>
          <w:rFonts w:ascii="Times New Roman" w:hAnsi="Times New Roman" w:cs="Times New Roman"/>
          <w:b/>
          <w:sz w:val="24"/>
          <w:szCs w:val="24"/>
        </w:rPr>
      </w:pPr>
      <w:bookmarkStart w:id="15" w:name="_Toc208742926"/>
      <w:r w:rsidRPr="00ED39C5">
        <w:rPr>
          <w:rFonts w:ascii="Times New Roman" w:hAnsi="Times New Roman" w:cs="Times New Roman"/>
          <w:b/>
          <w:sz w:val="24"/>
          <w:szCs w:val="24"/>
        </w:rPr>
        <w:t>References</w:t>
      </w:r>
      <w:bookmarkEnd w:id="15"/>
      <w:r w:rsidR="002F09CF" w:rsidRPr="00ED39C5">
        <w:rPr>
          <w:rFonts w:ascii="Times New Roman" w:hAnsi="Times New Roman" w:cs="Times New Roman"/>
          <w:b/>
          <w:sz w:val="24"/>
          <w:szCs w:val="24"/>
        </w:rPr>
        <w:t xml:space="preserve"> </w:t>
      </w:r>
    </w:p>
    <w:p w14:paraId="13994A15" w14:textId="17844220"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Bajwa, A. M. A., &amp; Rashid, M. (2021</w:t>
      </w:r>
      <w:r w:rsidR="0001467D" w:rsidRPr="00B62207">
        <w:rPr>
          <w:rFonts w:ascii="Times New Roman" w:hAnsi="Times New Roman" w:cs="Times New Roman"/>
          <w:sz w:val="22"/>
          <w:szCs w:val="22"/>
        </w:rPr>
        <w:t>a</w:t>
      </w:r>
      <w:r w:rsidRPr="00B62207">
        <w:rPr>
          <w:rFonts w:ascii="Times New Roman" w:hAnsi="Times New Roman" w:cs="Times New Roman"/>
          <w:sz w:val="22"/>
          <w:szCs w:val="22"/>
        </w:rPr>
        <w:t xml:space="preserve">). Financial ratios: A tool for computing probability of corporate default. </w:t>
      </w:r>
      <w:r w:rsidRPr="00B62207">
        <w:rPr>
          <w:rFonts w:ascii="Times New Roman" w:hAnsi="Times New Roman" w:cs="Times New Roman"/>
          <w:i/>
          <w:iCs/>
          <w:sz w:val="22"/>
          <w:szCs w:val="22"/>
        </w:rPr>
        <w:t>Audit and Accounting Review, 1</w:t>
      </w:r>
      <w:r w:rsidRPr="00B62207">
        <w:rPr>
          <w:rFonts w:ascii="Times New Roman" w:hAnsi="Times New Roman" w:cs="Times New Roman"/>
          <w:sz w:val="22"/>
          <w:szCs w:val="22"/>
        </w:rPr>
        <w:t>(2), 71–90.</w:t>
      </w:r>
    </w:p>
    <w:p w14:paraId="13A2F302" w14:textId="1CCE8A62" w:rsidR="0001467D" w:rsidRPr="00B62207" w:rsidRDefault="0001467D"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 xml:space="preserve">Bajwa, A. M. A., &amp; Rashid, M. (2021b). Financial ratios: A tool for computing probability of corporate default. </w:t>
      </w:r>
      <w:r w:rsidRPr="00B62207">
        <w:rPr>
          <w:rFonts w:ascii="Times New Roman" w:hAnsi="Times New Roman" w:cs="Times New Roman"/>
          <w:i/>
          <w:iCs/>
          <w:sz w:val="22"/>
          <w:szCs w:val="22"/>
        </w:rPr>
        <w:t>Audit and Accounting Review, 1</w:t>
      </w:r>
      <w:r w:rsidRPr="00B62207">
        <w:rPr>
          <w:rFonts w:ascii="Times New Roman" w:hAnsi="Times New Roman" w:cs="Times New Roman"/>
          <w:sz w:val="22"/>
          <w:szCs w:val="22"/>
        </w:rPr>
        <w:t>(2), 71–90.</w:t>
      </w:r>
    </w:p>
    <w:p w14:paraId="7ABBD52D" w14:textId="77777777"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shd w:val="clear" w:color="auto" w:fill="FFFFFF"/>
        </w:rPr>
        <w:t>Benzschawel, T., Haroon, A., &amp; Wu, T. (2011). A model for recovery value in default. </w:t>
      </w:r>
      <w:r w:rsidRPr="00B62207">
        <w:rPr>
          <w:rFonts w:ascii="Times New Roman" w:hAnsi="Times New Roman" w:cs="Times New Roman"/>
          <w:i/>
          <w:iCs/>
          <w:sz w:val="22"/>
          <w:szCs w:val="22"/>
          <w:shd w:val="clear" w:color="auto" w:fill="FFFFFF"/>
        </w:rPr>
        <w:t>Journal of Fixed Income</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21</w:t>
      </w:r>
      <w:r w:rsidRPr="00B62207">
        <w:rPr>
          <w:rFonts w:ascii="Times New Roman" w:hAnsi="Times New Roman" w:cs="Times New Roman"/>
          <w:sz w:val="22"/>
          <w:szCs w:val="22"/>
          <w:shd w:val="clear" w:color="auto" w:fill="FFFFFF"/>
        </w:rPr>
        <w:t>(2), 15</w:t>
      </w:r>
    </w:p>
    <w:p w14:paraId="12EE1F7A" w14:textId="382279E2"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 xml:space="preserve">Bhimani, A., </w:t>
      </w:r>
      <w:proofErr w:type="spellStart"/>
      <w:r w:rsidRPr="00B62207">
        <w:rPr>
          <w:rFonts w:ascii="Times New Roman" w:hAnsi="Times New Roman" w:cs="Times New Roman"/>
          <w:sz w:val="22"/>
          <w:szCs w:val="22"/>
          <w:shd w:val="clear" w:color="auto" w:fill="FFFFFF"/>
        </w:rPr>
        <w:t>Gulamhussen</w:t>
      </w:r>
      <w:proofErr w:type="spellEnd"/>
      <w:r w:rsidRPr="00B62207">
        <w:rPr>
          <w:rFonts w:ascii="Times New Roman" w:hAnsi="Times New Roman" w:cs="Times New Roman"/>
          <w:sz w:val="22"/>
          <w:szCs w:val="22"/>
          <w:shd w:val="clear" w:color="auto" w:fill="FFFFFF"/>
        </w:rPr>
        <w:t>, M. A., &amp; da Rocha Lopes, S. (2014a). Owner liability and financial reporting information as predictors of firm default in bank loans. </w:t>
      </w:r>
      <w:r w:rsidRPr="00B62207">
        <w:rPr>
          <w:rFonts w:ascii="Times New Roman" w:hAnsi="Times New Roman" w:cs="Times New Roman"/>
          <w:i/>
          <w:iCs/>
          <w:sz w:val="22"/>
          <w:szCs w:val="22"/>
          <w:shd w:val="clear" w:color="auto" w:fill="FFFFFF"/>
        </w:rPr>
        <w:t>Review of Accounting Studies</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19</w:t>
      </w:r>
      <w:r w:rsidRPr="00B62207">
        <w:rPr>
          <w:rFonts w:ascii="Times New Roman" w:hAnsi="Times New Roman" w:cs="Times New Roman"/>
          <w:sz w:val="22"/>
          <w:szCs w:val="22"/>
          <w:shd w:val="clear" w:color="auto" w:fill="FFFFFF"/>
        </w:rPr>
        <w:t>(2), 769-804.</w:t>
      </w:r>
      <w:r w:rsidR="003B0F2B" w:rsidRPr="00B62207">
        <w:rPr>
          <w:rFonts w:ascii="Times New Roman" w:hAnsi="Times New Roman" w:cs="Times New Roman"/>
          <w:sz w:val="22"/>
          <w:szCs w:val="22"/>
          <w:shd w:val="clear" w:color="auto" w:fill="FFFFFF"/>
        </w:rPr>
        <w:t xml:space="preserve"> </w:t>
      </w:r>
      <w:hyperlink r:id="rId24" w:history="1">
        <w:r w:rsidR="003B0F2B" w:rsidRPr="00B62207">
          <w:rPr>
            <w:rStyle w:val="Hyperlink"/>
            <w:rFonts w:ascii="Times New Roman" w:hAnsi="Times New Roman" w:cs="Times New Roman"/>
            <w:sz w:val="22"/>
            <w:szCs w:val="22"/>
            <w:shd w:val="clear" w:color="auto" w:fill="FFFFFF"/>
          </w:rPr>
          <w:t>https://doi.org/10.1007/s11142-013-9269-0</w:t>
        </w:r>
      </w:hyperlink>
      <w:r w:rsidR="003B0F2B" w:rsidRPr="00B62207">
        <w:rPr>
          <w:rFonts w:ascii="Times New Roman" w:hAnsi="Times New Roman" w:cs="Times New Roman"/>
          <w:sz w:val="22"/>
          <w:szCs w:val="22"/>
          <w:shd w:val="clear" w:color="auto" w:fill="FFFFFF"/>
        </w:rPr>
        <w:t xml:space="preserve"> </w:t>
      </w:r>
    </w:p>
    <w:p w14:paraId="543A562C" w14:textId="2117A23C"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 xml:space="preserve">Bhimani, A., </w:t>
      </w:r>
      <w:proofErr w:type="spellStart"/>
      <w:r w:rsidRPr="00B62207">
        <w:rPr>
          <w:rFonts w:ascii="Times New Roman" w:hAnsi="Times New Roman" w:cs="Times New Roman"/>
          <w:sz w:val="22"/>
          <w:szCs w:val="22"/>
          <w:shd w:val="clear" w:color="auto" w:fill="FFFFFF"/>
        </w:rPr>
        <w:t>Gulamhussen</w:t>
      </w:r>
      <w:proofErr w:type="spellEnd"/>
      <w:r w:rsidRPr="00B62207">
        <w:rPr>
          <w:rFonts w:ascii="Times New Roman" w:hAnsi="Times New Roman" w:cs="Times New Roman"/>
          <w:sz w:val="22"/>
          <w:szCs w:val="22"/>
          <w:shd w:val="clear" w:color="auto" w:fill="FFFFFF"/>
        </w:rPr>
        <w:t>, M. A., &amp; da Rocha Lopes, S. (2014b). Owner liability and financial reporting information as predictors of firm default in bank loans. </w:t>
      </w:r>
      <w:r w:rsidRPr="00B62207">
        <w:rPr>
          <w:rFonts w:ascii="Times New Roman" w:hAnsi="Times New Roman" w:cs="Times New Roman"/>
          <w:i/>
          <w:iCs/>
          <w:sz w:val="22"/>
          <w:szCs w:val="22"/>
          <w:shd w:val="clear" w:color="auto" w:fill="FFFFFF"/>
        </w:rPr>
        <w:t>Review of Accounting Studies</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19</w:t>
      </w:r>
      <w:r w:rsidRPr="00B62207">
        <w:rPr>
          <w:rFonts w:ascii="Times New Roman" w:hAnsi="Times New Roman" w:cs="Times New Roman"/>
          <w:sz w:val="22"/>
          <w:szCs w:val="22"/>
          <w:shd w:val="clear" w:color="auto" w:fill="FFFFFF"/>
        </w:rPr>
        <w:t>(2), 769-804</w:t>
      </w:r>
      <w:r w:rsidR="003B0F2B" w:rsidRPr="00B62207">
        <w:rPr>
          <w:rFonts w:ascii="Times New Roman" w:hAnsi="Times New Roman" w:cs="Times New Roman"/>
          <w:sz w:val="22"/>
          <w:szCs w:val="22"/>
          <w:shd w:val="clear" w:color="auto" w:fill="FFFFFF"/>
        </w:rPr>
        <w:t xml:space="preserve">. </w:t>
      </w:r>
      <w:hyperlink r:id="rId25" w:history="1">
        <w:r w:rsidR="003B0F2B" w:rsidRPr="00B62207">
          <w:rPr>
            <w:rStyle w:val="Hyperlink"/>
            <w:rFonts w:ascii="Times New Roman" w:hAnsi="Times New Roman" w:cs="Times New Roman"/>
            <w:sz w:val="22"/>
            <w:szCs w:val="22"/>
            <w:shd w:val="clear" w:color="auto" w:fill="FFFFFF"/>
          </w:rPr>
          <w:t>https://doi.org/10.1007/s11142-013-9269-0</w:t>
        </w:r>
      </w:hyperlink>
      <w:r w:rsidR="003B0F2B" w:rsidRPr="00B62207">
        <w:rPr>
          <w:rFonts w:ascii="Times New Roman" w:hAnsi="Times New Roman" w:cs="Times New Roman"/>
          <w:sz w:val="22"/>
          <w:szCs w:val="22"/>
          <w:shd w:val="clear" w:color="auto" w:fill="FFFFFF"/>
        </w:rPr>
        <w:t xml:space="preserve"> </w:t>
      </w:r>
    </w:p>
    <w:p w14:paraId="5D08C16E" w14:textId="4765B89B"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 xml:space="preserve">Cathcart, L., Dufour, A., Rossi, L., &amp; </w:t>
      </w:r>
      <w:proofErr w:type="spellStart"/>
      <w:r w:rsidRPr="00B62207">
        <w:rPr>
          <w:rFonts w:ascii="Times New Roman" w:hAnsi="Times New Roman" w:cs="Times New Roman"/>
          <w:sz w:val="22"/>
          <w:szCs w:val="22"/>
        </w:rPr>
        <w:t>Varotto</w:t>
      </w:r>
      <w:proofErr w:type="spellEnd"/>
      <w:r w:rsidRPr="00B62207">
        <w:rPr>
          <w:rFonts w:ascii="Times New Roman" w:hAnsi="Times New Roman" w:cs="Times New Roman"/>
          <w:sz w:val="22"/>
          <w:szCs w:val="22"/>
        </w:rPr>
        <w:t xml:space="preserve">, S. (2020a). The differential impact of leverage on the default risk of small and large firms. </w:t>
      </w:r>
      <w:r w:rsidRPr="00B62207">
        <w:rPr>
          <w:rFonts w:ascii="Times New Roman" w:hAnsi="Times New Roman" w:cs="Times New Roman"/>
          <w:i/>
          <w:iCs/>
          <w:sz w:val="22"/>
          <w:szCs w:val="22"/>
        </w:rPr>
        <w:t>Journal of Corporate Finance, 60</w:t>
      </w:r>
      <w:r w:rsidRPr="00B62207">
        <w:rPr>
          <w:rFonts w:ascii="Times New Roman" w:hAnsi="Times New Roman" w:cs="Times New Roman"/>
          <w:sz w:val="22"/>
          <w:szCs w:val="22"/>
        </w:rPr>
        <w:t xml:space="preserve">, 101541. </w:t>
      </w:r>
      <w:hyperlink r:id="rId26" w:history="1">
        <w:r w:rsidRPr="00B62207">
          <w:rPr>
            <w:rStyle w:val="Hyperlink"/>
            <w:rFonts w:ascii="Times New Roman" w:hAnsi="Times New Roman" w:cs="Times New Roman"/>
            <w:color w:val="auto"/>
            <w:sz w:val="22"/>
            <w:szCs w:val="22"/>
          </w:rPr>
          <w:t>https://doi.org/10.1016/j.jcorpfin.2019.101541</w:t>
        </w:r>
      </w:hyperlink>
      <w:r w:rsidR="003B0F2B" w:rsidRPr="00B62207">
        <w:rPr>
          <w:rFonts w:ascii="Times New Roman" w:hAnsi="Times New Roman" w:cs="Times New Roman"/>
          <w:sz w:val="22"/>
          <w:szCs w:val="22"/>
        </w:rPr>
        <w:t xml:space="preserve"> </w:t>
      </w:r>
    </w:p>
    <w:p w14:paraId="4070B5A8" w14:textId="77777777" w:rsidR="0067304F"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shd w:val="clear" w:color="auto" w:fill="FFFFFF"/>
        </w:rPr>
        <w:t xml:space="preserve">Cathcart, L., Dufour, A., Rossi, L., &amp; </w:t>
      </w:r>
      <w:proofErr w:type="spellStart"/>
      <w:r w:rsidRPr="00B62207">
        <w:rPr>
          <w:rFonts w:ascii="Times New Roman" w:hAnsi="Times New Roman" w:cs="Times New Roman"/>
          <w:sz w:val="22"/>
          <w:szCs w:val="22"/>
          <w:shd w:val="clear" w:color="auto" w:fill="FFFFFF"/>
        </w:rPr>
        <w:t>Varotto</w:t>
      </w:r>
      <w:proofErr w:type="spellEnd"/>
      <w:r w:rsidRPr="00B62207">
        <w:rPr>
          <w:rFonts w:ascii="Times New Roman" w:hAnsi="Times New Roman" w:cs="Times New Roman"/>
          <w:sz w:val="22"/>
          <w:szCs w:val="22"/>
          <w:shd w:val="clear" w:color="auto" w:fill="FFFFFF"/>
        </w:rPr>
        <w:t>, S. (2020b). The differential impact of leverage on the default risk of small and large firms. </w:t>
      </w:r>
      <w:r w:rsidRPr="00B62207">
        <w:rPr>
          <w:rFonts w:ascii="Times New Roman" w:hAnsi="Times New Roman" w:cs="Times New Roman"/>
          <w:i/>
          <w:iCs/>
          <w:sz w:val="22"/>
          <w:szCs w:val="22"/>
          <w:shd w:val="clear" w:color="auto" w:fill="FFFFFF"/>
        </w:rPr>
        <w:t>Journal of Corporate Finance</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60</w:t>
      </w:r>
      <w:r w:rsidRPr="00B62207">
        <w:rPr>
          <w:rFonts w:ascii="Times New Roman" w:hAnsi="Times New Roman" w:cs="Times New Roman"/>
          <w:sz w:val="22"/>
          <w:szCs w:val="22"/>
          <w:shd w:val="clear" w:color="auto" w:fill="FFFFFF"/>
        </w:rPr>
        <w:t xml:space="preserve">, 101541. </w:t>
      </w:r>
      <w:hyperlink r:id="rId27" w:history="1">
        <w:r w:rsidRPr="00B62207">
          <w:rPr>
            <w:rStyle w:val="Hyperlink"/>
            <w:rFonts w:ascii="Times New Roman" w:hAnsi="Times New Roman" w:cs="Times New Roman"/>
            <w:color w:val="auto"/>
            <w:sz w:val="22"/>
            <w:szCs w:val="22"/>
          </w:rPr>
          <w:t>https://doi.org/10.1016/j.jcorpfin.2019.101541</w:t>
        </w:r>
      </w:hyperlink>
    </w:p>
    <w:p w14:paraId="33F184EF" w14:textId="6F211DF5" w:rsidR="002A2F93" w:rsidRPr="00B62207" w:rsidRDefault="0067304F"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shd w:val="clear" w:color="auto" w:fill="FFFFFF"/>
        </w:rPr>
        <w:t xml:space="preserve">Cathcart, L., Dufour, A., Rossi, L., &amp; </w:t>
      </w:r>
      <w:proofErr w:type="spellStart"/>
      <w:r w:rsidRPr="00B62207">
        <w:rPr>
          <w:rFonts w:ascii="Times New Roman" w:hAnsi="Times New Roman" w:cs="Times New Roman"/>
          <w:sz w:val="22"/>
          <w:szCs w:val="22"/>
          <w:shd w:val="clear" w:color="auto" w:fill="FFFFFF"/>
        </w:rPr>
        <w:t>Varotto</w:t>
      </w:r>
      <w:proofErr w:type="spellEnd"/>
      <w:r w:rsidRPr="00B62207">
        <w:rPr>
          <w:rFonts w:ascii="Times New Roman" w:hAnsi="Times New Roman" w:cs="Times New Roman"/>
          <w:sz w:val="22"/>
          <w:szCs w:val="22"/>
          <w:shd w:val="clear" w:color="auto" w:fill="FFFFFF"/>
        </w:rPr>
        <w:t>, S. (2020c). The differential impact of leverage on the default risk of small and large firms. </w:t>
      </w:r>
      <w:r w:rsidRPr="00B62207">
        <w:rPr>
          <w:rFonts w:ascii="Times New Roman" w:hAnsi="Times New Roman" w:cs="Times New Roman"/>
          <w:i/>
          <w:iCs/>
          <w:sz w:val="22"/>
          <w:szCs w:val="22"/>
          <w:shd w:val="clear" w:color="auto" w:fill="FFFFFF"/>
        </w:rPr>
        <w:t>Journal of Corporate Finance</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60</w:t>
      </w:r>
      <w:r w:rsidRPr="00B62207">
        <w:rPr>
          <w:rFonts w:ascii="Times New Roman" w:hAnsi="Times New Roman" w:cs="Times New Roman"/>
          <w:sz w:val="22"/>
          <w:szCs w:val="22"/>
          <w:shd w:val="clear" w:color="auto" w:fill="FFFFFF"/>
        </w:rPr>
        <w:t xml:space="preserve">, 101541. </w:t>
      </w:r>
      <w:hyperlink r:id="rId28" w:history="1">
        <w:r w:rsidRPr="00B62207">
          <w:rPr>
            <w:rStyle w:val="Hyperlink"/>
            <w:rFonts w:ascii="Times New Roman" w:hAnsi="Times New Roman" w:cs="Times New Roman"/>
            <w:color w:val="auto"/>
            <w:sz w:val="22"/>
            <w:szCs w:val="22"/>
          </w:rPr>
          <w:t>https://doi.org/10.1016/j.jcorpfin.2019.101541</w:t>
        </w:r>
      </w:hyperlink>
      <w:r w:rsidR="002A2F93" w:rsidRPr="00B62207">
        <w:rPr>
          <w:rFonts w:ascii="Times New Roman" w:hAnsi="Times New Roman" w:cs="Times New Roman"/>
          <w:sz w:val="22"/>
          <w:szCs w:val="22"/>
        </w:rPr>
        <w:t xml:space="preserve"> </w:t>
      </w:r>
    </w:p>
    <w:p w14:paraId="538594D9" w14:textId="03336530"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Chan-Lau, J. A., Hu, R., Mungo, L., Qu, R., Xin, W., &amp; Zhong, C. (2024</w:t>
      </w:r>
      <w:r w:rsidR="00901842" w:rsidRPr="00B62207">
        <w:rPr>
          <w:rFonts w:ascii="Times New Roman" w:hAnsi="Times New Roman" w:cs="Times New Roman"/>
          <w:sz w:val="22"/>
          <w:szCs w:val="22"/>
        </w:rPr>
        <w:t>a</w:t>
      </w:r>
      <w:r w:rsidRPr="00B62207">
        <w:rPr>
          <w:rFonts w:ascii="Times New Roman" w:hAnsi="Times New Roman" w:cs="Times New Roman"/>
          <w:sz w:val="22"/>
          <w:szCs w:val="22"/>
        </w:rPr>
        <w:t>). Monitoring privately-held firms' default risk in real time: A signal-knowledge transfer learning model (IMF Working Paper No. WP/24/115). International Monetary Fund.</w:t>
      </w:r>
    </w:p>
    <w:p w14:paraId="7D153B9C" w14:textId="5957B415" w:rsidR="00901842" w:rsidRPr="00B62207" w:rsidRDefault="00901842"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Chan-Lau, J. A., Hu, R., Mungo, L., Qu, R., Xin, W., &amp; Zhong, C. (2024</w:t>
      </w:r>
      <w:r w:rsidR="0035302D" w:rsidRPr="00B62207">
        <w:rPr>
          <w:rFonts w:ascii="Times New Roman" w:hAnsi="Times New Roman" w:cs="Times New Roman"/>
          <w:sz w:val="22"/>
          <w:szCs w:val="22"/>
        </w:rPr>
        <w:t>b</w:t>
      </w:r>
      <w:r w:rsidRPr="00B62207">
        <w:rPr>
          <w:rFonts w:ascii="Times New Roman" w:hAnsi="Times New Roman" w:cs="Times New Roman"/>
          <w:sz w:val="22"/>
          <w:szCs w:val="22"/>
        </w:rPr>
        <w:t>). Monitoring privately-held firms' default risk in real time: A signal-knowledge transfer learning model (IMF Working Paper No. WP/24/115). International Monetary Fund.</w:t>
      </w:r>
    </w:p>
    <w:p w14:paraId="46AC225F" w14:textId="66679C91" w:rsidR="002A2F93" w:rsidRDefault="002A2F93" w:rsidP="005E2333">
      <w:pPr>
        <w:spacing w:line="480" w:lineRule="auto"/>
        <w:rPr>
          <w:rFonts w:ascii="Times New Roman" w:hAnsi="Times New Roman" w:cs="Times New Roman"/>
          <w:sz w:val="22"/>
          <w:szCs w:val="22"/>
        </w:rPr>
      </w:pPr>
      <w:proofErr w:type="spellStart"/>
      <w:r w:rsidRPr="00B62207">
        <w:rPr>
          <w:rFonts w:ascii="Times New Roman" w:hAnsi="Times New Roman" w:cs="Times New Roman"/>
          <w:sz w:val="22"/>
          <w:szCs w:val="22"/>
        </w:rPr>
        <w:t>Charalambakis</w:t>
      </w:r>
      <w:proofErr w:type="spellEnd"/>
      <w:r w:rsidRPr="00B62207">
        <w:rPr>
          <w:rFonts w:ascii="Times New Roman" w:hAnsi="Times New Roman" w:cs="Times New Roman"/>
          <w:sz w:val="22"/>
          <w:szCs w:val="22"/>
        </w:rPr>
        <w:t xml:space="preserve">, E., &amp; Garrett, I. (2019). On corporate financial distress prediction: What can we learn from private firms in a developing economy? </w:t>
      </w:r>
      <w:r w:rsidRPr="00B62207">
        <w:rPr>
          <w:rFonts w:ascii="Times New Roman" w:hAnsi="Times New Roman" w:cs="Times New Roman"/>
          <w:i/>
          <w:iCs/>
          <w:sz w:val="22"/>
          <w:szCs w:val="22"/>
        </w:rPr>
        <w:t>Review of Quantitative Finance and Accounting, 52</w:t>
      </w:r>
      <w:r w:rsidRPr="00B62207">
        <w:rPr>
          <w:rFonts w:ascii="Times New Roman" w:hAnsi="Times New Roman" w:cs="Times New Roman"/>
          <w:sz w:val="22"/>
          <w:szCs w:val="22"/>
        </w:rPr>
        <w:t xml:space="preserve">(1), 59–87. </w:t>
      </w:r>
      <w:hyperlink r:id="rId29" w:history="1">
        <w:r w:rsidRPr="00B62207">
          <w:rPr>
            <w:rStyle w:val="Hyperlink"/>
            <w:rFonts w:ascii="Times New Roman" w:hAnsi="Times New Roman" w:cs="Times New Roman"/>
            <w:color w:val="auto"/>
            <w:sz w:val="22"/>
            <w:szCs w:val="22"/>
          </w:rPr>
          <w:t>https://doi.org/10.1007/s11156-018-0728-6</w:t>
        </w:r>
      </w:hyperlink>
      <w:r w:rsidR="00181E94" w:rsidRPr="00B62207">
        <w:rPr>
          <w:rFonts w:ascii="Times New Roman" w:hAnsi="Times New Roman" w:cs="Times New Roman"/>
          <w:sz w:val="22"/>
          <w:szCs w:val="22"/>
        </w:rPr>
        <w:t xml:space="preserve"> </w:t>
      </w:r>
    </w:p>
    <w:p w14:paraId="035BE731" w14:textId="295F2567" w:rsidR="0058580D" w:rsidRPr="00B62207" w:rsidRDefault="0058580D" w:rsidP="005E2333">
      <w:pPr>
        <w:spacing w:line="480" w:lineRule="auto"/>
        <w:rPr>
          <w:rFonts w:ascii="Times New Roman" w:hAnsi="Times New Roman" w:cs="Times New Roman"/>
          <w:sz w:val="22"/>
          <w:szCs w:val="22"/>
        </w:rPr>
      </w:pPr>
      <w:proofErr w:type="spellStart"/>
      <w:r w:rsidRPr="0058580D">
        <w:rPr>
          <w:rFonts w:ascii="Times New Roman" w:hAnsi="Times New Roman" w:cs="Times New Roman"/>
          <w:sz w:val="22"/>
          <w:szCs w:val="22"/>
        </w:rPr>
        <w:t>Charbuty</w:t>
      </w:r>
      <w:proofErr w:type="spellEnd"/>
      <w:r w:rsidRPr="0058580D">
        <w:rPr>
          <w:rFonts w:ascii="Times New Roman" w:hAnsi="Times New Roman" w:cs="Times New Roman"/>
          <w:sz w:val="22"/>
          <w:szCs w:val="22"/>
        </w:rPr>
        <w:t>, B., &amp; Abdulazeez, A. (2021). Classification based on decision tree algorithm for machine learning. </w:t>
      </w:r>
      <w:r w:rsidRPr="0058580D">
        <w:rPr>
          <w:rFonts w:ascii="Times New Roman" w:hAnsi="Times New Roman" w:cs="Times New Roman"/>
          <w:i/>
          <w:iCs/>
          <w:sz w:val="22"/>
          <w:szCs w:val="22"/>
        </w:rPr>
        <w:t>Journal of applied science and technology trends</w:t>
      </w:r>
      <w:r w:rsidRPr="0058580D">
        <w:rPr>
          <w:rFonts w:ascii="Times New Roman" w:hAnsi="Times New Roman" w:cs="Times New Roman"/>
          <w:sz w:val="22"/>
          <w:szCs w:val="22"/>
        </w:rPr>
        <w:t>, </w:t>
      </w:r>
      <w:r w:rsidRPr="0058580D">
        <w:rPr>
          <w:rFonts w:ascii="Times New Roman" w:hAnsi="Times New Roman" w:cs="Times New Roman"/>
          <w:i/>
          <w:iCs/>
          <w:sz w:val="22"/>
          <w:szCs w:val="22"/>
        </w:rPr>
        <w:t>2</w:t>
      </w:r>
      <w:r w:rsidRPr="0058580D">
        <w:rPr>
          <w:rFonts w:ascii="Times New Roman" w:hAnsi="Times New Roman" w:cs="Times New Roman"/>
          <w:sz w:val="22"/>
          <w:szCs w:val="22"/>
        </w:rPr>
        <w:t>(01), 20-28.</w:t>
      </w:r>
    </w:p>
    <w:p w14:paraId="54AF72AC" w14:textId="503B13CD" w:rsidR="002A2F93" w:rsidRPr="00B62207" w:rsidRDefault="002A2F93" w:rsidP="005E2333">
      <w:pPr>
        <w:spacing w:line="480" w:lineRule="auto"/>
        <w:rPr>
          <w:rFonts w:ascii="Times New Roman" w:hAnsi="Times New Roman" w:cs="Times New Roman"/>
          <w:sz w:val="22"/>
          <w:szCs w:val="22"/>
          <w:shd w:val="clear" w:color="auto" w:fill="FFFFFF"/>
        </w:rPr>
      </w:pPr>
      <w:r w:rsidRPr="00561281">
        <w:rPr>
          <w:rFonts w:ascii="Times New Roman" w:hAnsi="Times New Roman" w:cs="Times New Roman"/>
          <w:sz w:val="22"/>
          <w:szCs w:val="22"/>
          <w:shd w:val="clear" w:color="auto" w:fill="FFFFFF"/>
        </w:rPr>
        <w:t xml:space="preserve">Grammenos, C. T., Nomikos, N. K., &amp; </w:t>
      </w:r>
      <w:proofErr w:type="spellStart"/>
      <w:r w:rsidRPr="00561281">
        <w:rPr>
          <w:rFonts w:ascii="Times New Roman" w:hAnsi="Times New Roman" w:cs="Times New Roman"/>
          <w:sz w:val="22"/>
          <w:szCs w:val="22"/>
          <w:shd w:val="clear" w:color="auto" w:fill="FFFFFF"/>
        </w:rPr>
        <w:t>Papapostolou</w:t>
      </w:r>
      <w:proofErr w:type="spellEnd"/>
      <w:r w:rsidRPr="00561281">
        <w:rPr>
          <w:rFonts w:ascii="Times New Roman" w:hAnsi="Times New Roman" w:cs="Times New Roman"/>
          <w:sz w:val="22"/>
          <w:szCs w:val="22"/>
          <w:shd w:val="clear" w:color="auto" w:fill="FFFFFF"/>
        </w:rPr>
        <w:t xml:space="preserve">, N. C. (2008a). </w:t>
      </w:r>
      <w:r w:rsidRPr="00B62207">
        <w:rPr>
          <w:rFonts w:ascii="Times New Roman" w:hAnsi="Times New Roman" w:cs="Times New Roman"/>
          <w:sz w:val="22"/>
          <w:szCs w:val="22"/>
          <w:shd w:val="clear" w:color="auto" w:fill="FFFFFF"/>
        </w:rPr>
        <w:t>Estimating the probability of default for shipping high yield bond issues. </w:t>
      </w:r>
      <w:r w:rsidRPr="00B62207">
        <w:rPr>
          <w:rFonts w:ascii="Times New Roman" w:hAnsi="Times New Roman" w:cs="Times New Roman"/>
          <w:i/>
          <w:iCs/>
          <w:sz w:val="22"/>
          <w:szCs w:val="22"/>
          <w:shd w:val="clear" w:color="auto" w:fill="FFFFFF"/>
        </w:rPr>
        <w:t>Transportation Research Part E: Logistics and Transportation Review</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44</w:t>
      </w:r>
      <w:r w:rsidRPr="00B62207">
        <w:rPr>
          <w:rFonts w:ascii="Times New Roman" w:hAnsi="Times New Roman" w:cs="Times New Roman"/>
          <w:sz w:val="22"/>
          <w:szCs w:val="22"/>
          <w:shd w:val="clear" w:color="auto" w:fill="FFFFFF"/>
        </w:rPr>
        <w:t xml:space="preserve">(6), 1123-1138. </w:t>
      </w:r>
      <w:hyperlink r:id="rId30" w:history="1">
        <w:r w:rsidR="00366FB2" w:rsidRPr="00B62207">
          <w:rPr>
            <w:rStyle w:val="Hyperlink"/>
            <w:rFonts w:ascii="Times New Roman" w:hAnsi="Times New Roman" w:cs="Times New Roman"/>
            <w:sz w:val="22"/>
            <w:szCs w:val="22"/>
            <w:shd w:val="clear" w:color="auto" w:fill="FFFFFF"/>
          </w:rPr>
          <w:t>https://doi.org/10.1016/j.tre.2007.10.005</w:t>
        </w:r>
      </w:hyperlink>
      <w:r w:rsidR="00366FB2" w:rsidRPr="00B62207">
        <w:rPr>
          <w:rFonts w:ascii="Times New Roman" w:hAnsi="Times New Roman" w:cs="Times New Roman"/>
          <w:sz w:val="22"/>
          <w:szCs w:val="22"/>
          <w:shd w:val="clear" w:color="auto" w:fill="FFFFFF"/>
        </w:rPr>
        <w:t xml:space="preserve"> </w:t>
      </w:r>
    </w:p>
    <w:p w14:paraId="69CF1A5B" w14:textId="2ADC8109"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shd w:val="clear" w:color="auto" w:fill="FFFFFF"/>
          <w:lang w:val="pt-BR"/>
        </w:rPr>
        <w:t xml:space="preserve">Grammenos, C. T., Nomikos, N. K., &amp; Papapostolou, N. C. (2008b). </w:t>
      </w:r>
      <w:r w:rsidRPr="00B62207">
        <w:rPr>
          <w:rFonts w:ascii="Times New Roman" w:hAnsi="Times New Roman" w:cs="Times New Roman"/>
          <w:sz w:val="22"/>
          <w:szCs w:val="22"/>
          <w:shd w:val="clear" w:color="auto" w:fill="FFFFFF"/>
        </w:rPr>
        <w:t>Estimating the probability of default for shipping hi-h yield bond issues. </w:t>
      </w:r>
      <w:r w:rsidRPr="00B62207">
        <w:rPr>
          <w:rFonts w:ascii="Times New Roman" w:hAnsi="Times New Roman" w:cs="Times New Roman"/>
          <w:i/>
          <w:iCs/>
          <w:sz w:val="22"/>
          <w:szCs w:val="22"/>
          <w:shd w:val="clear" w:color="auto" w:fill="FFFFFF"/>
        </w:rPr>
        <w:t>Transportation Research Part E: Logistics and Transportation Review</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44</w:t>
      </w:r>
      <w:r w:rsidRPr="00B62207">
        <w:rPr>
          <w:rFonts w:ascii="Times New Roman" w:hAnsi="Times New Roman" w:cs="Times New Roman"/>
          <w:sz w:val="22"/>
          <w:szCs w:val="22"/>
          <w:shd w:val="clear" w:color="auto" w:fill="FFFFFF"/>
        </w:rPr>
        <w:t>(6), 1123-1138</w:t>
      </w:r>
      <w:r w:rsidR="00366FB2" w:rsidRPr="00B62207">
        <w:rPr>
          <w:rFonts w:ascii="Times New Roman" w:hAnsi="Times New Roman" w:cs="Times New Roman"/>
          <w:sz w:val="22"/>
          <w:szCs w:val="22"/>
          <w:shd w:val="clear" w:color="auto" w:fill="FFFFFF"/>
        </w:rPr>
        <w:t xml:space="preserve">. </w:t>
      </w:r>
      <w:hyperlink r:id="rId31" w:history="1">
        <w:r w:rsidR="00366FB2" w:rsidRPr="00B62207">
          <w:rPr>
            <w:rStyle w:val="Hyperlink"/>
            <w:rFonts w:ascii="Times New Roman" w:hAnsi="Times New Roman" w:cs="Times New Roman"/>
            <w:sz w:val="22"/>
            <w:szCs w:val="22"/>
            <w:shd w:val="clear" w:color="auto" w:fill="FFFFFF"/>
          </w:rPr>
          <w:t>https://doi.org/10.1016/j.tre.2007.10.005</w:t>
        </w:r>
      </w:hyperlink>
      <w:r w:rsidR="00366FB2" w:rsidRPr="00B62207">
        <w:rPr>
          <w:rFonts w:ascii="Times New Roman" w:hAnsi="Times New Roman" w:cs="Times New Roman"/>
          <w:sz w:val="22"/>
          <w:szCs w:val="22"/>
          <w:shd w:val="clear" w:color="auto" w:fill="FFFFFF"/>
        </w:rPr>
        <w:t xml:space="preserve"> </w:t>
      </w:r>
    </w:p>
    <w:p w14:paraId="49330826" w14:textId="77777777"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 xml:space="preserve">Li, H., Zhang, X., &amp; Zhao, Y. (2022a). ESG and firm’s default risk. </w:t>
      </w:r>
      <w:r w:rsidRPr="00B62207">
        <w:rPr>
          <w:rFonts w:ascii="Times New Roman" w:hAnsi="Times New Roman" w:cs="Times New Roman"/>
          <w:i/>
          <w:sz w:val="22"/>
          <w:szCs w:val="22"/>
        </w:rPr>
        <w:t>Finance Research Letters, 47</w:t>
      </w:r>
      <w:r w:rsidRPr="00B62207">
        <w:rPr>
          <w:rFonts w:ascii="Times New Roman" w:hAnsi="Times New Roman" w:cs="Times New Roman"/>
          <w:sz w:val="22"/>
          <w:szCs w:val="22"/>
        </w:rPr>
        <w:t xml:space="preserve">, 102713. </w:t>
      </w:r>
      <w:hyperlink r:id="rId32" w:history="1">
        <w:r w:rsidRPr="00B62207">
          <w:rPr>
            <w:rStyle w:val="Hyperlink"/>
            <w:rFonts w:ascii="Times New Roman" w:hAnsi="Times New Roman" w:cs="Times New Roman"/>
            <w:color w:val="auto"/>
            <w:sz w:val="22"/>
            <w:szCs w:val="22"/>
          </w:rPr>
          <w:t>https://doi.org/10.1016/j.frl.2022.102713</w:t>
        </w:r>
      </w:hyperlink>
      <w:r w:rsidRPr="00B62207">
        <w:rPr>
          <w:rFonts w:ascii="Times New Roman" w:hAnsi="Times New Roman" w:cs="Times New Roman"/>
          <w:sz w:val="22"/>
          <w:szCs w:val="22"/>
        </w:rPr>
        <w:t xml:space="preserve">  </w:t>
      </w:r>
    </w:p>
    <w:p w14:paraId="45CC73A5" w14:textId="77777777"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shd w:val="clear" w:color="auto" w:fill="FFFFFF"/>
        </w:rPr>
        <w:t>Li, H., Zhang, X., &amp; Zhao, Y. (2022b). ESG and firm's default risk. </w:t>
      </w:r>
      <w:r w:rsidRPr="00B62207">
        <w:rPr>
          <w:rFonts w:ascii="Times New Roman" w:hAnsi="Times New Roman" w:cs="Times New Roman"/>
          <w:i/>
          <w:iCs/>
          <w:sz w:val="22"/>
          <w:szCs w:val="22"/>
          <w:shd w:val="clear" w:color="auto" w:fill="FFFFFF"/>
        </w:rPr>
        <w:t>Finance Research Letters</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47</w:t>
      </w:r>
      <w:r w:rsidRPr="00B62207">
        <w:rPr>
          <w:rFonts w:ascii="Times New Roman" w:hAnsi="Times New Roman" w:cs="Times New Roman"/>
          <w:sz w:val="22"/>
          <w:szCs w:val="22"/>
          <w:shd w:val="clear" w:color="auto" w:fill="FFFFFF"/>
        </w:rPr>
        <w:t xml:space="preserve">, 102713. </w:t>
      </w:r>
      <w:hyperlink r:id="rId33" w:history="1">
        <w:r w:rsidRPr="00B62207">
          <w:rPr>
            <w:rStyle w:val="Hyperlink"/>
            <w:rFonts w:ascii="Times New Roman" w:hAnsi="Times New Roman" w:cs="Times New Roman"/>
            <w:color w:val="auto"/>
            <w:sz w:val="22"/>
            <w:szCs w:val="22"/>
          </w:rPr>
          <w:t>https://doi.org/10.1016/j.frl.2022.102713</w:t>
        </w:r>
      </w:hyperlink>
      <w:r w:rsidRPr="00B62207">
        <w:rPr>
          <w:rFonts w:ascii="Times New Roman" w:hAnsi="Times New Roman" w:cs="Times New Roman"/>
          <w:sz w:val="22"/>
          <w:szCs w:val="22"/>
        </w:rPr>
        <w:t xml:space="preserve">  </w:t>
      </w:r>
    </w:p>
    <w:p w14:paraId="4F7D529D" w14:textId="77777777"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Li, H., Zhang, X., &amp; Zhao, Y. (2022c). ESG and firm's default risk. </w:t>
      </w:r>
      <w:r w:rsidRPr="00B62207">
        <w:rPr>
          <w:rFonts w:ascii="Times New Roman" w:hAnsi="Times New Roman" w:cs="Times New Roman"/>
          <w:i/>
          <w:iCs/>
          <w:sz w:val="22"/>
          <w:szCs w:val="22"/>
          <w:shd w:val="clear" w:color="auto" w:fill="FFFFFF"/>
        </w:rPr>
        <w:t>Finance Research Letters</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47</w:t>
      </w:r>
      <w:r w:rsidRPr="00B62207">
        <w:rPr>
          <w:rFonts w:ascii="Times New Roman" w:hAnsi="Times New Roman" w:cs="Times New Roman"/>
          <w:sz w:val="22"/>
          <w:szCs w:val="22"/>
          <w:shd w:val="clear" w:color="auto" w:fill="FFFFFF"/>
        </w:rPr>
        <w:t xml:space="preserve">, 102713. </w:t>
      </w:r>
      <w:hyperlink r:id="rId34" w:history="1">
        <w:r w:rsidRPr="00B62207">
          <w:rPr>
            <w:rStyle w:val="Hyperlink"/>
            <w:rFonts w:ascii="Times New Roman" w:hAnsi="Times New Roman" w:cs="Times New Roman"/>
            <w:color w:val="auto"/>
            <w:sz w:val="22"/>
            <w:szCs w:val="22"/>
          </w:rPr>
          <w:t>https://doi.org/10.1016/j.frl.2022.102713</w:t>
        </w:r>
      </w:hyperlink>
      <w:r w:rsidRPr="00B62207">
        <w:rPr>
          <w:rFonts w:ascii="Times New Roman" w:hAnsi="Times New Roman" w:cs="Times New Roman"/>
          <w:sz w:val="22"/>
          <w:szCs w:val="22"/>
        </w:rPr>
        <w:t xml:space="preserve"> </w:t>
      </w:r>
    </w:p>
    <w:p w14:paraId="15D72A6D" w14:textId="77777777"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 xml:space="preserve">Löffler, G., &amp; Maurer, A. (2011). </w:t>
      </w:r>
      <w:r w:rsidRPr="00B62207">
        <w:rPr>
          <w:rFonts w:ascii="Times New Roman" w:hAnsi="Times New Roman" w:cs="Times New Roman"/>
          <w:i/>
          <w:iCs/>
          <w:sz w:val="22"/>
          <w:szCs w:val="22"/>
        </w:rPr>
        <w:t xml:space="preserve">Credit risk </w:t>
      </w:r>
      <w:proofErr w:type="spellStart"/>
      <w:r w:rsidRPr="00B62207">
        <w:rPr>
          <w:rFonts w:ascii="Times New Roman" w:hAnsi="Times New Roman" w:cs="Times New Roman"/>
          <w:i/>
          <w:iCs/>
          <w:sz w:val="22"/>
          <w:szCs w:val="22"/>
        </w:rPr>
        <w:t>modeling</w:t>
      </w:r>
      <w:proofErr w:type="spellEnd"/>
      <w:r w:rsidRPr="00B62207">
        <w:rPr>
          <w:rFonts w:ascii="Times New Roman" w:hAnsi="Times New Roman" w:cs="Times New Roman"/>
          <w:i/>
          <w:iCs/>
          <w:sz w:val="22"/>
          <w:szCs w:val="22"/>
        </w:rPr>
        <w:t xml:space="preserve"> using Excel and VBA</w:t>
      </w:r>
      <w:r w:rsidRPr="00B62207">
        <w:rPr>
          <w:rFonts w:ascii="Times New Roman" w:hAnsi="Times New Roman" w:cs="Times New Roman"/>
          <w:sz w:val="22"/>
          <w:szCs w:val="22"/>
        </w:rPr>
        <w:t xml:space="preserve"> (2nd ed.). Chichester: Wiley.</w:t>
      </w:r>
    </w:p>
    <w:p w14:paraId="7A8365D2" w14:textId="540C93F6"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Löffler, G., &amp; Maurer, A. (2011a). Incorporating the dynamics of leverage into default prediction. </w:t>
      </w:r>
      <w:r w:rsidRPr="00B62207">
        <w:rPr>
          <w:rFonts w:ascii="Times New Roman" w:hAnsi="Times New Roman" w:cs="Times New Roman"/>
          <w:i/>
          <w:iCs/>
          <w:sz w:val="22"/>
          <w:szCs w:val="22"/>
          <w:shd w:val="clear" w:color="auto" w:fill="FFFFFF"/>
        </w:rPr>
        <w:t>Journal of banking &amp; finance</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35</w:t>
      </w:r>
      <w:r w:rsidRPr="00B62207">
        <w:rPr>
          <w:rFonts w:ascii="Times New Roman" w:hAnsi="Times New Roman" w:cs="Times New Roman"/>
          <w:sz w:val="22"/>
          <w:szCs w:val="22"/>
          <w:shd w:val="clear" w:color="auto" w:fill="FFFFFF"/>
        </w:rPr>
        <w:t>(12), 3351-3361.</w:t>
      </w:r>
      <w:r w:rsidR="009F0D17" w:rsidRPr="00B62207">
        <w:rPr>
          <w:rFonts w:ascii="Times New Roman" w:hAnsi="Times New Roman" w:cs="Times New Roman"/>
          <w:sz w:val="22"/>
          <w:szCs w:val="22"/>
          <w:shd w:val="clear" w:color="auto" w:fill="FFFFFF"/>
        </w:rPr>
        <w:t xml:space="preserve"> </w:t>
      </w:r>
      <w:hyperlink r:id="rId35" w:history="1">
        <w:r w:rsidR="009F0D17" w:rsidRPr="00B62207">
          <w:rPr>
            <w:rStyle w:val="Hyperlink"/>
            <w:rFonts w:ascii="Times New Roman" w:hAnsi="Times New Roman" w:cs="Times New Roman"/>
            <w:sz w:val="22"/>
            <w:szCs w:val="22"/>
            <w:shd w:val="clear" w:color="auto" w:fill="FFFFFF"/>
          </w:rPr>
          <w:t>https://doi.org/10.1016/j.jbankfin.2011.05.015</w:t>
        </w:r>
      </w:hyperlink>
      <w:r w:rsidR="009F0D17" w:rsidRPr="00B62207">
        <w:rPr>
          <w:rFonts w:ascii="Times New Roman" w:hAnsi="Times New Roman" w:cs="Times New Roman"/>
          <w:sz w:val="22"/>
          <w:szCs w:val="22"/>
          <w:shd w:val="clear" w:color="auto" w:fill="FFFFFF"/>
        </w:rPr>
        <w:t xml:space="preserve"> </w:t>
      </w:r>
    </w:p>
    <w:p w14:paraId="1DE61B68" w14:textId="63306AB7"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Löffler, G., &amp; Maurer, A. (2011b). Incorporating the dynamics of leverage into default prediction. </w:t>
      </w:r>
      <w:r w:rsidRPr="00B62207">
        <w:rPr>
          <w:rFonts w:ascii="Times New Roman" w:hAnsi="Times New Roman" w:cs="Times New Roman"/>
          <w:i/>
          <w:iCs/>
          <w:sz w:val="22"/>
          <w:szCs w:val="22"/>
          <w:shd w:val="clear" w:color="auto" w:fill="FFFFFF"/>
        </w:rPr>
        <w:t>Journal of banking &amp; finance</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35</w:t>
      </w:r>
      <w:r w:rsidRPr="00B62207">
        <w:rPr>
          <w:rFonts w:ascii="Times New Roman" w:hAnsi="Times New Roman" w:cs="Times New Roman"/>
          <w:sz w:val="22"/>
          <w:szCs w:val="22"/>
          <w:shd w:val="clear" w:color="auto" w:fill="FFFFFF"/>
        </w:rPr>
        <w:t>(12), 3351-3361.</w:t>
      </w:r>
      <w:r w:rsidR="009F0D17" w:rsidRPr="00B62207">
        <w:rPr>
          <w:rFonts w:ascii="Times New Roman" w:hAnsi="Times New Roman" w:cs="Times New Roman"/>
          <w:sz w:val="22"/>
          <w:szCs w:val="22"/>
          <w:shd w:val="clear" w:color="auto" w:fill="FFFFFF"/>
        </w:rPr>
        <w:t xml:space="preserve"> </w:t>
      </w:r>
      <w:hyperlink r:id="rId36" w:history="1">
        <w:r w:rsidR="009F0D17" w:rsidRPr="00B62207">
          <w:rPr>
            <w:rStyle w:val="Hyperlink"/>
            <w:rFonts w:ascii="Times New Roman" w:hAnsi="Times New Roman" w:cs="Times New Roman"/>
            <w:sz w:val="22"/>
            <w:szCs w:val="22"/>
            <w:shd w:val="clear" w:color="auto" w:fill="FFFFFF"/>
          </w:rPr>
          <w:t>https://doi.org/10.1016/j.jbankfin.2011.05.015</w:t>
        </w:r>
      </w:hyperlink>
      <w:r w:rsidR="009F0D17" w:rsidRPr="00B62207">
        <w:rPr>
          <w:rFonts w:ascii="Times New Roman" w:hAnsi="Times New Roman" w:cs="Times New Roman"/>
          <w:sz w:val="22"/>
          <w:szCs w:val="22"/>
          <w:shd w:val="clear" w:color="auto" w:fill="FFFFFF"/>
        </w:rPr>
        <w:t xml:space="preserve"> </w:t>
      </w:r>
    </w:p>
    <w:p w14:paraId="1FB630D6" w14:textId="15CB5C48"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Löffler, G., &amp; Maurer, A. (2011c). Incorporating the dynamics of leverage into default prediction. </w:t>
      </w:r>
      <w:r w:rsidRPr="00B62207">
        <w:rPr>
          <w:rFonts w:ascii="Times New Roman" w:hAnsi="Times New Roman" w:cs="Times New Roman"/>
          <w:i/>
          <w:iCs/>
          <w:sz w:val="22"/>
          <w:szCs w:val="22"/>
          <w:shd w:val="clear" w:color="auto" w:fill="FFFFFF"/>
        </w:rPr>
        <w:t>Journal of banking &amp; finance</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35</w:t>
      </w:r>
      <w:r w:rsidRPr="00B62207">
        <w:rPr>
          <w:rFonts w:ascii="Times New Roman" w:hAnsi="Times New Roman" w:cs="Times New Roman"/>
          <w:sz w:val="22"/>
          <w:szCs w:val="22"/>
          <w:shd w:val="clear" w:color="auto" w:fill="FFFFFF"/>
        </w:rPr>
        <w:t>(12), 3351-3361</w:t>
      </w:r>
      <w:r w:rsidR="009F0D17" w:rsidRPr="00B62207">
        <w:rPr>
          <w:rFonts w:ascii="Times New Roman" w:hAnsi="Times New Roman" w:cs="Times New Roman"/>
          <w:sz w:val="22"/>
          <w:szCs w:val="22"/>
          <w:shd w:val="clear" w:color="auto" w:fill="FFFFFF"/>
        </w:rPr>
        <w:t xml:space="preserve">. </w:t>
      </w:r>
      <w:hyperlink r:id="rId37" w:history="1">
        <w:r w:rsidR="009F0D17" w:rsidRPr="00B62207">
          <w:rPr>
            <w:rStyle w:val="Hyperlink"/>
            <w:rFonts w:ascii="Times New Roman" w:hAnsi="Times New Roman" w:cs="Times New Roman"/>
            <w:sz w:val="22"/>
            <w:szCs w:val="22"/>
            <w:shd w:val="clear" w:color="auto" w:fill="FFFFFF"/>
          </w:rPr>
          <w:t>https://doi.org/10.1016/j.jbankfin.2011.05.015</w:t>
        </w:r>
      </w:hyperlink>
      <w:r w:rsidR="009F0D17" w:rsidRPr="00B62207">
        <w:rPr>
          <w:rFonts w:ascii="Times New Roman" w:hAnsi="Times New Roman" w:cs="Times New Roman"/>
          <w:sz w:val="22"/>
          <w:szCs w:val="22"/>
          <w:shd w:val="clear" w:color="auto" w:fill="FFFFFF"/>
        </w:rPr>
        <w:t xml:space="preserve"> </w:t>
      </w:r>
    </w:p>
    <w:p w14:paraId="3D380348" w14:textId="0170A6D5" w:rsidR="0001467D" w:rsidRPr="00B62207" w:rsidRDefault="0001467D"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Löffler, G., &amp; Maurer, A. (2011d). Incorporating the dynamics of leverage into default prediction. </w:t>
      </w:r>
      <w:r w:rsidRPr="00B62207">
        <w:rPr>
          <w:rFonts w:ascii="Times New Roman" w:hAnsi="Times New Roman" w:cs="Times New Roman"/>
          <w:i/>
          <w:iCs/>
          <w:sz w:val="22"/>
          <w:szCs w:val="22"/>
          <w:shd w:val="clear" w:color="auto" w:fill="FFFFFF"/>
        </w:rPr>
        <w:t>Journal of banking &amp; finance</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35</w:t>
      </w:r>
      <w:r w:rsidRPr="00B62207">
        <w:rPr>
          <w:rFonts w:ascii="Times New Roman" w:hAnsi="Times New Roman" w:cs="Times New Roman"/>
          <w:sz w:val="22"/>
          <w:szCs w:val="22"/>
          <w:shd w:val="clear" w:color="auto" w:fill="FFFFFF"/>
        </w:rPr>
        <w:t>(12), 3351-3361</w:t>
      </w:r>
      <w:r w:rsidR="009F0D17" w:rsidRPr="00B62207">
        <w:rPr>
          <w:rFonts w:ascii="Times New Roman" w:hAnsi="Times New Roman" w:cs="Times New Roman"/>
          <w:sz w:val="22"/>
          <w:szCs w:val="22"/>
          <w:shd w:val="clear" w:color="auto" w:fill="FFFFFF"/>
        </w:rPr>
        <w:t xml:space="preserve">. </w:t>
      </w:r>
      <w:hyperlink r:id="rId38" w:history="1">
        <w:r w:rsidR="009F0D17" w:rsidRPr="00B62207">
          <w:rPr>
            <w:rStyle w:val="Hyperlink"/>
            <w:rFonts w:ascii="Times New Roman" w:hAnsi="Times New Roman" w:cs="Times New Roman"/>
            <w:sz w:val="22"/>
            <w:szCs w:val="22"/>
            <w:shd w:val="clear" w:color="auto" w:fill="FFFFFF"/>
          </w:rPr>
          <w:t>https://doi.org/10.1016/j.jbankfin.2011.05.015</w:t>
        </w:r>
      </w:hyperlink>
      <w:r w:rsidR="009F0D17" w:rsidRPr="00B62207">
        <w:rPr>
          <w:rFonts w:ascii="Times New Roman" w:hAnsi="Times New Roman" w:cs="Times New Roman"/>
          <w:sz w:val="22"/>
          <w:szCs w:val="22"/>
          <w:shd w:val="clear" w:color="auto" w:fill="FFFFFF"/>
        </w:rPr>
        <w:t xml:space="preserve"> </w:t>
      </w:r>
    </w:p>
    <w:p w14:paraId="2B7C433B" w14:textId="08FACA53"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Lopez, J. A. (2004). The empirical relationship between average asset correlation, firm probability of default, and asset size. </w:t>
      </w:r>
      <w:r w:rsidRPr="00B62207">
        <w:rPr>
          <w:rFonts w:ascii="Times New Roman" w:hAnsi="Times New Roman" w:cs="Times New Roman"/>
          <w:i/>
          <w:iCs/>
          <w:sz w:val="22"/>
          <w:szCs w:val="22"/>
          <w:shd w:val="clear" w:color="auto" w:fill="FFFFFF"/>
        </w:rPr>
        <w:t>Journal of Financial Intermediation</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13</w:t>
      </w:r>
      <w:r w:rsidRPr="00B62207">
        <w:rPr>
          <w:rFonts w:ascii="Times New Roman" w:hAnsi="Times New Roman" w:cs="Times New Roman"/>
          <w:sz w:val="22"/>
          <w:szCs w:val="22"/>
          <w:shd w:val="clear" w:color="auto" w:fill="FFFFFF"/>
        </w:rPr>
        <w:t>(2), 265-283.</w:t>
      </w:r>
      <w:r w:rsidR="00D96917" w:rsidRPr="00B62207">
        <w:rPr>
          <w:rFonts w:ascii="Times New Roman" w:hAnsi="Times New Roman" w:cs="Times New Roman"/>
          <w:sz w:val="22"/>
          <w:szCs w:val="22"/>
          <w:shd w:val="clear" w:color="auto" w:fill="FFFFFF"/>
        </w:rPr>
        <w:t xml:space="preserve"> </w:t>
      </w:r>
      <w:hyperlink r:id="rId39" w:history="1">
        <w:r w:rsidR="00D96917" w:rsidRPr="00B62207">
          <w:rPr>
            <w:rStyle w:val="Hyperlink"/>
            <w:rFonts w:ascii="Times New Roman" w:hAnsi="Times New Roman" w:cs="Times New Roman"/>
            <w:sz w:val="22"/>
            <w:szCs w:val="22"/>
            <w:shd w:val="clear" w:color="auto" w:fill="FFFFFF"/>
          </w:rPr>
          <w:t>https://doi.org/10.1016/S1042-9573(03)00045-7</w:t>
        </w:r>
      </w:hyperlink>
      <w:r w:rsidR="00D96917" w:rsidRPr="00B62207">
        <w:rPr>
          <w:rFonts w:ascii="Times New Roman" w:hAnsi="Times New Roman" w:cs="Times New Roman"/>
          <w:sz w:val="22"/>
          <w:szCs w:val="22"/>
          <w:shd w:val="clear" w:color="auto" w:fill="FFFFFF"/>
        </w:rPr>
        <w:t xml:space="preserve"> </w:t>
      </w:r>
    </w:p>
    <w:p w14:paraId="592BFED5" w14:textId="11B78158"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Memmel, C., Gündüz, Y., &amp; Raupach, P. (2015</w:t>
      </w:r>
      <w:r w:rsidR="00C07D28" w:rsidRPr="00B62207">
        <w:rPr>
          <w:rFonts w:ascii="Times New Roman" w:hAnsi="Times New Roman" w:cs="Times New Roman"/>
          <w:sz w:val="22"/>
          <w:szCs w:val="22"/>
        </w:rPr>
        <w:t>a</w:t>
      </w:r>
      <w:r w:rsidRPr="00B62207">
        <w:rPr>
          <w:rFonts w:ascii="Times New Roman" w:hAnsi="Times New Roman" w:cs="Times New Roman"/>
          <w:sz w:val="22"/>
          <w:szCs w:val="22"/>
        </w:rPr>
        <w:t>). The common drivers of default risk. </w:t>
      </w:r>
      <w:r w:rsidRPr="00B62207">
        <w:rPr>
          <w:rFonts w:ascii="Times New Roman" w:hAnsi="Times New Roman" w:cs="Times New Roman"/>
          <w:i/>
          <w:iCs/>
          <w:sz w:val="22"/>
          <w:szCs w:val="22"/>
        </w:rPr>
        <w:t>Journal of Financial Stability</w:t>
      </w:r>
      <w:r w:rsidRPr="00B62207">
        <w:rPr>
          <w:rFonts w:ascii="Times New Roman" w:hAnsi="Times New Roman" w:cs="Times New Roman"/>
          <w:sz w:val="22"/>
          <w:szCs w:val="22"/>
        </w:rPr>
        <w:t>, </w:t>
      </w:r>
      <w:r w:rsidRPr="00B62207">
        <w:rPr>
          <w:rFonts w:ascii="Times New Roman" w:hAnsi="Times New Roman" w:cs="Times New Roman"/>
          <w:i/>
          <w:iCs/>
          <w:sz w:val="22"/>
          <w:szCs w:val="22"/>
        </w:rPr>
        <w:t>16</w:t>
      </w:r>
      <w:r w:rsidRPr="00B62207">
        <w:rPr>
          <w:rFonts w:ascii="Times New Roman" w:hAnsi="Times New Roman" w:cs="Times New Roman"/>
          <w:sz w:val="22"/>
          <w:szCs w:val="22"/>
        </w:rPr>
        <w:t>, 232-247.</w:t>
      </w:r>
      <w:r w:rsidR="0003634F" w:rsidRPr="00B62207">
        <w:rPr>
          <w:rFonts w:ascii="Times New Roman" w:hAnsi="Times New Roman" w:cs="Times New Roman"/>
          <w:sz w:val="22"/>
          <w:szCs w:val="22"/>
        </w:rPr>
        <w:t xml:space="preserve"> </w:t>
      </w:r>
      <w:hyperlink r:id="rId40" w:history="1">
        <w:r w:rsidR="0003634F" w:rsidRPr="00B62207">
          <w:rPr>
            <w:rStyle w:val="Hyperlink"/>
            <w:rFonts w:ascii="Times New Roman" w:hAnsi="Times New Roman" w:cs="Times New Roman"/>
            <w:sz w:val="22"/>
            <w:szCs w:val="22"/>
          </w:rPr>
          <w:t>https://doi.org/10.1016/j.jfs.2014.03.002</w:t>
        </w:r>
      </w:hyperlink>
      <w:r w:rsidR="0003634F" w:rsidRPr="00B62207">
        <w:rPr>
          <w:rFonts w:ascii="Times New Roman" w:hAnsi="Times New Roman" w:cs="Times New Roman"/>
          <w:sz w:val="22"/>
          <w:szCs w:val="22"/>
        </w:rPr>
        <w:t xml:space="preserve"> </w:t>
      </w:r>
    </w:p>
    <w:p w14:paraId="76AEC20A" w14:textId="7F9ABB7F" w:rsidR="00C07D28" w:rsidRPr="00B62207" w:rsidRDefault="00C07D28" w:rsidP="005E2333">
      <w:pPr>
        <w:spacing w:line="480" w:lineRule="auto"/>
        <w:rPr>
          <w:rFonts w:ascii="Times New Roman" w:hAnsi="Times New Roman" w:cs="Times New Roman"/>
          <w:b/>
          <w:bCs/>
          <w:sz w:val="22"/>
          <w:szCs w:val="22"/>
        </w:rPr>
      </w:pPr>
      <w:r w:rsidRPr="00B62207">
        <w:rPr>
          <w:rFonts w:ascii="Times New Roman" w:hAnsi="Times New Roman" w:cs="Times New Roman"/>
          <w:sz w:val="22"/>
          <w:szCs w:val="22"/>
        </w:rPr>
        <w:t>Memmel, C., Gündüz, Y., &amp; Raupach, P. (2015b). The common drivers of default risk. </w:t>
      </w:r>
      <w:r w:rsidRPr="00B62207">
        <w:rPr>
          <w:rFonts w:ascii="Times New Roman" w:hAnsi="Times New Roman" w:cs="Times New Roman"/>
          <w:i/>
          <w:iCs/>
          <w:sz w:val="22"/>
          <w:szCs w:val="22"/>
        </w:rPr>
        <w:t>Journal of Financial Stability</w:t>
      </w:r>
      <w:r w:rsidRPr="00B62207">
        <w:rPr>
          <w:rFonts w:ascii="Times New Roman" w:hAnsi="Times New Roman" w:cs="Times New Roman"/>
          <w:sz w:val="22"/>
          <w:szCs w:val="22"/>
        </w:rPr>
        <w:t>, </w:t>
      </w:r>
      <w:r w:rsidRPr="00B62207">
        <w:rPr>
          <w:rFonts w:ascii="Times New Roman" w:hAnsi="Times New Roman" w:cs="Times New Roman"/>
          <w:i/>
          <w:iCs/>
          <w:sz w:val="22"/>
          <w:szCs w:val="22"/>
        </w:rPr>
        <w:t>16</w:t>
      </w:r>
      <w:r w:rsidRPr="00B62207">
        <w:rPr>
          <w:rFonts w:ascii="Times New Roman" w:hAnsi="Times New Roman" w:cs="Times New Roman"/>
          <w:sz w:val="22"/>
          <w:szCs w:val="22"/>
        </w:rPr>
        <w:t>, 232-247.</w:t>
      </w:r>
      <w:r w:rsidR="0003634F" w:rsidRPr="00B62207">
        <w:rPr>
          <w:rFonts w:ascii="Times New Roman" w:hAnsi="Times New Roman" w:cs="Times New Roman"/>
          <w:sz w:val="22"/>
          <w:szCs w:val="22"/>
        </w:rPr>
        <w:t xml:space="preserve"> </w:t>
      </w:r>
      <w:hyperlink r:id="rId41" w:history="1">
        <w:r w:rsidR="0003634F" w:rsidRPr="00B62207">
          <w:rPr>
            <w:rStyle w:val="Hyperlink"/>
            <w:rFonts w:ascii="Times New Roman" w:hAnsi="Times New Roman" w:cs="Times New Roman"/>
            <w:sz w:val="22"/>
            <w:szCs w:val="22"/>
          </w:rPr>
          <w:t>https://doi.org/10.1016/j.jfs.2014.03.002</w:t>
        </w:r>
      </w:hyperlink>
      <w:r w:rsidR="0003634F" w:rsidRPr="00B62207">
        <w:rPr>
          <w:rFonts w:ascii="Times New Roman" w:hAnsi="Times New Roman" w:cs="Times New Roman"/>
          <w:sz w:val="22"/>
          <w:szCs w:val="22"/>
        </w:rPr>
        <w:t xml:space="preserve"> </w:t>
      </w:r>
    </w:p>
    <w:p w14:paraId="07DC0766" w14:textId="3B85B121"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Nadarajah, S., Duong, H. N., Ali, S., Liu, B., &amp; Huang, A. (2021). Stock liquidity and default risk around the world. </w:t>
      </w:r>
      <w:r w:rsidRPr="00B62207">
        <w:rPr>
          <w:rFonts w:ascii="Times New Roman" w:hAnsi="Times New Roman" w:cs="Times New Roman"/>
          <w:i/>
          <w:iCs/>
          <w:sz w:val="22"/>
          <w:szCs w:val="22"/>
        </w:rPr>
        <w:t>Journal of Financial Markets</w:t>
      </w:r>
      <w:r w:rsidRPr="00B62207">
        <w:rPr>
          <w:rFonts w:ascii="Times New Roman" w:hAnsi="Times New Roman" w:cs="Times New Roman"/>
          <w:sz w:val="22"/>
          <w:szCs w:val="22"/>
        </w:rPr>
        <w:t>, </w:t>
      </w:r>
      <w:r w:rsidRPr="00B62207">
        <w:rPr>
          <w:rFonts w:ascii="Times New Roman" w:hAnsi="Times New Roman" w:cs="Times New Roman"/>
          <w:i/>
          <w:iCs/>
          <w:sz w:val="22"/>
          <w:szCs w:val="22"/>
        </w:rPr>
        <w:t>55</w:t>
      </w:r>
      <w:r w:rsidRPr="00B62207">
        <w:rPr>
          <w:rFonts w:ascii="Times New Roman" w:hAnsi="Times New Roman" w:cs="Times New Roman"/>
          <w:sz w:val="22"/>
          <w:szCs w:val="22"/>
        </w:rPr>
        <w:t xml:space="preserve">, 100597. </w:t>
      </w:r>
      <w:hyperlink r:id="rId42" w:history="1">
        <w:r w:rsidR="00DE04F0" w:rsidRPr="00B62207">
          <w:rPr>
            <w:rStyle w:val="Hyperlink"/>
            <w:rFonts w:ascii="Times New Roman" w:hAnsi="Times New Roman" w:cs="Times New Roman"/>
            <w:sz w:val="22"/>
            <w:szCs w:val="22"/>
          </w:rPr>
          <w:t>https://doi.org/10.1016/j.finmar.2020.100597</w:t>
        </w:r>
      </w:hyperlink>
      <w:r w:rsidR="00DE04F0" w:rsidRPr="00B62207">
        <w:rPr>
          <w:rFonts w:ascii="Times New Roman" w:hAnsi="Times New Roman" w:cs="Times New Roman"/>
          <w:sz w:val="22"/>
          <w:szCs w:val="22"/>
        </w:rPr>
        <w:t xml:space="preserve"> </w:t>
      </w:r>
    </w:p>
    <w:p w14:paraId="1F149B9D" w14:textId="2CFB40E0"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rPr>
        <w:t>Qiu, L., &amp; Ronen, J. (2025). Anticipatory effects of accounting standards: the lease exposure draft: L. Qiu, J. Ronen. </w:t>
      </w:r>
      <w:r w:rsidRPr="00B62207">
        <w:rPr>
          <w:rFonts w:ascii="Times New Roman" w:hAnsi="Times New Roman" w:cs="Times New Roman"/>
          <w:i/>
          <w:iCs/>
          <w:sz w:val="22"/>
          <w:szCs w:val="22"/>
        </w:rPr>
        <w:t>Review of Accounting Studies</w:t>
      </w:r>
      <w:r w:rsidRPr="00B62207">
        <w:rPr>
          <w:rFonts w:ascii="Times New Roman" w:hAnsi="Times New Roman" w:cs="Times New Roman"/>
          <w:sz w:val="22"/>
          <w:szCs w:val="22"/>
        </w:rPr>
        <w:t>, </w:t>
      </w:r>
      <w:r w:rsidRPr="00B62207">
        <w:rPr>
          <w:rFonts w:ascii="Times New Roman" w:hAnsi="Times New Roman" w:cs="Times New Roman"/>
          <w:i/>
          <w:iCs/>
          <w:sz w:val="22"/>
          <w:szCs w:val="22"/>
        </w:rPr>
        <w:t>30</w:t>
      </w:r>
      <w:r w:rsidRPr="00B62207">
        <w:rPr>
          <w:rFonts w:ascii="Times New Roman" w:hAnsi="Times New Roman" w:cs="Times New Roman"/>
          <w:sz w:val="22"/>
          <w:szCs w:val="22"/>
        </w:rPr>
        <w:t>(2), 1543-1591.</w:t>
      </w:r>
      <w:r w:rsidR="00DE04F0" w:rsidRPr="00B62207">
        <w:rPr>
          <w:rFonts w:ascii="Times New Roman" w:hAnsi="Times New Roman" w:cs="Times New Roman"/>
          <w:sz w:val="22"/>
          <w:szCs w:val="22"/>
        </w:rPr>
        <w:t xml:space="preserve"> </w:t>
      </w:r>
      <w:hyperlink r:id="rId43" w:history="1">
        <w:r w:rsidR="00DE04F0" w:rsidRPr="00B62207">
          <w:rPr>
            <w:rStyle w:val="Hyperlink"/>
            <w:rFonts w:ascii="Times New Roman" w:hAnsi="Times New Roman" w:cs="Times New Roman"/>
            <w:sz w:val="22"/>
            <w:szCs w:val="22"/>
          </w:rPr>
          <w:t>https://doi.org/10.1007/s11142-024-09861-5</w:t>
        </w:r>
      </w:hyperlink>
      <w:r w:rsidR="00DE04F0" w:rsidRPr="00B62207">
        <w:rPr>
          <w:rFonts w:ascii="Times New Roman" w:hAnsi="Times New Roman" w:cs="Times New Roman"/>
          <w:sz w:val="22"/>
          <w:szCs w:val="22"/>
        </w:rPr>
        <w:t xml:space="preserve"> </w:t>
      </w:r>
    </w:p>
    <w:p w14:paraId="74A29B6A" w14:textId="3DA61F46" w:rsidR="002A2F93" w:rsidRPr="00B62207" w:rsidRDefault="002A2F93" w:rsidP="005E2333">
      <w:pPr>
        <w:spacing w:line="480" w:lineRule="auto"/>
        <w:rPr>
          <w:rFonts w:ascii="Times New Roman" w:hAnsi="Times New Roman" w:cs="Times New Roman"/>
          <w:sz w:val="22"/>
          <w:szCs w:val="22"/>
          <w:shd w:val="clear" w:color="auto" w:fill="FFFFFF"/>
        </w:rPr>
      </w:pPr>
      <w:proofErr w:type="spellStart"/>
      <w:r w:rsidRPr="00B62207">
        <w:rPr>
          <w:rFonts w:ascii="Times New Roman" w:hAnsi="Times New Roman" w:cs="Times New Roman"/>
          <w:sz w:val="22"/>
          <w:szCs w:val="22"/>
          <w:shd w:val="clear" w:color="auto" w:fill="FFFFFF"/>
        </w:rPr>
        <w:t>Tserng</w:t>
      </w:r>
      <w:proofErr w:type="spellEnd"/>
      <w:r w:rsidRPr="00B62207">
        <w:rPr>
          <w:rFonts w:ascii="Times New Roman" w:hAnsi="Times New Roman" w:cs="Times New Roman"/>
          <w:sz w:val="22"/>
          <w:szCs w:val="22"/>
          <w:shd w:val="clear" w:color="auto" w:fill="FFFFFF"/>
        </w:rPr>
        <w:t>, H. P., Chen, P. C., Huang, W. H., Lei, M. C., &amp; Tran, Q. H. (2014a). Prediction of default probability for construction firms using the logit model. </w:t>
      </w:r>
      <w:r w:rsidRPr="00B62207">
        <w:rPr>
          <w:rFonts w:ascii="Times New Roman" w:hAnsi="Times New Roman" w:cs="Times New Roman"/>
          <w:i/>
          <w:iCs/>
          <w:sz w:val="22"/>
          <w:szCs w:val="22"/>
          <w:shd w:val="clear" w:color="auto" w:fill="FFFFFF"/>
        </w:rPr>
        <w:t>Journal of civil engineering and management</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20</w:t>
      </w:r>
      <w:r w:rsidRPr="00B62207">
        <w:rPr>
          <w:rFonts w:ascii="Times New Roman" w:hAnsi="Times New Roman" w:cs="Times New Roman"/>
          <w:sz w:val="22"/>
          <w:szCs w:val="22"/>
          <w:shd w:val="clear" w:color="auto" w:fill="FFFFFF"/>
        </w:rPr>
        <w:t>(2), 247-255.</w:t>
      </w:r>
      <w:r w:rsidR="00D378E7" w:rsidRPr="00B62207">
        <w:rPr>
          <w:rFonts w:ascii="Times New Roman" w:hAnsi="Times New Roman" w:cs="Times New Roman"/>
          <w:sz w:val="22"/>
          <w:szCs w:val="22"/>
          <w:shd w:val="clear" w:color="auto" w:fill="FFFFFF"/>
        </w:rPr>
        <w:t xml:space="preserve"> </w:t>
      </w:r>
      <w:hyperlink r:id="rId44" w:history="1">
        <w:r w:rsidR="00D378E7" w:rsidRPr="00B62207">
          <w:rPr>
            <w:rStyle w:val="Hyperlink"/>
            <w:rFonts w:ascii="Times New Roman" w:hAnsi="Times New Roman" w:cs="Times New Roman"/>
            <w:sz w:val="22"/>
            <w:szCs w:val="22"/>
            <w:shd w:val="clear" w:color="auto" w:fill="FFFFFF"/>
          </w:rPr>
          <w:t>https://doi.org/10.3846/13923730.2013.801886</w:t>
        </w:r>
      </w:hyperlink>
      <w:r w:rsidR="00D378E7" w:rsidRPr="00B62207">
        <w:rPr>
          <w:rFonts w:ascii="Times New Roman" w:hAnsi="Times New Roman" w:cs="Times New Roman"/>
          <w:sz w:val="22"/>
          <w:szCs w:val="22"/>
          <w:shd w:val="clear" w:color="auto" w:fill="FFFFFF"/>
        </w:rPr>
        <w:t xml:space="preserve"> </w:t>
      </w:r>
    </w:p>
    <w:p w14:paraId="1D31395B" w14:textId="6046C4D1" w:rsidR="002A2F93" w:rsidRPr="00B62207" w:rsidRDefault="002A2F93" w:rsidP="005E2333">
      <w:pPr>
        <w:spacing w:line="480" w:lineRule="auto"/>
        <w:rPr>
          <w:rFonts w:ascii="Times New Roman" w:hAnsi="Times New Roman" w:cs="Times New Roman"/>
          <w:sz w:val="22"/>
          <w:szCs w:val="22"/>
          <w:shd w:val="clear" w:color="auto" w:fill="FFFFFF"/>
        </w:rPr>
      </w:pPr>
      <w:proofErr w:type="spellStart"/>
      <w:r w:rsidRPr="00B62207">
        <w:rPr>
          <w:rFonts w:ascii="Times New Roman" w:hAnsi="Times New Roman" w:cs="Times New Roman"/>
          <w:sz w:val="22"/>
          <w:szCs w:val="22"/>
          <w:shd w:val="clear" w:color="auto" w:fill="FFFFFF"/>
        </w:rPr>
        <w:t>Tserng</w:t>
      </w:r>
      <w:proofErr w:type="spellEnd"/>
      <w:r w:rsidRPr="00B62207">
        <w:rPr>
          <w:rFonts w:ascii="Times New Roman" w:hAnsi="Times New Roman" w:cs="Times New Roman"/>
          <w:sz w:val="22"/>
          <w:szCs w:val="22"/>
          <w:shd w:val="clear" w:color="auto" w:fill="FFFFFF"/>
        </w:rPr>
        <w:t>, H. P., Chen, P. C., Huang, W. H., Lei, M. C., &amp; Tran, Q. H. (2014b). Prediction of default probability for construction firms using the logit model. </w:t>
      </w:r>
      <w:r w:rsidRPr="00B62207">
        <w:rPr>
          <w:rFonts w:ascii="Times New Roman" w:hAnsi="Times New Roman" w:cs="Times New Roman"/>
          <w:i/>
          <w:iCs/>
          <w:sz w:val="22"/>
          <w:szCs w:val="22"/>
          <w:shd w:val="clear" w:color="auto" w:fill="FFFFFF"/>
        </w:rPr>
        <w:t>Journal of civil engineering and management</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20</w:t>
      </w:r>
      <w:r w:rsidRPr="00B62207">
        <w:rPr>
          <w:rFonts w:ascii="Times New Roman" w:hAnsi="Times New Roman" w:cs="Times New Roman"/>
          <w:sz w:val="22"/>
          <w:szCs w:val="22"/>
          <w:shd w:val="clear" w:color="auto" w:fill="FFFFFF"/>
        </w:rPr>
        <w:t>(2), 247-255.</w:t>
      </w:r>
      <w:r w:rsidR="00D378E7" w:rsidRPr="00B62207">
        <w:rPr>
          <w:rFonts w:ascii="Times New Roman" w:hAnsi="Times New Roman" w:cs="Times New Roman"/>
          <w:sz w:val="22"/>
          <w:szCs w:val="22"/>
          <w:shd w:val="clear" w:color="auto" w:fill="FFFFFF"/>
        </w:rPr>
        <w:t xml:space="preserve"> </w:t>
      </w:r>
      <w:hyperlink r:id="rId45" w:history="1">
        <w:r w:rsidR="00D378E7" w:rsidRPr="00B62207">
          <w:rPr>
            <w:rStyle w:val="Hyperlink"/>
            <w:rFonts w:ascii="Times New Roman" w:hAnsi="Times New Roman" w:cs="Times New Roman"/>
            <w:sz w:val="22"/>
            <w:szCs w:val="22"/>
            <w:shd w:val="clear" w:color="auto" w:fill="FFFFFF"/>
          </w:rPr>
          <w:t>https://doi.org/10.3846/13923730.2013.801886</w:t>
        </w:r>
      </w:hyperlink>
      <w:r w:rsidR="00D378E7" w:rsidRPr="00B62207">
        <w:rPr>
          <w:rFonts w:ascii="Times New Roman" w:hAnsi="Times New Roman" w:cs="Times New Roman"/>
          <w:sz w:val="22"/>
          <w:szCs w:val="22"/>
          <w:shd w:val="clear" w:color="auto" w:fill="FFFFFF"/>
        </w:rPr>
        <w:t xml:space="preserve"> </w:t>
      </w:r>
    </w:p>
    <w:p w14:paraId="047217AD" w14:textId="689D4D3D"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Westgaard, S., &amp; Van der Wijst, N. (2001a). Default probabilities in a corporate bank portfolio: A logistic model approach. </w:t>
      </w:r>
      <w:r w:rsidRPr="00B62207">
        <w:rPr>
          <w:rFonts w:ascii="Times New Roman" w:hAnsi="Times New Roman" w:cs="Times New Roman"/>
          <w:i/>
          <w:iCs/>
          <w:sz w:val="22"/>
          <w:szCs w:val="22"/>
          <w:shd w:val="clear" w:color="auto" w:fill="FFFFFF"/>
        </w:rPr>
        <w:t>European journal of operational research</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135</w:t>
      </w:r>
      <w:r w:rsidRPr="00B62207">
        <w:rPr>
          <w:rFonts w:ascii="Times New Roman" w:hAnsi="Times New Roman" w:cs="Times New Roman"/>
          <w:sz w:val="22"/>
          <w:szCs w:val="22"/>
          <w:shd w:val="clear" w:color="auto" w:fill="FFFFFF"/>
        </w:rPr>
        <w:t>(2), 338-349.</w:t>
      </w:r>
      <w:r w:rsidR="00F919CD" w:rsidRPr="00B62207">
        <w:rPr>
          <w:rFonts w:ascii="Times New Roman" w:hAnsi="Times New Roman" w:cs="Times New Roman"/>
          <w:sz w:val="22"/>
          <w:szCs w:val="22"/>
          <w:shd w:val="clear" w:color="auto" w:fill="FFFFFF"/>
        </w:rPr>
        <w:t xml:space="preserve"> </w:t>
      </w:r>
      <w:hyperlink r:id="rId46" w:history="1">
        <w:r w:rsidR="00F919CD" w:rsidRPr="00B62207">
          <w:rPr>
            <w:rStyle w:val="Hyperlink"/>
            <w:rFonts w:ascii="Times New Roman" w:hAnsi="Times New Roman" w:cs="Times New Roman"/>
            <w:sz w:val="22"/>
            <w:szCs w:val="22"/>
            <w:shd w:val="clear" w:color="auto" w:fill="FFFFFF"/>
          </w:rPr>
          <w:t>https://doi.org/10.1016/S0377-2217(01)00045-5</w:t>
        </w:r>
      </w:hyperlink>
      <w:r w:rsidR="00F919CD" w:rsidRPr="00B62207">
        <w:rPr>
          <w:rFonts w:ascii="Times New Roman" w:hAnsi="Times New Roman" w:cs="Times New Roman"/>
          <w:sz w:val="22"/>
          <w:szCs w:val="22"/>
          <w:shd w:val="clear" w:color="auto" w:fill="FFFFFF"/>
        </w:rPr>
        <w:t xml:space="preserve"> </w:t>
      </w:r>
    </w:p>
    <w:p w14:paraId="2803037E" w14:textId="23DD719F"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Westgaard, S., &amp; Van der Wijst, N. (2001b). Default probabilities in a corporate bank portfolio: A logistic model approach. </w:t>
      </w:r>
      <w:r w:rsidRPr="00B62207">
        <w:rPr>
          <w:rFonts w:ascii="Times New Roman" w:hAnsi="Times New Roman" w:cs="Times New Roman"/>
          <w:i/>
          <w:iCs/>
          <w:sz w:val="22"/>
          <w:szCs w:val="22"/>
          <w:shd w:val="clear" w:color="auto" w:fill="FFFFFF"/>
        </w:rPr>
        <w:t>European journal of operational research</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135</w:t>
      </w:r>
      <w:r w:rsidRPr="00B62207">
        <w:rPr>
          <w:rFonts w:ascii="Times New Roman" w:hAnsi="Times New Roman" w:cs="Times New Roman"/>
          <w:sz w:val="22"/>
          <w:szCs w:val="22"/>
          <w:shd w:val="clear" w:color="auto" w:fill="FFFFFF"/>
        </w:rPr>
        <w:t>(2), 338-349.</w:t>
      </w:r>
      <w:r w:rsidR="00F919CD" w:rsidRPr="00B62207">
        <w:rPr>
          <w:rFonts w:ascii="Times New Roman" w:hAnsi="Times New Roman" w:cs="Times New Roman"/>
          <w:sz w:val="22"/>
          <w:szCs w:val="22"/>
          <w:shd w:val="clear" w:color="auto" w:fill="FFFFFF"/>
        </w:rPr>
        <w:t xml:space="preserve"> </w:t>
      </w:r>
      <w:hyperlink r:id="rId47" w:history="1">
        <w:r w:rsidR="00F919CD" w:rsidRPr="00B62207">
          <w:rPr>
            <w:rStyle w:val="Hyperlink"/>
            <w:rFonts w:ascii="Times New Roman" w:hAnsi="Times New Roman" w:cs="Times New Roman"/>
            <w:sz w:val="22"/>
            <w:szCs w:val="22"/>
            <w:shd w:val="clear" w:color="auto" w:fill="FFFFFF"/>
          </w:rPr>
          <w:t>https://doi.org/10.1016/S0377-2217(01)00045-5</w:t>
        </w:r>
      </w:hyperlink>
      <w:r w:rsidR="00F919CD" w:rsidRPr="00B62207">
        <w:rPr>
          <w:rFonts w:ascii="Times New Roman" w:hAnsi="Times New Roman" w:cs="Times New Roman"/>
          <w:sz w:val="22"/>
          <w:szCs w:val="22"/>
          <w:shd w:val="clear" w:color="auto" w:fill="FFFFFF"/>
        </w:rPr>
        <w:t xml:space="preserve"> </w:t>
      </w:r>
    </w:p>
    <w:p w14:paraId="16A9C2BB" w14:textId="77777777" w:rsidR="002A2F93" w:rsidRPr="00B62207" w:rsidRDefault="002A2F93" w:rsidP="005E2333">
      <w:pPr>
        <w:spacing w:line="480" w:lineRule="auto"/>
        <w:rPr>
          <w:rFonts w:ascii="Times New Roman" w:hAnsi="Times New Roman" w:cs="Times New Roman"/>
          <w:sz w:val="22"/>
          <w:szCs w:val="22"/>
        </w:rPr>
      </w:pPr>
      <w:r w:rsidRPr="00B62207">
        <w:rPr>
          <w:rFonts w:ascii="Times New Roman" w:hAnsi="Times New Roman" w:cs="Times New Roman"/>
          <w:sz w:val="22"/>
          <w:szCs w:val="22"/>
          <w:shd w:val="clear" w:color="auto" w:fill="FFFFFF"/>
        </w:rPr>
        <w:t>Zhang, X., Ouyang, R., Liu, D., &amp; Xu, L. (2020a). Determinants of corporate default risk in China: The role of financial constraints. </w:t>
      </w:r>
      <w:r w:rsidRPr="00B62207">
        <w:rPr>
          <w:rFonts w:ascii="Times New Roman" w:hAnsi="Times New Roman" w:cs="Times New Roman"/>
          <w:i/>
          <w:iCs/>
          <w:sz w:val="22"/>
          <w:szCs w:val="22"/>
          <w:shd w:val="clear" w:color="auto" w:fill="FFFFFF"/>
        </w:rPr>
        <w:t>Economic Modelling</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92</w:t>
      </w:r>
      <w:r w:rsidRPr="00B62207">
        <w:rPr>
          <w:rFonts w:ascii="Times New Roman" w:hAnsi="Times New Roman" w:cs="Times New Roman"/>
          <w:sz w:val="22"/>
          <w:szCs w:val="22"/>
          <w:shd w:val="clear" w:color="auto" w:fill="FFFFFF"/>
        </w:rPr>
        <w:t xml:space="preserve">, 87-98. </w:t>
      </w:r>
      <w:hyperlink r:id="rId48" w:history="1">
        <w:r w:rsidRPr="00B62207">
          <w:rPr>
            <w:rStyle w:val="Hyperlink"/>
            <w:rFonts w:ascii="Times New Roman" w:hAnsi="Times New Roman" w:cs="Times New Roman"/>
            <w:color w:val="auto"/>
            <w:sz w:val="22"/>
            <w:szCs w:val="22"/>
          </w:rPr>
          <w:t xml:space="preserve"> https://doi.org/10.1016/j.econmod.2020.07.005</w:t>
        </w:r>
      </w:hyperlink>
      <w:r w:rsidRPr="00B62207">
        <w:rPr>
          <w:rFonts w:ascii="Times New Roman" w:hAnsi="Times New Roman" w:cs="Times New Roman"/>
          <w:sz w:val="22"/>
          <w:szCs w:val="22"/>
        </w:rPr>
        <w:t xml:space="preserve"> </w:t>
      </w:r>
    </w:p>
    <w:p w14:paraId="09A03E21" w14:textId="59F625CC"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Zhang, X., Ouyang, R., Liu, D., &amp; Xu, L. (2020b). Determinants of corporate default risk in China: The role of financial constraints. </w:t>
      </w:r>
      <w:r w:rsidRPr="00B62207">
        <w:rPr>
          <w:rFonts w:ascii="Times New Roman" w:hAnsi="Times New Roman" w:cs="Times New Roman"/>
          <w:i/>
          <w:iCs/>
          <w:sz w:val="22"/>
          <w:szCs w:val="22"/>
          <w:shd w:val="clear" w:color="auto" w:fill="FFFFFF"/>
        </w:rPr>
        <w:t>Economic Modelling</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92</w:t>
      </w:r>
      <w:r w:rsidRPr="00B62207">
        <w:rPr>
          <w:rFonts w:ascii="Times New Roman" w:hAnsi="Times New Roman" w:cs="Times New Roman"/>
          <w:sz w:val="22"/>
          <w:szCs w:val="22"/>
          <w:shd w:val="clear" w:color="auto" w:fill="FFFFFF"/>
        </w:rPr>
        <w:t xml:space="preserve">, 87-98. </w:t>
      </w:r>
      <w:hyperlink r:id="rId49" w:history="1">
        <w:r w:rsidRPr="00B62207">
          <w:rPr>
            <w:rStyle w:val="Hyperlink"/>
            <w:rFonts w:ascii="Times New Roman" w:hAnsi="Times New Roman" w:cs="Times New Roman"/>
            <w:color w:val="auto"/>
            <w:sz w:val="22"/>
            <w:szCs w:val="22"/>
          </w:rPr>
          <w:t xml:space="preserve"> https://doi.org/10.1016/j.econmod.2020.07.005</w:t>
        </w:r>
      </w:hyperlink>
    </w:p>
    <w:p w14:paraId="637C2252" w14:textId="77777777" w:rsidR="002A2F93" w:rsidRPr="00B62207" w:rsidRDefault="002A2F93" w:rsidP="005E2333">
      <w:pPr>
        <w:pStyle w:val="NormalWeb"/>
        <w:spacing w:before="0" w:beforeAutospacing="0" w:after="160" w:afterAutospacing="0" w:line="480" w:lineRule="auto"/>
        <w:rPr>
          <w:sz w:val="22"/>
          <w:szCs w:val="22"/>
        </w:rPr>
      </w:pPr>
      <w:r w:rsidRPr="00B62207">
        <w:rPr>
          <w:sz w:val="22"/>
          <w:szCs w:val="22"/>
          <w:shd w:val="clear" w:color="auto" w:fill="FFFFFF"/>
        </w:rPr>
        <w:t>Zhang, X., Ouyang, R., Liu, D., &amp; Xu, L. (2020c). Determinants of corporate default risk in China: The role of financial constraints. </w:t>
      </w:r>
      <w:r w:rsidRPr="00B62207">
        <w:rPr>
          <w:i/>
          <w:iCs/>
          <w:sz w:val="22"/>
          <w:szCs w:val="22"/>
          <w:shd w:val="clear" w:color="auto" w:fill="FFFFFF"/>
        </w:rPr>
        <w:t>Economic Modelling</w:t>
      </w:r>
      <w:r w:rsidRPr="00B62207">
        <w:rPr>
          <w:sz w:val="22"/>
          <w:szCs w:val="22"/>
          <w:shd w:val="clear" w:color="auto" w:fill="FFFFFF"/>
        </w:rPr>
        <w:t>, </w:t>
      </w:r>
      <w:r w:rsidRPr="00B62207">
        <w:rPr>
          <w:i/>
          <w:iCs/>
          <w:sz w:val="22"/>
          <w:szCs w:val="22"/>
          <w:shd w:val="clear" w:color="auto" w:fill="FFFFFF"/>
        </w:rPr>
        <w:t>92</w:t>
      </w:r>
      <w:r w:rsidRPr="00B62207">
        <w:rPr>
          <w:sz w:val="22"/>
          <w:szCs w:val="22"/>
          <w:shd w:val="clear" w:color="auto" w:fill="FFFFFF"/>
        </w:rPr>
        <w:t xml:space="preserve">, 87-98. </w:t>
      </w:r>
      <w:hyperlink r:id="rId50" w:history="1">
        <w:r w:rsidRPr="00B62207">
          <w:rPr>
            <w:rStyle w:val="Hyperlink"/>
            <w:color w:val="auto"/>
            <w:sz w:val="22"/>
            <w:szCs w:val="22"/>
          </w:rPr>
          <w:t xml:space="preserve"> https://doi.org/10.1016/j.econmod.2020.07.005</w:t>
        </w:r>
      </w:hyperlink>
    </w:p>
    <w:p w14:paraId="2C3D95AE" w14:textId="77777777" w:rsidR="002A2F93" w:rsidRPr="00B62207" w:rsidRDefault="002A2F93" w:rsidP="005E2333">
      <w:pPr>
        <w:spacing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Zhang, X., Ouyang, R., Liu, D., &amp; Xu, L. (2020d). Determinants of corporate default risk in China: The role of financial constraints. </w:t>
      </w:r>
      <w:r w:rsidRPr="00B62207">
        <w:rPr>
          <w:rFonts w:ascii="Times New Roman" w:hAnsi="Times New Roman" w:cs="Times New Roman"/>
          <w:i/>
          <w:iCs/>
          <w:sz w:val="22"/>
          <w:szCs w:val="22"/>
          <w:shd w:val="clear" w:color="auto" w:fill="FFFFFF"/>
        </w:rPr>
        <w:t>Economic Modelling</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92</w:t>
      </w:r>
      <w:r w:rsidRPr="00B62207">
        <w:rPr>
          <w:rFonts w:ascii="Times New Roman" w:hAnsi="Times New Roman" w:cs="Times New Roman"/>
          <w:sz w:val="22"/>
          <w:szCs w:val="22"/>
          <w:shd w:val="clear" w:color="auto" w:fill="FFFFFF"/>
        </w:rPr>
        <w:t xml:space="preserve">, 87-98. </w:t>
      </w:r>
      <w:hyperlink r:id="rId51" w:history="1">
        <w:r w:rsidRPr="00B62207">
          <w:rPr>
            <w:rStyle w:val="Hyperlink"/>
            <w:rFonts w:ascii="Times New Roman" w:hAnsi="Times New Roman" w:cs="Times New Roman"/>
            <w:color w:val="auto"/>
            <w:sz w:val="22"/>
            <w:szCs w:val="22"/>
          </w:rPr>
          <w:t xml:space="preserve"> https://doi.org/10.1016/j.econmod.2020.07.005</w:t>
        </w:r>
      </w:hyperlink>
    </w:p>
    <w:p w14:paraId="51A411A5" w14:textId="77777777" w:rsidR="002A2F93" w:rsidRPr="00B62207" w:rsidRDefault="002A2F93" w:rsidP="005E2333">
      <w:pPr>
        <w:spacing w:after="0"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Zhang, X., Ouyang, R., Liu, D., &amp; Xu, L. (2020e). Determinants of corporate default risk in China: The role of financial constraints. </w:t>
      </w:r>
      <w:r w:rsidRPr="00B62207">
        <w:rPr>
          <w:rFonts w:ascii="Times New Roman" w:hAnsi="Times New Roman" w:cs="Times New Roman"/>
          <w:i/>
          <w:iCs/>
          <w:sz w:val="22"/>
          <w:szCs w:val="22"/>
          <w:shd w:val="clear" w:color="auto" w:fill="FFFFFF"/>
        </w:rPr>
        <w:t>Economic Modelling</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92</w:t>
      </w:r>
      <w:r w:rsidRPr="00B62207">
        <w:rPr>
          <w:rFonts w:ascii="Times New Roman" w:hAnsi="Times New Roman" w:cs="Times New Roman"/>
          <w:sz w:val="22"/>
          <w:szCs w:val="22"/>
          <w:shd w:val="clear" w:color="auto" w:fill="FFFFFF"/>
        </w:rPr>
        <w:t xml:space="preserve">, 87-98. </w:t>
      </w:r>
      <w:hyperlink r:id="rId52" w:history="1">
        <w:r w:rsidRPr="00B62207">
          <w:rPr>
            <w:rStyle w:val="Hyperlink"/>
            <w:rFonts w:ascii="Times New Roman" w:hAnsi="Times New Roman" w:cs="Times New Roman"/>
            <w:color w:val="auto"/>
            <w:sz w:val="22"/>
            <w:szCs w:val="22"/>
          </w:rPr>
          <w:t xml:space="preserve"> https://doi.org/10.1016/j.econmod.2020.07.005</w:t>
        </w:r>
      </w:hyperlink>
    </w:p>
    <w:p w14:paraId="3706778B" w14:textId="77777777" w:rsidR="00A379F8" w:rsidRPr="00B62207" w:rsidRDefault="00A379F8" w:rsidP="005E2333">
      <w:pPr>
        <w:spacing w:after="0" w:line="480" w:lineRule="auto"/>
        <w:rPr>
          <w:rFonts w:ascii="Times New Roman" w:hAnsi="Times New Roman" w:cs="Times New Roman"/>
          <w:sz w:val="22"/>
          <w:szCs w:val="22"/>
        </w:rPr>
      </w:pPr>
    </w:p>
    <w:p w14:paraId="7186A799" w14:textId="58D749CD" w:rsidR="00C07D28" w:rsidRPr="00B62207" w:rsidRDefault="00C07D28" w:rsidP="005E2333">
      <w:pPr>
        <w:spacing w:after="0" w:line="480" w:lineRule="auto"/>
        <w:rPr>
          <w:rFonts w:ascii="Times New Roman" w:hAnsi="Times New Roman" w:cs="Times New Roman"/>
          <w:sz w:val="22"/>
          <w:szCs w:val="22"/>
          <w:shd w:val="clear" w:color="auto" w:fill="FFFFFF"/>
        </w:rPr>
      </w:pPr>
      <w:r w:rsidRPr="00B62207">
        <w:rPr>
          <w:rFonts w:ascii="Times New Roman" w:hAnsi="Times New Roman" w:cs="Times New Roman"/>
          <w:sz w:val="22"/>
          <w:szCs w:val="22"/>
          <w:shd w:val="clear" w:color="auto" w:fill="FFFFFF"/>
        </w:rPr>
        <w:t>Zhang, X., Ouyang, R., Liu, D., &amp; Xu, L. (2020f). Determinants of corporate default risk in China: The role of financial constraints. </w:t>
      </w:r>
      <w:r w:rsidRPr="00B62207">
        <w:rPr>
          <w:rFonts w:ascii="Times New Roman" w:hAnsi="Times New Roman" w:cs="Times New Roman"/>
          <w:i/>
          <w:iCs/>
          <w:sz w:val="22"/>
          <w:szCs w:val="22"/>
          <w:shd w:val="clear" w:color="auto" w:fill="FFFFFF"/>
        </w:rPr>
        <w:t>Economic Modelling</w:t>
      </w:r>
      <w:r w:rsidRPr="00B62207">
        <w:rPr>
          <w:rFonts w:ascii="Times New Roman" w:hAnsi="Times New Roman" w:cs="Times New Roman"/>
          <w:sz w:val="22"/>
          <w:szCs w:val="22"/>
          <w:shd w:val="clear" w:color="auto" w:fill="FFFFFF"/>
        </w:rPr>
        <w:t>, </w:t>
      </w:r>
      <w:r w:rsidRPr="00B62207">
        <w:rPr>
          <w:rFonts w:ascii="Times New Roman" w:hAnsi="Times New Roman" w:cs="Times New Roman"/>
          <w:i/>
          <w:iCs/>
          <w:sz w:val="22"/>
          <w:szCs w:val="22"/>
          <w:shd w:val="clear" w:color="auto" w:fill="FFFFFF"/>
        </w:rPr>
        <w:t>92</w:t>
      </w:r>
      <w:r w:rsidRPr="00B62207">
        <w:rPr>
          <w:rFonts w:ascii="Times New Roman" w:hAnsi="Times New Roman" w:cs="Times New Roman"/>
          <w:sz w:val="22"/>
          <w:szCs w:val="22"/>
          <w:shd w:val="clear" w:color="auto" w:fill="FFFFFF"/>
        </w:rPr>
        <w:t xml:space="preserve">, 87-98. </w:t>
      </w:r>
      <w:hyperlink r:id="rId53" w:history="1">
        <w:r w:rsidRPr="00B62207">
          <w:rPr>
            <w:rStyle w:val="Hyperlink"/>
            <w:rFonts w:ascii="Times New Roman" w:hAnsi="Times New Roman" w:cs="Times New Roman"/>
            <w:color w:val="auto"/>
            <w:sz w:val="22"/>
            <w:szCs w:val="22"/>
          </w:rPr>
          <w:t xml:space="preserve"> https://doi.org/10.1016/j.econmod.2020.07.005</w:t>
        </w:r>
      </w:hyperlink>
    </w:p>
    <w:p w14:paraId="302E9762" w14:textId="77777777" w:rsidR="00EB38A9" w:rsidRPr="00B62207" w:rsidRDefault="00EB38A9" w:rsidP="005E2333">
      <w:pPr>
        <w:spacing w:line="480" w:lineRule="auto"/>
        <w:rPr>
          <w:rFonts w:ascii="Times New Roman" w:hAnsi="Times New Roman" w:cs="Times New Roman"/>
          <w:sz w:val="22"/>
          <w:szCs w:val="22"/>
        </w:rPr>
      </w:pPr>
    </w:p>
    <w:sectPr w:rsidR="00EB38A9" w:rsidRPr="00B62207" w:rsidSect="0091192C">
      <w:pgSz w:w="11906" w:h="16838"/>
      <w:pgMar w:top="1440" w:right="1440" w:bottom="1440" w:left="1440" w:header="709" w:footer="709" w:gutter="0"/>
      <w:cols w:space="11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197B0" w14:textId="77777777" w:rsidR="00394DC6" w:rsidRDefault="00394DC6" w:rsidP="00771E2B">
      <w:pPr>
        <w:spacing w:after="0" w:line="240" w:lineRule="auto"/>
        <w:rPr>
          <w:rFonts w:hint="eastAsia"/>
        </w:rPr>
      </w:pPr>
      <w:r>
        <w:separator/>
      </w:r>
    </w:p>
  </w:endnote>
  <w:endnote w:type="continuationSeparator" w:id="0">
    <w:p w14:paraId="1432BEA9" w14:textId="77777777" w:rsidR="00394DC6" w:rsidRDefault="00394DC6" w:rsidP="00771E2B">
      <w:pPr>
        <w:spacing w:after="0" w:line="240" w:lineRule="auto"/>
        <w:rPr>
          <w:rFonts w:hint="eastAsia"/>
        </w:rPr>
      </w:pPr>
      <w:r>
        <w:continuationSeparator/>
      </w:r>
    </w:p>
  </w:endnote>
  <w:endnote w:type="continuationNotice" w:id="1">
    <w:p w14:paraId="2FD1C644" w14:textId="77777777" w:rsidR="00394DC6" w:rsidRDefault="00394DC6">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8C79" w14:textId="77777777" w:rsidR="00394DC6" w:rsidRDefault="00394DC6" w:rsidP="00771E2B">
      <w:pPr>
        <w:spacing w:after="0" w:line="240" w:lineRule="auto"/>
        <w:rPr>
          <w:rFonts w:hint="eastAsia"/>
        </w:rPr>
      </w:pPr>
      <w:r>
        <w:separator/>
      </w:r>
    </w:p>
  </w:footnote>
  <w:footnote w:type="continuationSeparator" w:id="0">
    <w:p w14:paraId="34563D8C" w14:textId="77777777" w:rsidR="00394DC6" w:rsidRDefault="00394DC6" w:rsidP="00771E2B">
      <w:pPr>
        <w:spacing w:after="0" w:line="240" w:lineRule="auto"/>
        <w:rPr>
          <w:rFonts w:hint="eastAsia"/>
        </w:rPr>
      </w:pPr>
      <w:r>
        <w:continuationSeparator/>
      </w:r>
    </w:p>
  </w:footnote>
  <w:footnote w:type="continuationNotice" w:id="1">
    <w:p w14:paraId="3E1956B2" w14:textId="77777777" w:rsidR="00394DC6" w:rsidRDefault="00394DC6">
      <w:pPr>
        <w:spacing w:after="0" w:line="240" w:lineRule="auto"/>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A211A"/>
    <w:multiLevelType w:val="singleLevel"/>
    <w:tmpl w:val="26E0CF04"/>
    <w:lvl w:ilvl="0">
      <w:start w:val="1"/>
      <w:numFmt w:val="bullet"/>
      <w:lvlText w:val=""/>
      <w:lvlJc w:val="left"/>
      <w:pPr>
        <w:ind w:left="1305" w:firstLine="0"/>
      </w:pPr>
      <w:rPr>
        <w:rFonts w:ascii="Symbol" w:eastAsia="Symbol" w:hAnsi="Symbol"/>
        <w:b w:val="0"/>
        <w:i w:val="0"/>
        <w:color w:val="000000"/>
        <w:sz w:val="16"/>
        <w:szCs w:val="16"/>
      </w:rPr>
    </w:lvl>
  </w:abstractNum>
  <w:abstractNum w:abstractNumId="1" w15:restartNumberingAfterBreak="0">
    <w:nsid w:val="45896B50"/>
    <w:multiLevelType w:val="hybridMultilevel"/>
    <w:tmpl w:val="5018FF2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76671265">
    <w:abstractNumId w:val="1"/>
  </w:num>
  <w:num w:numId="2" w16cid:durableId="20907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E45"/>
    <w:rsid w:val="00002C72"/>
    <w:rsid w:val="00002D39"/>
    <w:rsid w:val="000068EF"/>
    <w:rsid w:val="00010701"/>
    <w:rsid w:val="0001467D"/>
    <w:rsid w:val="00036260"/>
    <w:rsid w:val="0003634F"/>
    <w:rsid w:val="000446EF"/>
    <w:rsid w:val="0005069C"/>
    <w:rsid w:val="00054930"/>
    <w:rsid w:val="00072F6D"/>
    <w:rsid w:val="000773B8"/>
    <w:rsid w:val="00083CE3"/>
    <w:rsid w:val="00087539"/>
    <w:rsid w:val="000922EC"/>
    <w:rsid w:val="00095399"/>
    <w:rsid w:val="000962C3"/>
    <w:rsid w:val="000965CF"/>
    <w:rsid w:val="000A09A3"/>
    <w:rsid w:val="000A225C"/>
    <w:rsid w:val="000A7B19"/>
    <w:rsid w:val="000B2B5A"/>
    <w:rsid w:val="000B48C1"/>
    <w:rsid w:val="000B6BD5"/>
    <w:rsid w:val="000C49CF"/>
    <w:rsid w:val="000D172E"/>
    <w:rsid w:val="000D1C49"/>
    <w:rsid w:val="000D4FA3"/>
    <w:rsid w:val="00100B92"/>
    <w:rsid w:val="00105DCB"/>
    <w:rsid w:val="00112668"/>
    <w:rsid w:val="001137E7"/>
    <w:rsid w:val="00116918"/>
    <w:rsid w:val="00116F5C"/>
    <w:rsid w:val="00120209"/>
    <w:rsid w:val="00125630"/>
    <w:rsid w:val="00125E82"/>
    <w:rsid w:val="00127EB8"/>
    <w:rsid w:val="0013269D"/>
    <w:rsid w:val="00132A59"/>
    <w:rsid w:val="00155ED6"/>
    <w:rsid w:val="001618B9"/>
    <w:rsid w:val="00181E94"/>
    <w:rsid w:val="00183DC2"/>
    <w:rsid w:val="00185D71"/>
    <w:rsid w:val="00186296"/>
    <w:rsid w:val="0019031C"/>
    <w:rsid w:val="00195458"/>
    <w:rsid w:val="00196E12"/>
    <w:rsid w:val="001A042C"/>
    <w:rsid w:val="001A53BC"/>
    <w:rsid w:val="001B12F0"/>
    <w:rsid w:val="001C7DEC"/>
    <w:rsid w:val="001D27B5"/>
    <w:rsid w:val="001E006B"/>
    <w:rsid w:val="001E561C"/>
    <w:rsid w:val="001F49F3"/>
    <w:rsid w:val="00204F10"/>
    <w:rsid w:val="00206225"/>
    <w:rsid w:val="00216F6D"/>
    <w:rsid w:val="0022003B"/>
    <w:rsid w:val="0022142A"/>
    <w:rsid w:val="002218DE"/>
    <w:rsid w:val="002252D6"/>
    <w:rsid w:val="002264C5"/>
    <w:rsid w:val="0023116A"/>
    <w:rsid w:val="00233DAE"/>
    <w:rsid w:val="00247059"/>
    <w:rsid w:val="00251796"/>
    <w:rsid w:val="002548CE"/>
    <w:rsid w:val="0025732A"/>
    <w:rsid w:val="00262B73"/>
    <w:rsid w:val="00274617"/>
    <w:rsid w:val="00281497"/>
    <w:rsid w:val="00284AD6"/>
    <w:rsid w:val="00286FD1"/>
    <w:rsid w:val="0029222B"/>
    <w:rsid w:val="002A1080"/>
    <w:rsid w:val="002A2F93"/>
    <w:rsid w:val="002A49EC"/>
    <w:rsid w:val="002A6BF1"/>
    <w:rsid w:val="002B26B0"/>
    <w:rsid w:val="002B397C"/>
    <w:rsid w:val="002D50BB"/>
    <w:rsid w:val="002F07F0"/>
    <w:rsid w:val="002F09CF"/>
    <w:rsid w:val="002F2654"/>
    <w:rsid w:val="002F275D"/>
    <w:rsid w:val="002F4CF6"/>
    <w:rsid w:val="002F65C8"/>
    <w:rsid w:val="00301608"/>
    <w:rsid w:val="0030261A"/>
    <w:rsid w:val="003026A0"/>
    <w:rsid w:val="00302951"/>
    <w:rsid w:val="003037F0"/>
    <w:rsid w:val="00312985"/>
    <w:rsid w:val="00320828"/>
    <w:rsid w:val="003220AF"/>
    <w:rsid w:val="0035302D"/>
    <w:rsid w:val="00361760"/>
    <w:rsid w:val="00365EAC"/>
    <w:rsid w:val="00366FB2"/>
    <w:rsid w:val="00371FFF"/>
    <w:rsid w:val="00373974"/>
    <w:rsid w:val="003777E1"/>
    <w:rsid w:val="00382E58"/>
    <w:rsid w:val="003914AD"/>
    <w:rsid w:val="00394DC6"/>
    <w:rsid w:val="003955B2"/>
    <w:rsid w:val="003967D3"/>
    <w:rsid w:val="00396CF1"/>
    <w:rsid w:val="00396E55"/>
    <w:rsid w:val="00396E56"/>
    <w:rsid w:val="003A0E44"/>
    <w:rsid w:val="003A2991"/>
    <w:rsid w:val="003A7242"/>
    <w:rsid w:val="003A78EA"/>
    <w:rsid w:val="003B0F2B"/>
    <w:rsid w:val="003B425B"/>
    <w:rsid w:val="003B4B44"/>
    <w:rsid w:val="003B51D6"/>
    <w:rsid w:val="003B70AD"/>
    <w:rsid w:val="003B7B7A"/>
    <w:rsid w:val="003C0CC9"/>
    <w:rsid w:val="003C27BA"/>
    <w:rsid w:val="003C58FF"/>
    <w:rsid w:val="003D41AE"/>
    <w:rsid w:val="003D4F0D"/>
    <w:rsid w:val="003F0707"/>
    <w:rsid w:val="003F2555"/>
    <w:rsid w:val="003F51E0"/>
    <w:rsid w:val="003F5AA6"/>
    <w:rsid w:val="004030E6"/>
    <w:rsid w:val="004131CF"/>
    <w:rsid w:val="00421E9B"/>
    <w:rsid w:val="004251D6"/>
    <w:rsid w:val="00425810"/>
    <w:rsid w:val="00427E4C"/>
    <w:rsid w:val="0044288E"/>
    <w:rsid w:val="00447EB3"/>
    <w:rsid w:val="00462803"/>
    <w:rsid w:val="004659F6"/>
    <w:rsid w:val="00471D0E"/>
    <w:rsid w:val="00472F88"/>
    <w:rsid w:val="004750F6"/>
    <w:rsid w:val="00476C27"/>
    <w:rsid w:val="004866B2"/>
    <w:rsid w:val="00497A2E"/>
    <w:rsid w:val="004A4A55"/>
    <w:rsid w:val="004A744A"/>
    <w:rsid w:val="004B0EC3"/>
    <w:rsid w:val="004B40D2"/>
    <w:rsid w:val="004B5ADD"/>
    <w:rsid w:val="004C0194"/>
    <w:rsid w:val="004C0F79"/>
    <w:rsid w:val="004C672D"/>
    <w:rsid w:val="004D6C13"/>
    <w:rsid w:val="004E2126"/>
    <w:rsid w:val="004F76BD"/>
    <w:rsid w:val="0051277A"/>
    <w:rsid w:val="00513724"/>
    <w:rsid w:val="00515631"/>
    <w:rsid w:val="0052081F"/>
    <w:rsid w:val="00553759"/>
    <w:rsid w:val="00561281"/>
    <w:rsid w:val="00561E37"/>
    <w:rsid w:val="00564A50"/>
    <w:rsid w:val="00565403"/>
    <w:rsid w:val="005768F9"/>
    <w:rsid w:val="005800F7"/>
    <w:rsid w:val="0058243E"/>
    <w:rsid w:val="0058580D"/>
    <w:rsid w:val="0059323F"/>
    <w:rsid w:val="00595AB5"/>
    <w:rsid w:val="00597FEE"/>
    <w:rsid w:val="005A04D8"/>
    <w:rsid w:val="005A0E78"/>
    <w:rsid w:val="005B0931"/>
    <w:rsid w:val="005B4B04"/>
    <w:rsid w:val="005B66FA"/>
    <w:rsid w:val="005B68CD"/>
    <w:rsid w:val="005B71F5"/>
    <w:rsid w:val="005C33D7"/>
    <w:rsid w:val="005D1E7A"/>
    <w:rsid w:val="005D3BDE"/>
    <w:rsid w:val="005D4AC3"/>
    <w:rsid w:val="005D5B29"/>
    <w:rsid w:val="005E2333"/>
    <w:rsid w:val="005E5D8F"/>
    <w:rsid w:val="00602D94"/>
    <w:rsid w:val="00605FCE"/>
    <w:rsid w:val="0061025C"/>
    <w:rsid w:val="0061738C"/>
    <w:rsid w:val="00630A6D"/>
    <w:rsid w:val="00634136"/>
    <w:rsid w:val="0063669D"/>
    <w:rsid w:val="00641D39"/>
    <w:rsid w:val="0064300D"/>
    <w:rsid w:val="00643DF5"/>
    <w:rsid w:val="00662AC8"/>
    <w:rsid w:val="006663C8"/>
    <w:rsid w:val="0067304F"/>
    <w:rsid w:val="006767DA"/>
    <w:rsid w:val="00677050"/>
    <w:rsid w:val="00694929"/>
    <w:rsid w:val="00697820"/>
    <w:rsid w:val="006A265D"/>
    <w:rsid w:val="006A51F3"/>
    <w:rsid w:val="006B3600"/>
    <w:rsid w:val="006C6874"/>
    <w:rsid w:val="006C6D87"/>
    <w:rsid w:val="006F7373"/>
    <w:rsid w:val="00700941"/>
    <w:rsid w:val="007031E4"/>
    <w:rsid w:val="007035D9"/>
    <w:rsid w:val="00705D66"/>
    <w:rsid w:val="00713295"/>
    <w:rsid w:val="007200AD"/>
    <w:rsid w:val="0072048F"/>
    <w:rsid w:val="007223ED"/>
    <w:rsid w:val="00727EA6"/>
    <w:rsid w:val="00730265"/>
    <w:rsid w:val="00735501"/>
    <w:rsid w:val="00746007"/>
    <w:rsid w:val="00751D9A"/>
    <w:rsid w:val="007609AF"/>
    <w:rsid w:val="00760C83"/>
    <w:rsid w:val="00763DE3"/>
    <w:rsid w:val="00765F26"/>
    <w:rsid w:val="00766303"/>
    <w:rsid w:val="00771E2B"/>
    <w:rsid w:val="00780F8D"/>
    <w:rsid w:val="00780FB7"/>
    <w:rsid w:val="00783544"/>
    <w:rsid w:val="00785189"/>
    <w:rsid w:val="00787E0D"/>
    <w:rsid w:val="0079083B"/>
    <w:rsid w:val="00790E81"/>
    <w:rsid w:val="00793017"/>
    <w:rsid w:val="00794222"/>
    <w:rsid w:val="007A0751"/>
    <w:rsid w:val="007A796F"/>
    <w:rsid w:val="007B57EB"/>
    <w:rsid w:val="007D0E49"/>
    <w:rsid w:val="007E70F2"/>
    <w:rsid w:val="007E7FFC"/>
    <w:rsid w:val="007F5ECB"/>
    <w:rsid w:val="007F6F44"/>
    <w:rsid w:val="007F7630"/>
    <w:rsid w:val="00803825"/>
    <w:rsid w:val="00803C62"/>
    <w:rsid w:val="0080428D"/>
    <w:rsid w:val="0080434D"/>
    <w:rsid w:val="00807757"/>
    <w:rsid w:val="0081011B"/>
    <w:rsid w:val="00814624"/>
    <w:rsid w:val="008149EA"/>
    <w:rsid w:val="00822BDD"/>
    <w:rsid w:val="00824BC5"/>
    <w:rsid w:val="00850047"/>
    <w:rsid w:val="00851315"/>
    <w:rsid w:val="00852E7C"/>
    <w:rsid w:val="00854A74"/>
    <w:rsid w:val="008555ED"/>
    <w:rsid w:val="008557AD"/>
    <w:rsid w:val="00871678"/>
    <w:rsid w:val="008932D3"/>
    <w:rsid w:val="008A7FA3"/>
    <w:rsid w:val="008B107D"/>
    <w:rsid w:val="008B333A"/>
    <w:rsid w:val="008B4E80"/>
    <w:rsid w:val="008C0928"/>
    <w:rsid w:val="008D6655"/>
    <w:rsid w:val="008E01ED"/>
    <w:rsid w:val="008E7777"/>
    <w:rsid w:val="008F1414"/>
    <w:rsid w:val="008F2C0E"/>
    <w:rsid w:val="00900C8A"/>
    <w:rsid w:val="00901842"/>
    <w:rsid w:val="009029BC"/>
    <w:rsid w:val="00905A5D"/>
    <w:rsid w:val="00906604"/>
    <w:rsid w:val="0091192C"/>
    <w:rsid w:val="00921509"/>
    <w:rsid w:val="009215BC"/>
    <w:rsid w:val="00923FEF"/>
    <w:rsid w:val="00924559"/>
    <w:rsid w:val="00926B73"/>
    <w:rsid w:val="009277A1"/>
    <w:rsid w:val="00953D54"/>
    <w:rsid w:val="009604D6"/>
    <w:rsid w:val="009664D5"/>
    <w:rsid w:val="00972F5A"/>
    <w:rsid w:val="00984806"/>
    <w:rsid w:val="009A03DA"/>
    <w:rsid w:val="009A55BB"/>
    <w:rsid w:val="009C2BB5"/>
    <w:rsid w:val="009C33D4"/>
    <w:rsid w:val="009E4017"/>
    <w:rsid w:val="009F07D4"/>
    <w:rsid w:val="009F0D17"/>
    <w:rsid w:val="009F259A"/>
    <w:rsid w:val="009F3697"/>
    <w:rsid w:val="00A10D14"/>
    <w:rsid w:val="00A11D13"/>
    <w:rsid w:val="00A13795"/>
    <w:rsid w:val="00A17D05"/>
    <w:rsid w:val="00A379F8"/>
    <w:rsid w:val="00A547F9"/>
    <w:rsid w:val="00A6219E"/>
    <w:rsid w:val="00A633FC"/>
    <w:rsid w:val="00A670E8"/>
    <w:rsid w:val="00A74723"/>
    <w:rsid w:val="00A74E1F"/>
    <w:rsid w:val="00A83AAB"/>
    <w:rsid w:val="00A908E5"/>
    <w:rsid w:val="00A95B3C"/>
    <w:rsid w:val="00AA2599"/>
    <w:rsid w:val="00AA3F9A"/>
    <w:rsid w:val="00AA7E9A"/>
    <w:rsid w:val="00AB166A"/>
    <w:rsid w:val="00AB40B4"/>
    <w:rsid w:val="00AC2A5A"/>
    <w:rsid w:val="00AC6319"/>
    <w:rsid w:val="00AD0493"/>
    <w:rsid w:val="00AD22BC"/>
    <w:rsid w:val="00AD2512"/>
    <w:rsid w:val="00AE6938"/>
    <w:rsid w:val="00AE7F0F"/>
    <w:rsid w:val="00AF469F"/>
    <w:rsid w:val="00B07468"/>
    <w:rsid w:val="00B12173"/>
    <w:rsid w:val="00B15EF1"/>
    <w:rsid w:val="00B1628C"/>
    <w:rsid w:val="00B23A85"/>
    <w:rsid w:val="00B275B2"/>
    <w:rsid w:val="00B368CE"/>
    <w:rsid w:val="00B6044A"/>
    <w:rsid w:val="00B62207"/>
    <w:rsid w:val="00B72178"/>
    <w:rsid w:val="00B75149"/>
    <w:rsid w:val="00B8074B"/>
    <w:rsid w:val="00B8570C"/>
    <w:rsid w:val="00B93336"/>
    <w:rsid w:val="00BB1E75"/>
    <w:rsid w:val="00BB7786"/>
    <w:rsid w:val="00BC5847"/>
    <w:rsid w:val="00BC7BF8"/>
    <w:rsid w:val="00BD0277"/>
    <w:rsid w:val="00BD4685"/>
    <w:rsid w:val="00BD47F7"/>
    <w:rsid w:val="00BD50E6"/>
    <w:rsid w:val="00BD5F71"/>
    <w:rsid w:val="00BD60E0"/>
    <w:rsid w:val="00BE140E"/>
    <w:rsid w:val="00BE329A"/>
    <w:rsid w:val="00BE79B2"/>
    <w:rsid w:val="00C01108"/>
    <w:rsid w:val="00C07D28"/>
    <w:rsid w:val="00C117CE"/>
    <w:rsid w:val="00C14834"/>
    <w:rsid w:val="00C175D1"/>
    <w:rsid w:val="00C258FB"/>
    <w:rsid w:val="00C26205"/>
    <w:rsid w:val="00C2636C"/>
    <w:rsid w:val="00C276BC"/>
    <w:rsid w:val="00C326F0"/>
    <w:rsid w:val="00C327FB"/>
    <w:rsid w:val="00C55E45"/>
    <w:rsid w:val="00C5683F"/>
    <w:rsid w:val="00C629A7"/>
    <w:rsid w:val="00C633F6"/>
    <w:rsid w:val="00C64AE3"/>
    <w:rsid w:val="00C730D0"/>
    <w:rsid w:val="00C73709"/>
    <w:rsid w:val="00C83DA1"/>
    <w:rsid w:val="00C90580"/>
    <w:rsid w:val="00C931AC"/>
    <w:rsid w:val="00C97281"/>
    <w:rsid w:val="00C97707"/>
    <w:rsid w:val="00CA1FE2"/>
    <w:rsid w:val="00CB0AE3"/>
    <w:rsid w:val="00CC2E54"/>
    <w:rsid w:val="00CC6BAD"/>
    <w:rsid w:val="00CD21F5"/>
    <w:rsid w:val="00CD26AB"/>
    <w:rsid w:val="00CD2C50"/>
    <w:rsid w:val="00CD508A"/>
    <w:rsid w:val="00CE13AE"/>
    <w:rsid w:val="00CE4BA4"/>
    <w:rsid w:val="00D00B09"/>
    <w:rsid w:val="00D13600"/>
    <w:rsid w:val="00D15CD0"/>
    <w:rsid w:val="00D21866"/>
    <w:rsid w:val="00D219A4"/>
    <w:rsid w:val="00D24CD5"/>
    <w:rsid w:val="00D322C3"/>
    <w:rsid w:val="00D378E7"/>
    <w:rsid w:val="00D44D9B"/>
    <w:rsid w:val="00D472FE"/>
    <w:rsid w:val="00D5080F"/>
    <w:rsid w:val="00D6204A"/>
    <w:rsid w:val="00D656BF"/>
    <w:rsid w:val="00D74AD2"/>
    <w:rsid w:val="00D7651B"/>
    <w:rsid w:val="00D80139"/>
    <w:rsid w:val="00D84CB6"/>
    <w:rsid w:val="00D92797"/>
    <w:rsid w:val="00D96917"/>
    <w:rsid w:val="00DA52EF"/>
    <w:rsid w:val="00DC65F1"/>
    <w:rsid w:val="00DD2721"/>
    <w:rsid w:val="00DE04F0"/>
    <w:rsid w:val="00DE43DF"/>
    <w:rsid w:val="00DE451D"/>
    <w:rsid w:val="00DE6493"/>
    <w:rsid w:val="00DF16EB"/>
    <w:rsid w:val="00DF2EE5"/>
    <w:rsid w:val="00E03D23"/>
    <w:rsid w:val="00E064B3"/>
    <w:rsid w:val="00E07DDE"/>
    <w:rsid w:val="00E10CB3"/>
    <w:rsid w:val="00E20793"/>
    <w:rsid w:val="00E218B6"/>
    <w:rsid w:val="00E40C26"/>
    <w:rsid w:val="00E4155D"/>
    <w:rsid w:val="00E43867"/>
    <w:rsid w:val="00E52669"/>
    <w:rsid w:val="00E57DBE"/>
    <w:rsid w:val="00E72E58"/>
    <w:rsid w:val="00E7323B"/>
    <w:rsid w:val="00E742FA"/>
    <w:rsid w:val="00E80422"/>
    <w:rsid w:val="00E8183E"/>
    <w:rsid w:val="00E835DC"/>
    <w:rsid w:val="00E92961"/>
    <w:rsid w:val="00E94900"/>
    <w:rsid w:val="00E97049"/>
    <w:rsid w:val="00EA30BB"/>
    <w:rsid w:val="00EA4C22"/>
    <w:rsid w:val="00EA575C"/>
    <w:rsid w:val="00EA5BD4"/>
    <w:rsid w:val="00EA7BA0"/>
    <w:rsid w:val="00EB0500"/>
    <w:rsid w:val="00EB38A9"/>
    <w:rsid w:val="00EC5D53"/>
    <w:rsid w:val="00ED1DD7"/>
    <w:rsid w:val="00ED39C5"/>
    <w:rsid w:val="00ED3D4A"/>
    <w:rsid w:val="00ED68D9"/>
    <w:rsid w:val="00ED768E"/>
    <w:rsid w:val="00EF00F9"/>
    <w:rsid w:val="00EF222C"/>
    <w:rsid w:val="00EF4031"/>
    <w:rsid w:val="00F0062A"/>
    <w:rsid w:val="00F10771"/>
    <w:rsid w:val="00F12AD8"/>
    <w:rsid w:val="00F17EE8"/>
    <w:rsid w:val="00F22A74"/>
    <w:rsid w:val="00F30FEB"/>
    <w:rsid w:val="00F34A8D"/>
    <w:rsid w:val="00F34AA4"/>
    <w:rsid w:val="00F34B6C"/>
    <w:rsid w:val="00F356DE"/>
    <w:rsid w:val="00F40BF5"/>
    <w:rsid w:val="00F43087"/>
    <w:rsid w:val="00F473FE"/>
    <w:rsid w:val="00F55635"/>
    <w:rsid w:val="00F601E2"/>
    <w:rsid w:val="00F64FDB"/>
    <w:rsid w:val="00F6629F"/>
    <w:rsid w:val="00F675B3"/>
    <w:rsid w:val="00F729D0"/>
    <w:rsid w:val="00F749C0"/>
    <w:rsid w:val="00F75EE8"/>
    <w:rsid w:val="00F8144C"/>
    <w:rsid w:val="00F919CD"/>
    <w:rsid w:val="00F93EDE"/>
    <w:rsid w:val="00FA24ED"/>
    <w:rsid w:val="00FA7804"/>
    <w:rsid w:val="00FB133D"/>
    <w:rsid w:val="00FB187A"/>
    <w:rsid w:val="00FC0D79"/>
    <w:rsid w:val="00FC43CA"/>
    <w:rsid w:val="00FC456A"/>
    <w:rsid w:val="00FD595D"/>
    <w:rsid w:val="00FD7E09"/>
    <w:rsid w:val="00FE14A8"/>
    <w:rsid w:val="00FF0042"/>
    <w:rsid w:val="00FF3AC8"/>
    <w:rsid w:val="00FF7D5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3E95"/>
  <w15:chartTrackingRefBased/>
  <w15:docId w15:val="{475631FB-5140-4F3D-9C96-97316095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D28"/>
  </w:style>
  <w:style w:type="paragraph" w:styleId="Heading1">
    <w:name w:val="heading 1"/>
    <w:basedOn w:val="Normal"/>
    <w:next w:val="Normal"/>
    <w:link w:val="Heading1Char"/>
    <w:uiPriority w:val="9"/>
    <w:qFormat/>
    <w:rsid w:val="00C55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E45"/>
    <w:rPr>
      <w:rFonts w:eastAsiaTheme="majorEastAsia" w:cstheme="majorBidi"/>
      <w:color w:val="272727" w:themeColor="text1" w:themeTint="D8"/>
    </w:rPr>
  </w:style>
  <w:style w:type="paragraph" w:styleId="Title">
    <w:name w:val="Title"/>
    <w:basedOn w:val="Normal"/>
    <w:next w:val="Normal"/>
    <w:link w:val="TitleChar"/>
    <w:uiPriority w:val="10"/>
    <w:qFormat/>
    <w:rsid w:val="00C55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E45"/>
    <w:pPr>
      <w:spacing w:before="160"/>
      <w:jc w:val="center"/>
    </w:pPr>
    <w:rPr>
      <w:i/>
      <w:iCs/>
      <w:color w:val="404040" w:themeColor="text1" w:themeTint="BF"/>
    </w:rPr>
  </w:style>
  <w:style w:type="character" w:customStyle="1" w:styleId="QuoteChar">
    <w:name w:val="Quote Char"/>
    <w:basedOn w:val="DefaultParagraphFont"/>
    <w:link w:val="Quote"/>
    <w:uiPriority w:val="29"/>
    <w:rsid w:val="00C55E45"/>
    <w:rPr>
      <w:i/>
      <w:iCs/>
      <w:color w:val="404040" w:themeColor="text1" w:themeTint="BF"/>
    </w:rPr>
  </w:style>
  <w:style w:type="paragraph" w:styleId="ListParagraph">
    <w:name w:val="List Paragraph"/>
    <w:basedOn w:val="Normal"/>
    <w:uiPriority w:val="34"/>
    <w:qFormat/>
    <w:rsid w:val="00C55E45"/>
    <w:pPr>
      <w:ind w:left="720"/>
      <w:contextualSpacing/>
    </w:pPr>
  </w:style>
  <w:style w:type="character" w:styleId="IntenseEmphasis">
    <w:name w:val="Intense Emphasis"/>
    <w:basedOn w:val="DefaultParagraphFont"/>
    <w:uiPriority w:val="21"/>
    <w:qFormat/>
    <w:rsid w:val="00C55E45"/>
    <w:rPr>
      <w:i/>
      <w:iCs/>
      <w:color w:val="0F4761" w:themeColor="accent1" w:themeShade="BF"/>
    </w:rPr>
  </w:style>
  <w:style w:type="paragraph" w:styleId="IntenseQuote">
    <w:name w:val="Intense Quote"/>
    <w:basedOn w:val="Normal"/>
    <w:next w:val="Normal"/>
    <w:link w:val="IntenseQuoteChar"/>
    <w:uiPriority w:val="30"/>
    <w:qFormat/>
    <w:rsid w:val="00C55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E45"/>
    <w:rPr>
      <w:i/>
      <w:iCs/>
      <w:color w:val="0F4761" w:themeColor="accent1" w:themeShade="BF"/>
    </w:rPr>
  </w:style>
  <w:style w:type="character" w:styleId="IntenseReference">
    <w:name w:val="Intense Reference"/>
    <w:basedOn w:val="DefaultParagraphFont"/>
    <w:uiPriority w:val="32"/>
    <w:qFormat/>
    <w:rsid w:val="00C55E45"/>
    <w:rPr>
      <w:b/>
      <w:bCs/>
      <w:smallCaps/>
      <w:color w:val="0F4761" w:themeColor="accent1" w:themeShade="BF"/>
      <w:spacing w:val="5"/>
    </w:rPr>
  </w:style>
  <w:style w:type="paragraph" w:styleId="NormalWeb">
    <w:name w:val="Normal (Web)"/>
    <w:basedOn w:val="Normal"/>
    <w:uiPriority w:val="99"/>
    <w:unhideWhenUsed/>
    <w:rsid w:val="008B10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A379F8"/>
    <w:rPr>
      <w:color w:val="467886" w:themeColor="hyperlink"/>
      <w:u w:val="single"/>
    </w:rPr>
  </w:style>
  <w:style w:type="character" w:styleId="FollowedHyperlink">
    <w:name w:val="FollowedHyperlink"/>
    <w:basedOn w:val="DefaultParagraphFont"/>
    <w:uiPriority w:val="99"/>
    <w:semiHidden/>
    <w:unhideWhenUsed/>
    <w:rsid w:val="00A379F8"/>
    <w:rPr>
      <w:color w:val="96607D" w:themeColor="followedHyperlink"/>
      <w:u w:val="single"/>
    </w:rPr>
  </w:style>
  <w:style w:type="character" w:styleId="UnresolvedMention">
    <w:name w:val="Unresolved Mention"/>
    <w:basedOn w:val="DefaultParagraphFont"/>
    <w:uiPriority w:val="99"/>
    <w:semiHidden/>
    <w:unhideWhenUsed/>
    <w:rsid w:val="003B0F2B"/>
    <w:rPr>
      <w:color w:val="605E5C"/>
      <w:shd w:val="clear" w:color="auto" w:fill="E1DFDD"/>
    </w:rPr>
  </w:style>
  <w:style w:type="character" w:styleId="SubtleEmphasis">
    <w:name w:val="Subtle Emphasis"/>
    <w:basedOn w:val="DefaultParagraphFont"/>
    <w:uiPriority w:val="19"/>
    <w:qFormat/>
    <w:rsid w:val="00E97049"/>
    <w:rPr>
      <w:i/>
      <w:iCs/>
      <w:color w:val="404040" w:themeColor="text1" w:themeTint="BF"/>
    </w:rPr>
  </w:style>
  <w:style w:type="paragraph" w:styleId="Header">
    <w:name w:val="header"/>
    <w:basedOn w:val="Normal"/>
    <w:link w:val="HeaderChar"/>
    <w:uiPriority w:val="99"/>
    <w:unhideWhenUsed/>
    <w:rsid w:val="00771E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E2B"/>
  </w:style>
  <w:style w:type="paragraph" w:styleId="Footer">
    <w:name w:val="footer"/>
    <w:basedOn w:val="Normal"/>
    <w:link w:val="FooterChar"/>
    <w:uiPriority w:val="99"/>
    <w:unhideWhenUsed/>
    <w:rsid w:val="00771E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E2B"/>
  </w:style>
  <w:style w:type="paragraph" w:customStyle="1" w:styleId="p1">
    <w:name w:val="p1"/>
    <w:basedOn w:val="Normal"/>
    <w:rsid w:val="00771E2B"/>
    <w:pPr>
      <w:spacing w:after="0" w:line="240" w:lineRule="auto"/>
    </w:pPr>
    <w:rPr>
      <w:rFonts w:ascii="Helvetica Neue" w:eastAsia="Times New Roman" w:hAnsi="Helvetica Neue" w:cs="Times New Roman"/>
      <w:color w:val="000000"/>
      <w:kern w:val="0"/>
      <w:lang w:val="en-US"/>
      <w14:ligatures w14:val="none"/>
    </w:rPr>
  </w:style>
  <w:style w:type="paragraph" w:styleId="TOC1">
    <w:name w:val="toc 1"/>
    <w:basedOn w:val="Normal"/>
    <w:next w:val="Normal"/>
    <w:autoRedefine/>
    <w:uiPriority w:val="39"/>
    <w:unhideWhenUsed/>
    <w:rsid w:val="003A2991"/>
    <w:pPr>
      <w:tabs>
        <w:tab w:val="left" w:pos="480"/>
        <w:tab w:val="right" w:leader="dot" w:pos="9016"/>
      </w:tabs>
      <w:spacing w:after="100"/>
      <w:jc w:val="center"/>
    </w:pPr>
    <w:rPr>
      <w:rFonts w:ascii="Times New Roman" w:hAnsi="Times New Roman" w:cs="Times New Roman"/>
      <w:b/>
      <w:bCs/>
      <w:noProof/>
      <w:sz w:val="28"/>
      <w:szCs w:val="28"/>
    </w:rPr>
  </w:style>
  <w:style w:type="paragraph" w:styleId="TableofFigures">
    <w:name w:val="table of figures"/>
    <w:basedOn w:val="Normal"/>
    <w:next w:val="Normal"/>
    <w:uiPriority w:val="99"/>
    <w:unhideWhenUsed/>
    <w:rsid w:val="00BE329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7.png"/><Relationship Id="rId26" Type="http://schemas.openxmlformats.org/officeDocument/2006/relationships/hyperlink" Target="https://doi.org/10.1016/j.jcorpfin.2019.101541?utm_source=chatgpt.com" TargetMode="External"/><Relationship Id="rId39" Type="http://schemas.openxmlformats.org/officeDocument/2006/relationships/hyperlink" Target="https://doi.org/10.1016/S1042-9573(03)00045-7" TargetMode="External"/><Relationship Id="rId21" Type="http://schemas.openxmlformats.org/officeDocument/2006/relationships/image" Target="media/image10.png"/><Relationship Id="rId34" Type="http://schemas.openxmlformats.org/officeDocument/2006/relationships/hyperlink" Target="https://doi.org/10.1016/j.frl.2022.102713" TargetMode="External"/><Relationship Id="rId42" Type="http://schemas.openxmlformats.org/officeDocument/2006/relationships/hyperlink" Target="https://doi.org/10.1016/j.finmar.2020.100597" TargetMode="External"/><Relationship Id="rId47" Type="http://schemas.openxmlformats.org/officeDocument/2006/relationships/hyperlink" Target="https://doi.org/10.1016/S0377-2217(01)00045-5" TargetMode="External"/><Relationship Id="rId50" Type="http://schemas.openxmlformats.org/officeDocument/2006/relationships/hyperlink" Target="https://doi.org/10.1016/j.econmod.2020.07.005?utm_source=chatgpt.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07/s11156-018-0728-6" TargetMode="External"/><Relationship Id="rId11" Type="http://schemas.openxmlformats.org/officeDocument/2006/relationships/customXml" Target="ink/ink1.xml"/><Relationship Id="rId24" Type="http://schemas.openxmlformats.org/officeDocument/2006/relationships/hyperlink" Target="https://doi.org/10.1007/s11142-013-9269-0" TargetMode="External"/><Relationship Id="rId32" Type="http://schemas.openxmlformats.org/officeDocument/2006/relationships/hyperlink" Target="https://doi.org/10.1016/j.frl.2022.102713" TargetMode="External"/><Relationship Id="rId37" Type="http://schemas.openxmlformats.org/officeDocument/2006/relationships/hyperlink" Target="https://doi.org/10.1016/j.jbankfin.2011.05.015" TargetMode="External"/><Relationship Id="rId40" Type="http://schemas.openxmlformats.org/officeDocument/2006/relationships/hyperlink" Target="https://doi.org/10.1016/j.jfs.2014.03.002" TargetMode="External"/><Relationship Id="rId45" Type="http://schemas.openxmlformats.org/officeDocument/2006/relationships/hyperlink" Target="https://doi.org/10.3846/13923730.2013.801886" TargetMode="External"/><Relationship Id="rId53" Type="http://schemas.openxmlformats.org/officeDocument/2006/relationships/hyperlink" Target="https://doi.org/10.1016/j.econmod.2020.07.005?utm_source=chatgpt.com" TargetMode="Externa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yperlink" Target="https://doi.org/10.1016/j.tre.2007.10.005" TargetMode="External"/><Relationship Id="rId44" Type="http://schemas.openxmlformats.org/officeDocument/2006/relationships/hyperlink" Target="https://doi.org/10.3846/13923730.2013.801886" TargetMode="External"/><Relationship Id="rId52" Type="http://schemas.openxmlformats.org/officeDocument/2006/relationships/hyperlink" Target="https://doi.org/10.1016/j.econmod.2020.07.005?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11.png"/><Relationship Id="rId27" Type="http://schemas.openxmlformats.org/officeDocument/2006/relationships/hyperlink" Target="https://doi.org/10.1016/j.jcorpfin.2019.101541?utm_source=chatgpt.com" TargetMode="External"/><Relationship Id="rId30" Type="http://schemas.openxmlformats.org/officeDocument/2006/relationships/hyperlink" Target="https://doi.org/10.1016/j.tre.2007.10.005" TargetMode="External"/><Relationship Id="rId35" Type="http://schemas.openxmlformats.org/officeDocument/2006/relationships/hyperlink" Target="https://doi.org/10.1016/j.jbankfin.2011.05.015" TargetMode="External"/><Relationship Id="rId43" Type="http://schemas.openxmlformats.org/officeDocument/2006/relationships/hyperlink" Target="https://doi.org/10.1007/s11142-024-09861-5" TargetMode="External"/><Relationship Id="rId48" Type="http://schemas.openxmlformats.org/officeDocument/2006/relationships/hyperlink" Target="https://doi.org/10.1016/j.econmod.2020.07.005?utm_source=chatgpt.com" TargetMode="External"/><Relationship Id="rId8" Type="http://schemas.openxmlformats.org/officeDocument/2006/relationships/image" Target="media/image1.png"/><Relationship Id="rId51" Type="http://schemas.openxmlformats.org/officeDocument/2006/relationships/hyperlink" Target="https://doi.org/10.1016/j.econmod.2020.07.005?utm_source=chatgpt.com" TargetMode="External"/><Relationship Id="rId3" Type="http://schemas.openxmlformats.org/officeDocument/2006/relationships/styles" Target="styles.xml"/><Relationship Id="rId12" Type="http://schemas.openxmlformats.org/officeDocument/2006/relationships/image" Target="media/image20.png"/><Relationship Id="rId17" Type="http://schemas.openxmlformats.org/officeDocument/2006/relationships/image" Target="media/image6.png"/><Relationship Id="rId25" Type="http://schemas.openxmlformats.org/officeDocument/2006/relationships/hyperlink" Target="https://doi.org/10.1007/s11142-013-9269-0" TargetMode="External"/><Relationship Id="rId33" Type="http://schemas.openxmlformats.org/officeDocument/2006/relationships/hyperlink" Target="https://doi.org/10.1016/j.frl.2022.102713" TargetMode="External"/><Relationship Id="rId38" Type="http://schemas.openxmlformats.org/officeDocument/2006/relationships/hyperlink" Target="https://doi.org/10.1016/j.jbankfin.2011.05.015" TargetMode="External"/><Relationship Id="rId46" Type="http://schemas.openxmlformats.org/officeDocument/2006/relationships/hyperlink" Target="https://doi.org/10.1016/S0377-2217(01)00045-5" TargetMode="External"/><Relationship Id="rId20" Type="http://schemas.openxmlformats.org/officeDocument/2006/relationships/image" Target="media/image9.png"/><Relationship Id="rId41" Type="http://schemas.openxmlformats.org/officeDocument/2006/relationships/hyperlink" Target="https://doi.org/10.1016/j.jfs.2014.03.002"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16/j.jcorpfin.2019.101541?utm_source=chatgpt.com" TargetMode="External"/><Relationship Id="rId36" Type="http://schemas.openxmlformats.org/officeDocument/2006/relationships/hyperlink" Target="https://doi.org/10.1016/j.jbankfin.2011.05.015" TargetMode="External"/><Relationship Id="rId49" Type="http://schemas.openxmlformats.org/officeDocument/2006/relationships/hyperlink" Target="https://doi.org/10.1016/j.econmod.2020.07.005?utm_source=chatgpt.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03:36:49.921"/>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03:36:49.23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03:36:46.310"/>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C246D-83E2-461C-A66A-079265289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4071</Words>
  <Characters>23205</Characters>
  <Application>Microsoft Office Word</Application>
  <DocSecurity>4</DocSecurity>
  <Lines>193</Lines>
  <Paragraphs>54</Paragraphs>
  <ScaleCrop>false</ScaleCrop>
  <Company/>
  <LinksUpToDate>false</LinksUpToDate>
  <CharactersWithSpaces>27222</CharactersWithSpaces>
  <SharedDoc>false</SharedDoc>
  <HLinks>
    <vt:vector size="276" baseType="variant">
      <vt:variant>
        <vt:i4>2949188</vt:i4>
      </vt:variant>
      <vt:variant>
        <vt:i4>189</vt:i4>
      </vt:variant>
      <vt:variant>
        <vt:i4>0</vt:i4>
      </vt:variant>
      <vt:variant>
        <vt:i4>5</vt:i4>
      </vt:variant>
      <vt:variant>
        <vt:lpwstr>https://doi.org/10.1016/j.econmod.2020.07.005?utm_source=chatgpt.com</vt:lpwstr>
      </vt:variant>
      <vt:variant>
        <vt:lpwstr/>
      </vt:variant>
      <vt:variant>
        <vt:i4>2949188</vt:i4>
      </vt:variant>
      <vt:variant>
        <vt:i4>186</vt:i4>
      </vt:variant>
      <vt:variant>
        <vt:i4>0</vt:i4>
      </vt:variant>
      <vt:variant>
        <vt:i4>5</vt:i4>
      </vt:variant>
      <vt:variant>
        <vt:lpwstr>https://doi.org/10.1016/j.econmod.2020.07.005?utm_source=chatgpt.com</vt:lpwstr>
      </vt:variant>
      <vt:variant>
        <vt:lpwstr/>
      </vt:variant>
      <vt:variant>
        <vt:i4>2949188</vt:i4>
      </vt:variant>
      <vt:variant>
        <vt:i4>183</vt:i4>
      </vt:variant>
      <vt:variant>
        <vt:i4>0</vt:i4>
      </vt:variant>
      <vt:variant>
        <vt:i4>5</vt:i4>
      </vt:variant>
      <vt:variant>
        <vt:lpwstr>https://doi.org/10.1016/j.econmod.2020.07.005?utm_source=chatgpt.com</vt:lpwstr>
      </vt:variant>
      <vt:variant>
        <vt:lpwstr/>
      </vt:variant>
      <vt:variant>
        <vt:i4>2949188</vt:i4>
      </vt:variant>
      <vt:variant>
        <vt:i4>180</vt:i4>
      </vt:variant>
      <vt:variant>
        <vt:i4>0</vt:i4>
      </vt:variant>
      <vt:variant>
        <vt:i4>5</vt:i4>
      </vt:variant>
      <vt:variant>
        <vt:lpwstr>https://doi.org/10.1016/j.econmod.2020.07.005?utm_source=chatgpt.com</vt:lpwstr>
      </vt:variant>
      <vt:variant>
        <vt:lpwstr/>
      </vt:variant>
      <vt:variant>
        <vt:i4>2949188</vt:i4>
      </vt:variant>
      <vt:variant>
        <vt:i4>177</vt:i4>
      </vt:variant>
      <vt:variant>
        <vt:i4>0</vt:i4>
      </vt:variant>
      <vt:variant>
        <vt:i4>5</vt:i4>
      </vt:variant>
      <vt:variant>
        <vt:lpwstr>https://doi.org/10.1016/j.econmod.2020.07.005?utm_source=chatgpt.com</vt:lpwstr>
      </vt:variant>
      <vt:variant>
        <vt:lpwstr/>
      </vt:variant>
      <vt:variant>
        <vt:i4>2949188</vt:i4>
      </vt:variant>
      <vt:variant>
        <vt:i4>174</vt:i4>
      </vt:variant>
      <vt:variant>
        <vt:i4>0</vt:i4>
      </vt:variant>
      <vt:variant>
        <vt:i4>5</vt:i4>
      </vt:variant>
      <vt:variant>
        <vt:lpwstr>https://doi.org/10.1016/j.econmod.2020.07.005?utm_source=chatgpt.com</vt:lpwstr>
      </vt:variant>
      <vt:variant>
        <vt:lpwstr/>
      </vt:variant>
      <vt:variant>
        <vt:i4>851972</vt:i4>
      </vt:variant>
      <vt:variant>
        <vt:i4>171</vt:i4>
      </vt:variant>
      <vt:variant>
        <vt:i4>0</vt:i4>
      </vt:variant>
      <vt:variant>
        <vt:i4>5</vt:i4>
      </vt:variant>
      <vt:variant>
        <vt:lpwstr>https://doi.org/10.1016/S0377-2217(01)00045-5</vt:lpwstr>
      </vt:variant>
      <vt:variant>
        <vt:lpwstr/>
      </vt:variant>
      <vt:variant>
        <vt:i4>851972</vt:i4>
      </vt:variant>
      <vt:variant>
        <vt:i4>168</vt:i4>
      </vt:variant>
      <vt:variant>
        <vt:i4>0</vt:i4>
      </vt:variant>
      <vt:variant>
        <vt:i4>5</vt:i4>
      </vt:variant>
      <vt:variant>
        <vt:lpwstr>https://doi.org/10.1016/S0377-2217(01)00045-5</vt:lpwstr>
      </vt:variant>
      <vt:variant>
        <vt:lpwstr/>
      </vt:variant>
      <vt:variant>
        <vt:i4>64</vt:i4>
      </vt:variant>
      <vt:variant>
        <vt:i4>165</vt:i4>
      </vt:variant>
      <vt:variant>
        <vt:i4>0</vt:i4>
      </vt:variant>
      <vt:variant>
        <vt:i4>5</vt:i4>
      </vt:variant>
      <vt:variant>
        <vt:lpwstr>https://doi.org/10.3846/13923730.2013.801886</vt:lpwstr>
      </vt:variant>
      <vt:variant>
        <vt:lpwstr/>
      </vt:variant>
      <vt:variant>
        <vt:i4>64</vt:i4>
      </vt:variant>
      <vt:variant>
        <vt:i4>162</vt:i4>
      </vt:variant>
      <vt:variant>
        <vt:i4>0</vt:i4>
      </vt:variant>
      <vt:variant>
        <vt:i4>5</vt:i4>
      </vt:variant>
      <vt:variant>
        <vt:lpwstr>https://doi.org/10.3846/13923730.2013.801886</vt:lpwstr>
      </vt:variant>
      <vt:variant>
        <vt:lpwstr/>
      </vt:variant>
      <vt:variant>
        <vt:i4>2687035</vt:i4>
      </vt:variant>
      <vt:variant>
        <vt:i4>159</vt:i4>
      </vt:variant>
      <vt:variant>
        <vt:i4>0</vt:i4>
      </vt:variant>
      <vt:variant>
        <vt:i4>5</vt:i4>
      </vt:variant>
      <vt:variant>
        <vt:lpwstr>https://doi.org/10.1007/s11142-024-09861-5</vt:lpwstr>
      </vt:variant>
      <vt:variant>
        <vt:lpwstr/>
      </vt:variant>
      <vt:variant>
        <vt:i4>5636169</vt:i4>
      </vt:variant>
      <vt:variant>
        <vt:i4>156</vt:i4>
      </vt:variant>
      <vt:variant>
        <vt:i4>0</vt:i4>
      </vt:variant>
      <vt:variant>
        <vt:i4>5</vt:i4>
      </vt:variant>
      <vt:variant>
        <vt:lpwstr>https://doi.org/10.1016/j.finmar.2020.100597</vt:lpwstr>
      </vt:variant>
      <vt:variant>
        <vt:lpwstr/>
      </vt:variant>
      <vt:variant>
        <vt:i4>6160385</vt:i4>
      </vt:variant>
      <vt:variant>
        <vt:i4>153</vt:i4>
      </vt:variant>
      <vt:variant>
        <vt:i4>0</vt:i4>
      </vt:variant>
      <vt:variant>
        <vt:i4>5</vt:i4>
      </vt:variant>
      <vt:variant>
        <vt:lpwstr>https://doi.org/10.1016/j.jfs.2014.03.002</vt:lpwstr>
      </vt:variant>
      <vt:variant>
        <vt:lpwstr/>
      </vt:variant>
      <vt:variant>
        <vt:i4>6160385</vt:i4>
      </vt:variant>
      <vt:variant>
        <vt:i4>150</vt:i4>
      </vt:variant>
      <vt:variant>
        <vt:i4>0</vt:i4>
      </vt:variant>
      <vt:variant>
        <vt:i4>5</vt:i4>
      </vt:variant>
      <vt:variant>
        <vt:lpwstr>https://doi.org/10.1016/j.jfs.2014.03.002</vt:lpwstr>
      </vt:variant>
      <vt:variant>
        <vt:lpwstr/>
      </vt:variant>
      <vt:variant>
        <vt:i4>786445</vt:i4>
      </vt:variant>
      <vt:variant>
        <vt:i4>147</vt:i4>
      </vt:variant>
      <vt:variant>
        <vt:i4>0</vt:i4>
      </vt:variant>
      <vt:variant>
        <vt:i4>5</vt:i4>
      </vt:variant>
      <vt:variant>
        <vt:lpwstr>https://doi.org/10.1016/S1042-9573(03)00045-7</vt:lpwstr>
      </vt:variant>
      <vt:variant>
        <vt:lpwstr/>
      </vt:variant>
      <vt:variant>
        <vt:i4>2424895</vt:i4>
      </vt:variant>
      <vt:variant>
        <vt:i4>144</vt:i4>
      </vt:variant>
      <vt:variant>
        <vt:i4>0</vt:i4>
      </vt:variant>
      <vt:variant>
        <vt:i4>5</vt:i4>
      </vt:variant>
      <vt:variant>
        <vt:lpwstr>https://doi.org/10.1016/j.jbankfin.2011.05.015</vt:lpwstr>
      </vt:variant>
      <vt:variant>
        <vt:lpwstr/>
      </vt:variant>
      <vt:variant>
        <vt:i4>2424895</vt:i4>
      </vt:variant>
      <vt:variant>
        <vt:i4>141</vt:i4>
      </vt:variant>
      <vt:variant>
        <vt:i4>0</vt:i4>
      </vt:variant>
      <vt:variant>
        <vt:i4>5</vt:i4>
      </vt:variant>
      <vt:variant>
        <vt:lpwstr>https://doi.org/10.1016/j.jbankfin.2011.05.015</vt:lpwstr>
      </vt:variant>
      <vt:variant>
        <vt:lpwstr/>
      </vt:variant>
      <vt:variant>
        <vt:i4>2424895</vt:i4>
      </vt:variant>
      <vt:variant>
        <vt:i4>138</vt:i4>
      </vt:variant>
      <vt:variant>
        <vt:i4>0</vt:i4>
      </vt:variant>
      <vt:variant>
        <vt:i4>5</vt:i4>
      </vt:variant>
      <vt:variant>
        <vt:lpwstr>https://doi.org/10.1016/j.jbankfin.2011.05.015</vt:lpwstr>
      </vt:variant>
      <vt:variant>
        <vt:lpwstr/>
      </vt:variant>
      <vt:variant>
        <vt:i4>2424895</vt:i4>
      </vt:variant>
      <vt:variant>
        <vt:i4>135</vt:i4>
      </vt:variant>
      <vt:variant>
        <vt:i4>0</vt:i4>
      </vt:variant>
      <vt:variant>
        <vt:i4>5</vt:i4>
      </vt:variant>
      <vt:variant>
        <vt:lpwstr>https://doi.org/10.1016/j.jbankfin.2011.05.015</vt:lpwstr>
      </vt:variant>
      <vt:variant>
        <vt:lpwstr/>
      </vt:variant>
      <vt:variant>
        <vt:i4>5242901</vt:i4>
      </vt:variant>
      <vt:variant>
        <vt:i4>132</vt:i4>
      </vt:variant>
      <vt:variant>
        <vt:i4>0</vt:i4>
      </vt:variant>
      <vt:variant>
        <vt:i4>5</vt:i4>
      </vt:variant>
      <vt:variant>
        <vt:lpwstr>https://doi.org/10.1016/j.frl.2022.102713</vt:lpwstr>
      </vt:variant>
      <vt:variant>
        <vt:lpwstr/>
      </vt:variant>
      <vt:variant>
        <vt:i4>5242901</vt:i4>
      </vt:variant>
      <vt:variant>
        <vt:i4>129</vt:i4>
      </vt:variant>
      <vt:variant>
        <vt:i4>0</vt:i4>
      </vt:variant>
      <vt:variant>
        <vt:i4>5</vt:i4>
      </vt:variant>
      <vt:variant>
        <vt:lpwstr>https://doi.org/10.1016/j.frl.2022.102713</vt:lpwstr>
      </vt:variant>
      <vt:variant>
        <vt:lpwstr/>
      </vt:variant>
      <vt:variant>
        <vt:i4>5242901</vt:i4>
      </vt:variant>
      <vt:variant>
        <vt:i4>126</vt:i4>
      </vt:variant>
      <vt:variant>
        <vt:i4>0</vt:i4>
      </vt:variant>
      <vt:variant>
        <vt:i4>5</vt:i4>
      </vt:variant>
      <vt:variant>
        <vt:lpwstr>https://doi.org/10.1016/j.frl.2022.102713</vt:lpwstr>
      </vt:variant>
      <vt:variant>
        <vt:lpwstr/>
      </vt:variant>
      <vt:variant>
        <vt:i4>4718603</vt:i4>
      </vt:variant>
      <vt:variant>
        <vt:i4>123</vt:i4>
      </vt:variant>
      <vt:variant>
        <vt:i4>0</vt:i4>
      </vt:variant>
      <vt:variant>
        <vt:i4>5</vt:i4>
      </vt:variant>
      <vt:variant>
        <vt:lpwstr>https://doi.org/10.1016/j.tre.2007.10.005</vt:lpwstr>
      </vt:variant>
      <vt:variant>
        <vt:lpwstr/>
      </vt:variant>
      <vt:variant>
        <vt:i4>4718603</vt:i4>
      </vt:variant>
      <vt:variant>
        <vt:i4>120</vt:i4>
      </vt:variant>
      <vt:variant>
        <vt:i4>0</vt:i4>
      </vt:variant>
      <vt:variant>
        <vt:i4>5</vt:i4>
      </vt:variant>
      <vt:variant>
        <vt:lpwstr>https://doi.org/10.1016/j.tre.2007.10.005</vt:lpwstr>
      </vt:variant>
      <vt:variant>
        <vt:lpwstr/>
      </vt:variant>
      <vt:variant>
        <vt:i4>131092</vt:i4>
      </vt:variant>
      <vt:variant>
        <vt:i4>117</vt:i4>
      </vt:variant>
      <vt:variant>
        <vt:i4>0</vt:i4>
      </vt:variant>
      <vt:variant>
        <vt:i4>5</vt:i4>
      </vt:variant>
      <vt:variant>
        <vt:lpwstr>https://doi.org/10.1007/s11156-018-0728-6</vt:lpwstr>
      </vt:variant>
      <vt:variant>
        <vt:lpwstr/>
      </vt:variant>
      <vt:variant>
        <vt:i4>5308455</vt:i4>
      </vt:variant>
      <vt:variant>
        <vt:i4>114</vt:i4>
      </vt:variant>
      <vt:variant>
        <vt:i4>0</vt:i4>
      </vt:variant>
      <vt:variant>
        <vt:i4>5</vt:i4>
      </vt:variant>
      <vt:variant>
        <vt:lpwstr>https://doi.org/10.1016/j.jcorpfin.2019.101541?utm_source=chatgpt.com</vt:lpwstr>
      </vt:variant>
      <vt:variant>
        <vt:lpwstr/>
      </vt:variant>
      <vt:variant>
        <vt:i4>5308455</vt:i4>
      </vt:variant>
      <vt:variant>
        <vt:i4>111</vt:i4>
      </vt:variant>
      <vt:variant>
        <vt:i4>0</vt:i4>
      </vt:variant>
      <vt:variant>
        <vt:i4>5</vt:i4>
      </vt:variant>
      <vt:variant>
        <vt:lpwstr>https://doi.org/10.1016/j.jcorpfin.2019.101541?utm_source=chatgpt.com</vt:lpwstr>
      </vt:variant>
      <vt:variant>
        <vt:lpwstr/>
      </vt:variant>
      <vt:variant>
        <vt:i4>5308455</vt:i4>
      </vt:variant>
      <vt:variant>
        <vt:i4>108</vt:i4>
      </vt:variant>
      <vt:variant>
        <vt:i4>0</vt:i4>
      </vt:variant>
      <vt:variant>
        <vt:i4>5</vt:i4>
      </vt:variant>
      <vt:variant>
        <vt:lpwstr>https://doi.org/10.1016/j.jcorpfin.2019.101541?utm_source=chatgpt.com</vt:lpwstr>
      </vt:variant>
      <vt:variant>
        <vt:lpwstr/>
      </vt:variant>
      <vt:variant>
        <vt:i4>17</vt:i4>
      </vt:variant>
      <vt:variant>
        <vt:i4>105</vt:i4>
      </vt:variant>
      <vt:variant>
        <vt:i4>0</vt:i4>
      </vt:variant>
      <vt:variant>
        <vt:i4>5</vt:i4>
      </vt:variant>
      <vt:variant>
        <vt:lpwstr>https://doi.org/10.1007/s11142-013-9269-0</vt:lpwstr>
      </vt:variant>
      <vt:variant>
        <vt:lpwstr/>
      </vt:variant>
      <vt:variant>
        <vt:i4>17</vt:i4>
      </vt:variant>
      <vt:variant>
        <vt:i4>102</vt:i4>
      </vt:variant>
      <vt:variant>
        <vt:i4>0</vt:i4>
      </vt:variant>
      <vt:variant>
        <vt:i4>5</vt:i4>
      </vt:variant>
      <vt:variant>
        <vt:lpwstr>https://doi.org/10.1007/s11142-013-9269-0</vt:lpwstr>
      </vt:variant>
      <vt:variant>
        <vt:lpwstr/>
      </vt:variant>
      <vt:variant>
        <vt:i4>1310775</vt:i4>
      </vt:variant>
      <vt:variant>
        <vt:i4>95</vt:i4>
      </vt:variant>
      <vt:variant>
        <vt:i4>0</vt:i4>
      </vt:variant>
      <vt:variant>
        <vt:i4>5</vt:i4>
      </vt:variant>
      <vt:variant>
        <vt:lpwstr/>
      </vt:variant>
      <vt:variant>
        <vt:lpwstr>_Toc208742965</vt:lpwstr>
      </vt:variant>
      <vt:variant>
        <vt:i4>1310775</vt:i4>
      </vt:variant>
      <vt:variant>
        <vt:i4>89</vt:i4>
      </vt:variant>
      <vt:variant>
        <vt:i4>0</vt:i4>
      </vt:variant>
      <vt:variant>
        <vt:i4>5</vt:i4>
      </vt:variant>
      <vt:variant>
        <vt:lpwstr/>
      </vt:variant>
      <vt:variant>
        <vt:lpwstr>_Toc208742964</vt:lpwstr>
      </vt:variant>
      <vt:variant>
        <vt:i4>1310775</vt:i4>
      </vt:variant>
      <vt:variant>
        <vt:i4>83</vt:i4>
      </vt:variant>
      <vt:variant>
        <vt:i4>0</vt:i4>
      </vt:variant>
      <vt:variant>
        <vt:i4>5</vt:i4>
      </vt:variant>
      <vt:variant>
        <vt:lpwstr/>
      </vt:variant>
      <vt:variant>
        <vt:lpwstr>_Toc208742963</vt:lpwstr>
      </vt:variant>
      <vt:variant>
        <vt:i4>1310775</vt:i4>
      </vt:variant>
      <vt:variant>
        <vt:i4>77</vt:i4>
      </vt:variant>
      <vt:variant>
        <vt:i4>0</vt:i4>
      </vt:variant>
      <vt:variant>
        <vt:i4>5</vt:i4>
      </vt:variant>
      <vt:variant>
        <vt:lpwstr/>
      </vt:variant>
      <vt:variant>
        <vt:lpwstr>_Toc208742962</vt:lpwstr>
      </vt:variant>
      <vt:variant>
        <vt:i4>1310775</vt:i4>
      </vt:variant>
      <vt:variant>
        <vt:i4>71</vt:i4>
      </vt:variant>
      <vt:variant>
        <vt:i4>0</vt:i4>
      </vt:variant>
      <vt:variant>
        <vt:i4>5</vt:i4>
      </vt:variant>
      <vt:variant>
        <vt:lpwstr/>
      </vt:variant>
      <vt:variant>
        <vt:lpwstr>_Toc208742961</vt:lpwstr>
      </vt:variant>
      <vt:variant>
        <vt:i4>1310775</vt:i4>
      </vt:variant>
      <vt:variant>
        <vt:i4>65</vt:i4>
      </vt:variant>
      <vt:variant>
        <vt:i4>0</vt:i4>
      </vt:variant>
      <vt:variant>
        <vt:i4>5</vt:i4>
      </vt:variant>
      <vt:variant>
        <vt:lpwstr/>
      </vt:variant>
      <vt:variant>
        <vt:lpwstr>_Toc208742960</vt:lpwstr>
      </vt:variant>
      <vt:variant>
        <vt:i4>1507383</vt:i4>
      </vt:variant>
      <vt:variant>
        <vt:i4>59</vt:i4>
      </vt:variant>
      <vt:variant>
        <vt:i4>0</vt:i4>
      </vt:variant>
      <vt:variant>
        <vt:i4>5</vt:i4>
      </vt:variant>
      <vt:variant>
        <vt:lpwstr/>
      </vt:variant>
      <vt:variant>
        <vt:lpwstr>_Toc208742959</vt:lpwstr>
      </vt:variant>
      <vt:variant>
        <vt:i4>1507383</vt:i4>
      </vt:variant>
      <vt:variant>
        <vt:i4>53</vt:i4>
      </vt:variant>
      <vt:variant>
        <vt:i4>0</vt:i4>
      </vt:variant>
      <vt:variant>
        <vt:i4>5</vt:i4>
      </vt:variant>
      <vt:variant>
        <vt:lpwstr/>
      </vt:variant>
      <vt:variant>
        <vt:lpwstr>_Toc208742958</vt:lpwstr>
      </vt:variant>
      <vt:variant>
        <vt:i4>1507383</vt:i4>
      </vt:variant>
      <vt:variant>
        <vt:i4>47</vt:i4>
      </vt:variant>
      <vt:variant>
        <vt:i4>0</vt:i4>
      </vt:variant>
      <vt:variant>
        <vt:i4>5</vt:i4>
      </vt:variant>
      <vt:variant>
        <vt:lpwstr/>
      </vt:variant>
      <vt:variant>
        <vt:lpwstr>_Toc208742957</vt:lpwstr>
      </vt:variant>
      <vt:variant>
        <vt:i4>1048631</vt:i4>
      </vt:variant>
      <vt:variant>
        <vt:i4>38</vt:i4>
      </vt:variant>
      <vt:variant>
        <vt:i4>0</vt:i4>
      </vt:variant>
      <vt:variant>
        <vt:i4>5</vt:i4>
      </vt:variant>
      <vt:variant>
        <vt:lpwstr/>
      </vt:variant>
      <vt:variant>
        <vt:lpwstr>_Toc208742926</vt:lpwstr>
      </vt:variant>
      <vt:variant>
        <vt:i4>1048631</vt:i4>
      </vt:variant>
      <vt:variant>
        <vt:i4>32</vt:i4>
      </vt:variant>
      <vt:variant>
        <vt:i4>0</vt:i4>
      </vt:variant>
      <vt:variant>
        <vt:i4>5</vt:i4>
      </vt:variant>
      <vt:variant>
        <vt:lpwstr/>
      </vt:variant>
      <vt:variant>
        <vt:lpwstr>_Toc208742925</vt:lpwstr>
      </vt:variant>
      <vt:variant>
        <vt:i4>1048631</vt:i4>
      </vt:variant>
      <vt:variant>
        <vt:i4>26</vt:i4>
      </vt:variant>
      <vt:variant>
        <vt:i4>0</vt:i4>
      </vt:variant>
      <vt:variant>
        <vt:i4>5</vt:i4>
      </vt:variant>
      <vt:variant>
        <vt:lpwstr/>
      </vt:variant>
      <vt:variant>
        <vt:lpwstr>_Toc208742924</vt:lpwstr>
      </vt:variant>
      <vt:variant>
        <vt:i4>1048631</vt:i4>
      </vt:variant>
      <vt:variant>
        <vt:i4>20</vt:i4>
      </vt:variant>
      <vt:variant>
        <vt:i4>0</vt:i4>
      </vt:variant>
      <vt:variant>
        <vt:i4>5</vt:i4>
      </vt:variant>
      <vt:variant>
        <vt:lpwstr/>
      </vt:variant>
      <vt:variant>
        <vt:lpwstr>_Toc208742923</vt:lpwstr>
      </vt:variant>
      <vt:variant>
        <vt:i4>1048631</vt:i4>
      </vt:variant>
      <vt:variant>
        <vt:i4>14</vt:i4>
      </vt:variant>
      <vt:variant>
        <vt:i4>0</vt:i4>
      </vt:variant>
      <vt:variant>
        <vt:i4>5</vt:i4>
      </vt:variant>
      <vt:variant>
        <vt:lpwstr/>
      </vt:variant>
      <vt:variant>
        <vt:lpwstr>_Toc208742922</vt:lpwstr>
      </vt:variant>
      <vt:variant>
        <vt:i4>1048631</vt:i4>
      </vt:variant>
      <vt:variant>
        <vt:i4>8</vt:i4>
      </vt:variant>
      <vt:variant>
        <vt:i4>0</vt:i4>
      </vt:variant>
      <vt:variant>
        <vt:i4>5</vt:i4>
      </vt:variant>
      <vt:variant>
        <vt:lpwstr/>
      </vt:variant>
      <vt:variant>
        <vt:lpwstr>_Toc208742921</vt:lpwstr>
      </vt:variant>
      <vt:variant>
        <vt:i4>1048631</vt:i4>
      </vt:variant>
      <vt:variant>
        <vt:i4>2</vt:i4>
      </vt:variant>
      <vt:variant>
        <vt:i4>0</vt:i4>
      </vt:variant>
      <vt:variant>
        <vt:i4>5</vt:i4>
      </vt:variant>
      <vt:variant>
        <vt:lpwstr/>
      </vt:variant>
      <vt:variant>
        <vt:lpwstr>_Toc208742920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Buu Quan Luu</dc:creator>
  <cp:keywords/>
  <dc:description/>
  <cp:lastModifiedBy>Linh Đào</cp:lastModifiedBy>
  <cp:revision>359</cp:revision>
  <dcterms:created xsi:type="dcterms:W3CDTF">2025-09-10T00:44:00Z</dcterms:created>
  <dcterms:modified xsi:type="dcterms:W3CDTF">2025-09-14T02:09:00Z</dcterms:modified>
</cp:coreProperties>
</file>