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3" Type="http://schemas.openxmlformats.org/officeDocument/2006/relationships/custom-properties" Target="docProps/custom.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w14="http://schemas.microsoft.com/office/word/2010/wordml" xmlns:r="http://schemas.openxmlformats.org/officeDocument/2006/relationships" xmlns:w="http://schemas.openxmlformats.org/wordprocessingml/2006/main" xmlns:mc="http://schemas.openxmlformats.org/markup-compatibility/2006" mc:Ignorable="w14">
  <w:body>
    <w:p w14:paraId="00000001">
      <w:pPr>
        <w:spacing w:before="1417" w:after="360" w:line="360"/>
        <w:ind w:left="0" w:right="0" w:firstLine="480"/>
        <w:jc w:val="center"/>
        <w:rPr>
          <w:color w:val="000000"/>
        </w:rPr>
      </w:pPr>
      <w:r>
        <w:rPr>
          <w:rFonts w:hint="eastAsia" w:ascii="宋体" w:hAnsi="宋体" w:eastAsia="宋体" w:cs="宋体"/>
          <w:b w:val="1"/>
          <w:color w:val="000000"/>
          <w:sz w:val="36"/>
        </w:rPr>
        <w:t>基金申请书</w:t>
      </w:r>
    </w:p>
    <w:p w14:paraId="00000002">
      <w:pPr>
        <w:spacing w:before="0" w:after="1417" w:line="360"/>
        <w:ind w:left="0" w:right="0"/>
        <w:jc w:val="center"/>
        <w:rPr>
          <w:color w:val="000000"/>
        </w:rPr>
      </w:pPr>
      <w:r>
        <w:rPr>
          <w:rFonts w:hint="eastAsia" w:ascii="宋体" w:hAnsi="宋体" w:eastAsia="宋体" w:cs="宋体"/>
          <w:color w:val="000000"/>
          <w:sz w:val="28"/>
        </w:rPr>
        <w:t>社区老年人家庭血压自测支持的随机对照研究</w:t>
      </w:r>
    </w:p>
    <w:p w14:paraId="00000003">
      <w:pPr>
        <w:spacing w:before="0" w:after="72" w:line="360"/>
        <w:ind w:left="0" w:right="0"/>
        <w:jc w:val="center"/>
        <w:rPr>
          <w:color w:val="000000"/>
        </w:rPr>
      </w:pPr>
      <w:r>
        <w:rPr>
          <w:rFonts w:hint="eastAsia" w:ascii="宋体" w:hAnsi="宋体" w:eastAsia="宋体" w:cs="宋体"/>
          <w:color w:val="000000"/>
          <w:sz w:val="24"/>
        </w:rPr>
        <w:t>研究类型：应用性研究 · 前瞻性随机对照试验</w:t>
      </w:r>
    </w:p>
    <w:p w14:paraId="00000004">
      <w:pPr>
        <w:spacing w:before="0" w:after="72" w:line="360"/>
        <w:ind w:left="0" w:right="0"/>
        <w:jc w:val="center"/>
        <w:rPr>
          <w:color w:val="000000"/>
        </w:rPr>
      </w:pPr>
      <w:r>
        <w:rPr>
          <w:rFonts w:hint="eastAsia" w:ascii="宋体" w:hAnsi="宋体" w:eastAsia="宋体" w:cs="宋体"/>
          <w:color w:val="000000"/>
          <w:sz w:val="24"/>
        </w:rPr>
        <w:t>申报周期：12 个月</w:t>
      </w:r>
    </w:p>
    <w:p w14:paraId="00000005">
      <w:pPr>
        <w:spacing w:before="0" w:after="72" w:line="360"/>
        <w:ind w:left="0" w:right="0"/>
        <w:jc w:val="center"/>
        <w:rPr>
          <w:color w:val="000000"/>
        </w:rPr>
      </w:pPr>
      <w:r>
        <w:rPr>
          <w:rFonts w:hint="eastAsia" w:ascii="宋体" w:hAnsi="宋体" w:eastAsia="宋体" w:cs="宋体"/>
          <w:color w:val="000000"/>
          <w:sz w:val="24"/>
        </w:rPr>
        <w:t>经费上限：10 万元（规划假设）</w:t>
      </w:r>
    </w:p>
    <w:p w14:paraId="00000006">
      <w:pPr>
        <w:spacing w:before="0" w:after="72" w:line="360"/>
        <w:ind w:left="0" w:right="0"/>
        <w:jc w:val="center"/>
        <w:rPr>
          <w:color w:val="000000"/>
        </w:rPr>
      </w:pPr>
      <w:r>
        <w:rPr>
          <w:rFonts w:hint="eastAsia" w:ascii="宋体" w:hAnsi="宋体" w:eastAsia="宋体" w:cs="宋体"/>
          <w:color w:val="000000"/>
          <w:sz w:val="24"/>
        </w:rPr>
        <w:t>研究现场：两家城市社区（模拟申报条件）</w:t>
      </w:r>
    </w:p>
    <w:p w14:paraId="00000007">
      <w:pPr>
        <w:spacing w:before="0" w:after="72" w:line="360"/>
        <w:ind w:left="0" w:right="0"/>
        <w:jc w:val="center"/>
        <w:rPr>
          <w:color w:val="000000"/>
        </w:rPr>
      </w:pPr>
      <w:r>
        <w:rPr>
          <w:rFonts w:hint="eastAsia" w:ascii="宋体" w:hAnsi="宋体" w:eastAsia="宋体" w:cs="宋体"/>
          <w:color w:val="000000"/>
          <w:sz w:val="24"/>
        </w:rPr>
        <w:t>研究人群：社区 ≥60 岁已确诊原发性高血压居民</w:t>
      </w:r>
    </w:p>
    <w:p w14:paraId="00000008">
      <w:pPr>
        <w:spacing w:before="0" w:after="72" w:line="360"/>
        <w:ind w:left="0" w:right="0"/>
        <w:jc w:val="center"/>
        <w:rPr>
          <w:color w:val="000000"/>
        </w:rPr>
        <w:sectPr>
          <w:type w:val="nextPage"/>
          <w:pgSz w:w="11906" w:h="16838"/>
          <w:pgMar w:top="1440" w:right="1800" w:bottom="1440" w:left="1800" w:header="851" w:footer="992" w:gutter="0"/>
        </w:sectPr>
      </w:pPr>
      <w:r>
        <w:rPr>
          <w:rFonts w:hint="eastAsia" w:ascii="宋体" w:hAnsi="宋体" w:eastAsia="宋体" w:cs="宋体"/>
          <w:color w:val="000000"/>
          <w:sz w:val="24"/>
        </w:rPr>
        <w:t>申请人及依托单位：【待补充】</w:t>
      </w:r>
    </w:p>
    <w:p w14:paraId="00000009">
      <w:pPr>
        <w:pStyle w:val="000003"/>
        <w:tabs>
          <w:tab w:val="right" w:leader="dot" w:pos="9072"/>
        </w:tabs>
        <w:ind w:left="0"/>
      </w:pPr>
      <w:r>
        <w:fldChar w:fldCharType="begin" w:fldLock="0" w:dirty="0"/>
      </w:r>
      <w:r>
        <w:instrText xml:space="preserve"> HYPERLINK \l "section-title" </w:instrText>
      </w:r>
      <w:r>
        <w:fldChar w:fldCharType="separate" w:fldLock="0" w:dirty="0"/>
      </w:r>
      <w:r>
        <w:rPr>
          <w:rFonts w:hint="eastAsia"/>
        </w:rPr>
        <w:t>基金申请书：社区老年人家庭血压自测支持的随机对照研究</w:t>
      </w:r>
      <w:r>
        <w:fldChar w:fldCharType="end" w:fldLock="0" w:dirty="0"/>
      </w:r>
    </w:p>
    <w:p w14:paraId="0000000A">
      <w:pPr>
        <w:pStyle w:val="000004"/>
        <w:tabs>
          <w:tab w:val="right" w:leader="dot" w:pos="9072"/>
        </w:tabs>
        <w:ind w:left="200"/>
      </w:pPr>
      <w:r>
        <w:fldChar w:fldCharType="begin" w:fldLock="0" w:dirty="0"/>
      </w:r>
      <w:r>
        <w:instrText xml:space="preserve"> HYPERLINK \l "section-1" </w:instrText>
      </w:r>
      <w:r>
        <w:fldChar w:fldCharType="separate" w:fldLock="0" w:dirty="0"/>
      </w:r>
      <w:r>
        <w:rPr>
          <w:rFonts w:hint="eastAsia"/>
        </w:rPr>
        <w:t>一、科学问题</w:t>
      </w:r>
      <w:r>
        <w:fldChar w:fldCharType="end" w:fldLock="0" w:dirty="0"/>
      </w:r>
    </w:p>
    <w:p w14:paraId="0000000B">
      <w:pPr>
        <w:pStyle w:val="000004"/>
        <w:tabs>
          <w:tab w:val="right" w:leader="dot" w:pos="9072"/>
        </w:tabs>
        <w:ind w:left="200"/>
      </w:pPr>
      <w:r>
        <w:fldChar w:fldCharType="begin" w:fldLock="0" w:dirty="0"/>
      </w:r>
      <w:r>
        <w:instrText xml:space="preserve"> HYPERLINK \l "section-2" </w:instrText>
      </w:r>
      <w:r>
        <w:fldChar w:fldCharType="separate" w:fldLock="0" w:dirty="0"/>
      </w:r>
      <w:r>
        <w:rPr>
          <w:rFonts w:hint="eastAsia"/>
        </w:rPr>
        <w:t>二、研究背景</w:t>
      </w:r>
      <w:r>
        <w:fldChar w:fldCharType="end" w:fldLock="0" w:dirty="0"/>
      </w:r>
    </w:p>
    <w:p w14:paraId="0000000C">
      <w:pPr>
        <w:pStyle w:val="000004"/>
        <w:tabs>
          <w:tab w:val="right" w:leader="dot" w:pos="9072"/>
        </w:tabs>
        <w:ind w:left="200"/>
      </w:pPr>
      <w:r>
        <w:fldChar w:fldCharType="begin" w:fldLock="0" w:dirty="0"/>
      </w:r>
      <w:r>
        <w:instrText xml:space="preserve"> HYPERLINK \l "section-3" </w:instrText>
      </w:r>
      <w:r>
        <w:fldChar w:fldCharType="separate" w:fldLock="0" w:dirty="0"/>
      </w:r>
      <w:r>
        <w:rPr>
          <w:rFonts w:hint="eastAsia"/>
        </w:rPr>
        <w:t>三、研究目标</w:t>
      </w:r>
      <w:r>
        <w:fldChar w:fldCharType="end" w:fldLock="0" w:dirty="0"/>
      </w:r>
    </w:p>
    <w:p w14:paraId="0000000D">
      <w:pPr>
        <w:pStyle w:val="000004"/>
        <w:tabs>
          <w:tab w:val="right" w:leader="dot" w:pos="9072"/>
        </w:tabs>
        <w:ind w:left="200"/>
      </w:pPr>
      <w:r>
        <w:fldChar w:fldCharType="begin" w:fldLock="0" w:dirty="0"/>
      </w:r>
      <w:r>
        <w:instrText xml:space="preserve"> HYPERLINK \l "section-4" </w:instrText>
      </w:r>
      <w:r>
        <w:fldChar w:fldCharType="separate" w:fldLock="0" w:dirty="0"/>
      </w:r>
      <w:r>
        <w:rPr>
          <w:rFonts w:hint="eastAsia"/>
        </w:rPr>
        <w:t>四、创新点</w:t>
      </w:r>
      <w:r>
        <w:fldChar w:fldCharType="end" w:fldLock="0" w:dirty="0"/>
      </w:r>
    </w:p>
    <w:p w14:paraId="0000000E">
      <w:pPr>
        <w:pStyle w:val="000004"/>
        <w:tabs>
          <w:tab w:val="right" w:leader="dot" w:pos="9072"/>
        </w:tabs>
        <w:ind w:left="200"/>
      </w:pPr>
      <w:r>
        <w:fldChar w:fldCharType="begin" w:fldLock="0" w:dirty="0"/>
      </w:r>
      <w:r>
        <w:instrText xml:space="preserve"> HYPERLINK \l "section-5" </w:instrText>
      </w:r>
      <w:r>
        <w:fldChar w:fldCharType="separate" w:fldLock="0" w:dirty="0"/>
      </w:r>
      <w:r>
        <w:rPr>
          <w:rFonts w:hint="eastAsia"/>
        </w:rPr>
        <w:t>五、设计与统计方案</w:t>
      </w:r>
      <w:r>
        <w:fldChar w:fldCharType="end" w:fldLock="0" w:dirty="0"/>
      </w:r>
    </w:p>
    <w:p w14:paraId="0000000F">
      <w:pPr>
        <w:pStyle w:val="000004"/>
        <w:tabs>
          <w:tab w:val="right" w:leader="dot" w:pos="9072"/>
        </w:tabs>
        <w:ind w:left="200"/>
      </w:pPr>
      <w:r>
        <w:fldChar w:fldCharType="begin" w:fldLock="0" w:dirty="0"/>
      </w:r>
      <w:r>
        <w:instrText xml:space="preserve"> HYPERLINK \l "section-6" </w:instrText>
      </w:r>
      <w:r>
        <w:fldChar w:fldCharType="separate" w:fldLock="0" w:dirty="0"/>
      </w:r>
      <w:r>
        <w:rPr>
          <w:rFonts w:hint="eastAsia"/>
        </w:rPr>
        <w:t>六、技术路线</w:t>
      </w:r>
      <w:r>
        <w:fldChar w:fldCharType="end" w:fldLock="0" w:dirty="0"/>
      </w:r>
    </w:p>
    <w:p w14:paraId="00000010">
      <w:pPr>
        <w:pStyle w:val="000004"/>
        <w:tabs>
          <w:tab w:val="right" w:leader="dot" w:pos="9072"/>
        </w:tabs>
        <w:ind w:left="200"/>
      </w:pPr>
      <w:r>
        <w:fldChar w:fldCharType="begin" w:fldLock="0" w:dirty="0"/>
      </w:r>
      <w:r>
        <w:instrText xml:space="preserve"> HYPERLINK \l "section-7" </w:instrText>
      </w:r>
      <w:r>
        <w:fldChar w:fldCharType="separate" w:fldLock="0" w:dirty="0"/>
      </w:r>
      <w:r>
        <w:rPr>
          <w:rFonts w:hint="eastAsia"/>
        </w:rPr>
        <w:t>七、研究基础、合作条件与参数来源</w:t>
      </w:r>
      <w:r>
        <w:fldChar w:fldCharType="end" w:fldLock="0" w:dirty="0"/>
      </w:r>
    </w:p>
    <w:p w14:paraId="00000011">
      <w:pPr>
        <w:pStyle w:val="000004"/>
        <w:tabs>
          <w:tab w:val="right" w:leader="dot" w:pos="9072"/>
        </w:tabs>
        <w:ind w:left="200"/>
      </w:pPr>
      <w:r>
        <w:fldChar w:fldCharType="begin" w:fldLock="0" w:dirty="0"/>
      </w:r>
      <w:r>
        <w:instrText xml:space="preserve"> HYPERLINK \l "section-8" </w:instrText>
      </w:r>
      <w:r>
        <w:fldChar w:fldCharType="separate" w:fldLock="0" w:dirty="0"/>
      </w:r>
      <w:r>
        <w:rPr>
          <w:rFonts w:hint="eastAsia"/>
        </w:rPr>
        <w:t>八、风险与替代方案</w:t>
      </w:r>
      <w:r>
        <w:fldChar w:fldCharType="end" w:fldLock="0" w:dirty="0"/>
      </w:r>
    </w:p>
    <w:p w14:paraId="00000012">
      <w:pPr>
        <w:pStyle w:val="000004"/>
        <w:tabs>
          <w:tab w:val="right" w:leader="dot" w:pos="9072"/>
        </w:tabs>
        <w:ind w:left="200"/>
      </w:pPr>
      <w:r>
        <w:fldChar w:fldCharType="begin" w:fldLock="0" w:dirty="0"/>
      </w:r>
      <w:r>
        <w:instrText xml:space="preserve"> HYPERLINK \l "section-9" </w:instrText>
      </w:r>
      <w:r>
        <w:fldChar w:fldCharType="separate" w:fldLock="0" w:dirty="0"/>
      </w:r>
      <w:r>
        <w:rPr>
          <w:rFonts w:hint="eastAsia"/>
        </w:rPr>
        <w:t>九、进度安排</w:t>
      </w:r>
      <w:r>
        <w:fldChar w:fldCharType="end" w:fldLock="0" w:dirty="0"/>
      </w:r>
    </w:p>
    <w:p w14:paraId="00000013">
      <w:pPr>
        <w:pStyle w:val="000004"/>
        <w:tabs>
          <w:tab w:val="right" w:leader="dot" w:pos="9072"/>
        </w:tabs>
        <w:ind w:left="200"/>
      </w:pPr>
      <w:r>
        <w:fldChar w:fldCharType="begin" w:fldLock="0" w:dirty="0"/>
      </w:r>
      <w:r>
        <w:instrText xml:space="preserve"> HYPERLINK \l "section-10" </w:instrText>
      </w:r>
      <w:r>
        <w:fldChar w:fldCharType="separate" w:fldLock="0" w:dirty="0"/>
      </w:r>
      <w:r>
        <w:rPr>
          <w:rFonts w:hint="eastAsia"/>
        </w:rPr>
        <w:t>十、预算及测算依据</w:t>
      </w:r>
      <w:r>
        <w:fldChar w:fldCharType="end" w:fldLock="0" w:dirty="0"/>
      </w:r>
    </w:p>
    <w:p w14:paraId="00000014">
      <w:pPr>
        <w:pStyle w:val="000004"/>
        <w:tabs>
          <w:tab w:val="right" w:leader="dot" w:pos="9072"/>
        </w:tabs>
        <w:ind w:left="200"/>
      </w:pPr>
      <w:r>
        <w:fldChar w:fldCharType="begin" w:fldLock="0" w:dirty="0"/>
      </w:r>
      <w:r>
        <w:instrText xml:space="preserve"> HYPERLINK \l "section-11" </w:instrText>
      </w:r>
      <w:r>
        <w:fldChar w:fldCharType="separate" w:fldLock="0" w:dirty="0"/>
      </w:r>
      <w:r>
        <w:rPr>
          <w:rFonts w:hint="eastAsia"/>
        </w:rPr>
        <w:t>十一、伦理与数据治理</w:t>
      </w:r>
      <w:r>
        <w:fldChar w:fldCharType="end" w:fldLock="0" w:dirty="0"/>
      </w:r>
    </w:p>
    <w:p w14:paraId="00000015">
      <w:pPr>
        <w:pStyle w:val="000004"/>
        <w:tabs>
          <w:tab w:val="right" w:leader="dot" w:pos="9072"/>
        </w:tabs>
        <w:ind w:left="200"/>
      </w:pPr>
      <w:r>
        <w:fldChar w:fldCharType="begin" w:fldLock="0" w:dirty="0"/>
      </w:r>
      <w:r>
        <w:instrText xml:space="preserve"> HYPERLINK \l "section-12" </w:instrText>
      </w:r>
      <w:r>
        <w:fldChar w:fldCharType="separate" w:fldLock="0" w:dirty="0"/>
      </w:r>
      <w:r>
        <w:rPr>
          <w:rFonts w:hint="eastAsia"/>
        </w:rPr>
        <w:t>十二、参考文献</w:t>
      </w:r>
      <w:r>
        <w:fldChar w:fldCharType="end" w:fldLock="0" w:dirty="0"/>
      </w:r>
    </w:p>
    <w:p w14:paraId="00000016">
      <w:pPr>
        <w:sectPr>
          <w:type w:val="nextPage"/>
          <w:pgSz w:w="11906" w:h="16838"/>
          <w:pgMar w:top="1440" w:right="1800" w:bottom="1440" w:left="1800" w:header="851" w:footer="992" w:gutter="0"/>
        </w:sectPr>
      </w:pPr>
    </w:p>
    <w:p w14:paraId="00000017">
      <w:pPr>
        <w:pStyle w:val="000005"/>
        <w:keepNext w:val="1"/>
        <w:keepLines w:val="1"/>
        <w:spacing w:before="360" w:beforeAutospacing="1" w:after="240" w:afterAutospacing="1" w:line="360"/>
        <w:ind w:left="0" w:right="0"/>
        <w:outlineLvl w:val="0"/>
        <w:rPr>
          <w:color w:val="000000"/>
          <w:kern w:val="44"/>
          <w:sz w:val="44"/>
          <w:szCs w:val="44"/>
        </w:rPr>
      </w:pPr>
      <w:bookmarkStart w:id="1" w:name="section-title"/>
      <w:r>
        <w:rPr>
          <w:rFonts w:hint="eastAsia" w:ascii="黑体" w:hAnsi="黑体" w:eastAsia="黑体" w:cs="黑体"/>
          <w:b w:val="1"/>
          <w:color w:val="000000"/>
          <w:sz w:val="30"/>
        </w:rPr>
        <w:t>基金申请书：社区老年人家庭血压自测支持的随机对照研究</w:t>
      </w:r>
      <w:bookmarkEnd w:id="1"/>
    </w:p>
    <w:p w14:paraId="00000018">
      <w:pPr>
        <w:pBdr>
          <w:left w:val="single" w:color="01579b" w:sz="18"/>
        </w:pBdr>
        <w:spacing w:before="0" w:after="72" w:line="360"/>
        <w:ind w:left="0" w:right="0"/>
        <w:rPr>
          <w:color w:val="000000"/>
        </w:rPr>
      </w:pPr>
      <w:r>
        <w:rPr>
          <w:rFonts w:hint="eastAsia" w:ascii="宋体" w:hAnsi="宋体" w:eastAsia="宋体" w:cs="宋体"/>
          <w:b w:val="1"/>
          <w:color w:val="000000"/>
          <w:sz w:val="24"/>
        </w:rPr>
        <w:t>状态声明</w:t>
      </w:r>
    </w:p>
    <w:p w14:paraId="00000019">
      <w:pPr>
        <w:pBdr>
          <w:left w:val="single" w:color="01579b" w:sz="18"/>
        </w:pBdr>
        <w:spacing w:before="0" w:after="120" w:line="360"/>
        <w:ind w:left="0" w:right="0"/>
        <w:rPr>
          <w:color w:val="000000"/>
        </w:rPr>
      </w:pPr>
      <w:r>
        <w:rPr>
          <w:rFonts w:hint="eastAsia" w:ascii="宋体" w:hAnsi="宋体" w:eastAsia="宋体" w:cs="宋体"/>
          <w:color w:val="000000"/>
          <w:sz w:val="24"/>
        </w:rPr>
        <w:t>本文为申报规划文本。所有标注【待确认】者须在申报或实施前落实；现有数据为合成数据与文献参考值，不构成预实验结果；文献数值仅作各自情境参考，不构成本项目效应量假设的上下限。</w:t>
      </w:r>
    </w:p>
    <w:p w14:paraId="0000001A">
      <w:pPr>
        <w:pStyle w:val="000006"/>
        <w:keepNext w:val="1"/>
        <w:keepLines w:val="1"/>
        <w:spacing w:before="360" w:beforeAutospacing="1" w:after="240" w:afterAutospacing="1" w:line="360"/>
        <w:ind w:left="0" w:right="0"/>
        <w:outlineLvl w:val="1"/>
        <w:rPr>
          <w:color w:val="000000"/>
          <w:sz w:val="32"/>
          <w:szCs w:val="32"/>
        </w:rPr>
      </w:pPr>
      <w:bookmarkStart w:id="2" w:name="section-1"/>
      <w:r>
        <w:rPr>
          <w:rFonts w:hint="eastAsia" w:ascii="黑体" w:hAnsi="黑体" w:eastAsia="黑体" w:cs="黑体"/>
          <w:b w:val="1"/>
          <w:color w:val="000000"/>
          <w:sz w:val="28"/>
        </w:rPr>
        <w:t>一、科学问题</w:t>
      </w:r>
      <w:bookmarkEnd w:id="2"/>
    </w:p>
    <w:p w14:paraId="0000001B">
      <w:pPr>
        <w:spacing w:before="0" w:after="120" w:line="360"/>
        <w:ind w:left="0" w:right="0" w:firstLine="480"/>
        <w:rPr>
          <w:color w:val="000000"/>
        </w:rPr>
      </w:pPr>
      <w:r>
        <w:rPr>
          <w:rFonts w:hint="eastAsia" w:ascii="宋体" w:hAnsi="宋体" w:eastAsia="宋体" w:cs="宋体"/>
          <w:color w:val="000000"/>
          <w:sz w:val="24"/>
        </w:rPr>
        <w:t>在社区老年（≥60 岁）已确诊高血压人群中，以规范化家庭血压自测支持（测量培训、家庭记录与社区医生复诊回顾，不主导用药滴定）联合常规基层管理，与单纯常规基层管理相比，能否在 6 个月使诊室收缩压进一步下降？系统综述提示单纯自测 6 个月收缩压净差约 −3.9 mmHg（Uhlig 2013），但证据以西方人群为主、12 个月差异不再显著；含用药滴定成分的试验（TASMINH4）效应无法归因于"测量"本身。中文社区老年人群针对上述问题的直接随机对照证据覆盖程度尚需系统核查；纯测量效应的维持性、对照组自购血压计所致沾染的影响，均为本项目关注的问题。本项目以此为核心，并同步积累该人群的设计参数。</w:t>
      </w:r>
    </w:p>
    <w:p w14:paraId="0000001C">
      <w:pPr>
        <w:pStyle w:val="000006"/>
        <w:keepNext w:val="1"/>
        <w:keepLines w:val="1"/>
        <w:spacing w:before="360" w:beforeAutospacing="1" w:after="240" w:afterAutospacing="1" w:line="360"/>
        <w:ind w:left="0" w:right="0"/>
        <w:outlineLvl w:val="1"/>
        <w:rPr>
          <w:color w:val="000000"/>
          <w:sz w:val="32"/>
          <w:szCs w:val="32"/>
        </w:rPr>
      </w:pPr>
      <w:bookmarkStart w:id="3" w:name="section-2"/>
      <w:r>
        <w:rPr>
          <w:rFonts w:hint="eastAsia" w:ascii="黑体" w:hAnsi="黑体" w:eastAsia="黑体" w:cs="黑体"/>
          <w:b w:val="1"/>
          <w:color w:val="000000"/>
          <w:sz w:val="28"/>
        </w:rPr>
        <w:t>二、研究背景</w:t>
      </w:r>
      <w:bookmarkEnd w:id="3"/>
    </w:p>
    <w:p w14:paraId="0000001D">
      <w:pPr>
        <w:spacing w:before="0" w:after="120" w:line="360"/>
        <w:ind w:left="0" w:right="0" w:firstLine="480"/>
        <w:rPr>
          <w:color w:val="000000"/>
        </w:rPr>
      </w:pPr>
      <w:r>
        <w:rPr>
          <w:rFonts w:hint="eastAsia" w:ascii="宋体" w:hAnsi="宋体" w:eastAsia="宋体" w:cs="宋体"/>
          <w:color w:val="000000"/>
          <w:sz w:val="24"/>
        </w:rPr>
        <w:t>高血压是我国社区人群重要的心血管病危险因素之一，老年人群患病率高，其社区血压管理是本项目关注的问题。</w:t>
      </w:r>
    </w:p>
    <w:p w14:paraId="0000001E">
      <w:pPr>
        <w:spacing w:before="0" w:after="120" w:line="360"/>
        <w:ind w:left="0" w:right="0" w:firstLine="480"/>
        <w:rPr>
          <w:color w:val="000000"/>
        </w:rPr>
      </w:pPr>
      <w:r>
        <w:rPr>
          <w:rFonts w:hint="eastAsia" w:ascii="宋体" w:hAnsi="宋体" w:eastAsia="宋体" w:cs="宋体"/>
          <w:color w:val="000000"/>
          <w:sz w:val="24"/>
        </w:rPr>
        <w:t>家庭血压自测支持（规范化家庭测量、记录与复诊回顾）被认为有助于提升血压管理水平。本项目关注以下问题。其一，针对中文社区老年人群、以 6 个月诊室收缩压为主要结局的个体随机对照证据，其直接覆盖程度仍需系统核查：系统综述显示单纯自测 6 个月收缩压净差约 −3.9 mmHg（Uhlig 2013 摘要核对），但证据以西方人群为主，12 个月时差异不再显著。其二，含滴定成分的试验效应不能归因于单纯测量：TASMINH4（摘要与全文已核对）的效应来自"测量＋用药滴定"，其 12 个月调整均数差 −3.5 mmHg 不能移用为本项目效应量；TASMINH2、Margolis 与 CRHCP 设计不同，仅作情境参考。其三，纯测量（不主导用药调整）的效应能否在 6–12 个月维持及其机制不明。其四，老年人群家庭测量依从性缺少统一阈值依据；社区沾染（对照组自购血压计）的发生率与影响方向暂无可直接引用的实测数据——沾染可能稀释组间差异，也可能存在其他影响，均需实测后讨论，直接影响样本量与解释。</w:t>
      </w:r>
    </w:p>
    <w:p w14:paraId="0000001F">
      <w:pPr>
        <w:spacing w:before="0" w:after="120" w:line="360"/>
        <w:ind w:left="0" w:right="0" w:firstLine="480"/>
        <w:rPr>
          <w:color w:val="000000"/>
        </w:rPr>
      </w:pPr>
      <w:r>
        <w:rPr>
          <w:rFonts w:hint="eastAsia" w:ascii="宋体" w:hAnsi="宋体" w:eastAsia="宋体" w:cs="宋体"/>
          <w:color w:val="000000"/>
          <w:sz w:val="24"/>
        </w:rPr>
        <w:t>因此，在中文社区老年人群中开展按社区分层的个体随机对照试验、并预设沾染测量，既回答"纯测量支持能否改善 6 个月诊室收缩压"的应用问题，也为后续研究积累可复核的设计参数。</w:t>
      </w:r>
    </w:p>
    <w:p w14:paraId="00000020">
      <w:pPr>
        <w:pStyle w:val="000006"/>
        <w:keepNext w:val="1"/>
        <w:keepLines w:val="1"/>
        <w:spacing w:before="360" w:beforeAutospacing="1" w:after="240" w:afterAutospacing="1" w:line="360"/>
        <w:ind w:left="0" w:right="0"/>
        <w:outlineLvl w:val="1"/>
        <w:rPr>
          <w:color w:val="000000"/>
          <w:sz w:val="32"/>
          <w:szCs w:val="32"/>
        </w:rPr>
      </w:pPr>
      <w:bookmarkStart w:id="4" w:name="section-3"/>
      <w:r>
        <w:rPr>
          <w:rFonts w:hint="eastAsia" w:ascii="黑体" w:hAnsi="黑体" w:eastAsia="黑体" w:cs="黑体"/>
          <w:b w:val="1"/>
          <w:color w:val="000000"/>
          <w:sz w:val="28"/>
        </w:rPr>
        <w:t>三、研究目标</w:t>
      </w:r>
      <w:bookmarkEnd w:id="4"/>
    </w:p>
    <w:p w14:paraId="00000021">
      <w:pPr>
        <w:numPr>
          <w:ilvl w:val="0"/>
          <w:numId w:val="1"/>
        </w:numPr>
        <w:pBdr>
          <w:left w:space="30"/>
        </w:pBdr>
        <w:spacing w:before="0" w:after="96" w:line="360"/>
        <w:ind w:left="0" w:right="0"/>
        <w:rPr>
          <w:color w:val="000000"/>
        </w:rPr>
      </w:pPr>
      <w:r>
        <w:rPr>
          <w:rFonts w:hint="eastAsia" w:ascii="宋体" w:hAnsi="宋体" w:eastAsia="宋体" w:cs="宋体"/>
          <w:b w:val="1"/>
          <w:color w:val="000000"/>
          <w:sz w:val="24"/>
        </w:rPr>
        <w:t>主要目标</w:t>
      </w:r>
      <w:r>
        <w:rPr>
          <w:rFonts w:hint="eastAsia" w:ascii="宋体" w:hAnsi="宋体" w:eastAsia="宋体" w:cs="宋体"/>
          <w:color w:val="000000"/>
          <w:sz w:val="24"/>
        </w:rPr>
        <w:t>：比较家庭血压自测支持与常规基层管理在 6 个月诊室收缩压上的差异，报告调整基线收缩压、年龄、社区后的组间差及 95% CI。</w:t>
      </w:r>
    </w:p>
    <w:p w14:paraId="00000022">
      <w:pPr>
        <w:numPr>
          <w:ilvl w:val="0"/>
          <w:numId w:val="1"/>
        </w:numPr>
        <w:pBdr>
          <w:left w:space="30"/>
        </w:pBdr>
        <w:spacing w:before="0" w:after="96" w:line="360"/>
        <w:ind w:left="0" w:right="0"/>
        <w:rPr>
          <w:color w:val="000000"/>
        </w:rPr>
      </w:pPr>
      <w:r>
        <w:rPr>
          <w:rFonts w:hint="eastAsia" w:ascii="宋体" w:hAnsi="宋体" w:eastAsia="宋体" w:cs="宋体"/>
          <w:b w:val="1"/>
          <w:color w:val="000000"/>
          <w:sz w:val="24"/>
        </w:rPr>
        <w:t>次要与过程目标</w:t>
      </w:r>
      <w:r>
        <w:rPr>
          <w:rFonts w:hint="eastAsia" w:ascii="宋体" w:hAnsi="宋体" w:eastAsia="宋体" w:cs="宋体"/>
          <w:color w:val="000000"/>
          <w:sz w:val="24"/>
        </w:rPr>
        <w:t>：描述达标比例（阈值按申报年度现行指南确定【待确认】）；记录干预组家庭测量依从情况、随访完成与失访原因、两组自购血压计比例（沾染指标）及不良事件（单列描述，不作确证性终点）。</w:t>
      </w:r>
    </w:p>
    <w:p w14:paraId="00000023">
      <w:pPr>
        <w:numPr>
          <w:ilvl w:val="0"/>
          <w:numId w:val="1"/>
        </w:numPr>
        <w:pBdr>
          <w:left w:space="30"/>
        </w:pBdr>
        <w:spacing w:before="0" w:after="96" w:line="360"/>
        <w:ind w:left="0" w:right="0"/>
        <w:rPr>
          <w:color w:val="000000"/>
        </w:rPr>
      </w:pPr>
      <w:r>
        <w:rPr>
          <w:rFonts w:hint="eastAsia" w:ascii="宋体" w:hAnsi="宋体" w:eastAsia="宋体" w:cs="宋体"/>
          <w:b w:val="1"/>
          <w:color w:val="000000"/>
          <w:sz w:val="24"/>
        </w:rPr>
        <w:t>方法学目标</w:t>
      </w:r>
      <w:r>
        <w:rPr>
          <w:rFonts w:hint="eastAsia" w:ascii="宋体" w:hAnsi="宋体" w:eastAsia="宋体" w:cs="宋体"/>
          <w:color w:val="000000"/>
          <w:sz w:val="24"/>
        </w:rPr>
        <w:t>：为该人群后续研究积累基线分布、筛查—入组转化率、招募与失访率等参数；6 个月结局标准差、基线—结局相关与干预效应属纵向参数，需随访数据获得后确认。</w:t>
      </w:r>
    </w:p>
    <w:p w14:paraId="00000024">
      <w:pPr>
        <w:pStyle w:val="000006"/>
        <w:keepNext w:val="1"/>
        <w:keepLines w:val="1"/>
        <w:spacing w:before="360" w:beforeAutospacing="1" w:after="240" w:afterAutospacing="1" w:line="360"/>
        <w:ind w:left="0" w:right="0"/>
        <w:outlineLvl w:val="1"/>
        <w:rPr>
          <w:color w:val="000000"/>
          <w:sz w:val="32"/>
          <w:szCs w:val="32"/>
        </w:rPr>
      </w:pPr>
      <w:bookmarkStart w:id="5" w:name="section-4"/>
      <w:r>
        <w:rPr>
          <w:rFonts w:hint="eastAsia" w:ascii="黑体" w:hAnsi="黑体" w:eastAsia="黑体" w:cs="黑体"/>
          <w:b w:val="1"/>
          <w:color w:val="000000"/>
          <w:sz w:val="28"/>
        </w:rPr>
        <w:t>四、创新点</w:t>
      </w:r>
      <w:bookmarkEnd w:id="5"/>
    </w:p>
    <w:p w14:paraId="00000025">
      <w:pPr>
        <w:numPr>
          <w:ilvl w:val="0"/>
          <w:numId w:val="2"/>
        </w:numPr>
        <w:pBdr>
          <w:left w:space="30"/>
        </w:pBdr>
        <w:spacing w:before="0" w:after="96" w:line="360"/>
        <w:ind w:left="0" w:right="0"/>
        <w:rPr>
          <w:color w:val="000000"/>
        </w:rPr>
      </w:pPr>
      <w:r>
        <w:rPr>
          <w:rFonts w:hint="eastAsia" w:ascii="宋体" w:hAnsi="宋体" w:eastAsia="宋体" w:cs="宋体"/>
          <w:b w:val="1"/>
          <w:color w:val="000000"/>
          <w:sz w:val="24"/>
        </w:rPr>
        <w:t>问题定位</w:t>
      </w:r>
      <w:r>
        <w:rPr>
          <w:rFonts w:hint="eastAsia" w:ascii="宋体" w:hAnsi="宋体" w:eastAsia="宋体" w:cs="宋体"/>
          <w:color w:val="000000"/>
          <w:sz w:val="24"/>
        </w:rPr>
        <w:t>：以中文社区老年人群为对象、以 6 个月诊室收缩压为主要结局开展个体随机对照试验，回应本项目关注的应用问题；该人群直接证据的覆盖程度尚待系统核查确认。</w:t>
      </w:r>
    </w:p>
    <w:p w14:paraId="00000026">
      <w:pPr>
        <w:numPr>
          <w:ilvl w:val="0"/>
          <w:numId w:val="2"/>
        </w:numPr>
        <w:pBdr>
          <w:left w:space="30"/>
        </w:pBdr>
        <w:spacing w:before="0" w:after="96" w:line="360"/>
        <w:ind w:left="0" w:right="0"/>
        <w:rPr>
          <w:color w:val="000000"/>
        </w:rPr>
      </w:pPr>
      <w:r>
        <w:rPr>
          <w:rFonts w:hint="eastAsia" w:ascii="宋体" w:hAnsi="宋体" w:eastAsia="宋体" w:cs="宋体"/>
          <w:b w:val="1"/>
          <w:color w:val="000000"/>
          <w:sz w:val="24"/>
        </w:rPr>
        <w:t>设计特点——沾染的预设测量</w:t>
      </w:r>
      <w:r>
        <w:rPr>
          <w:rFonts w:hint="eastAsia" w:ascii="宋体" w:hAnsi="宋体" w:eastAsia="宋体" w:cs="宋体"/>
          <w:color w:val="000000"/>
          <w:sz w:val="24"/>
        </w:rPr>
        <w:t>：于入组时与 6 个月时点在两组记录自购血压计持有情况，并纳入结果解释。此为设计层面的特点而非新方法，其价值在于为该人群积累沾染的实测经验数据。</w:t>
      </w:r>
    </w:p>
    <w:p w14:paraId="00000027">
      <w:pPr>
        <w:numPr>
          <w:ilvl w:val="0"/>
          <w:numId w:val="2"/>
        </w:numPr>
        <w:pBdr>
          <w:left w:space="30"/>
        </w:pBdr>
        <w:spacing w:before="0" w:after="96" w:line="360"/>
        <w:ind w:left="0" w:right="0"/>
        <w:rPr>
          <w:color w:val="000000"/>
        </w:rPr>
      </w:pPr>
      <w:r>
        <w:rPr>
          <w:rFonts w:hint="eastAsia" w:ascii="宋体" w:hAnsi="宋体" w:eastAsia="宋体" w:cs="宋体"/>
          <w:b w:val="1"/>
          <w:color w:val="000000"/>
          <w:sz w:val="24"/>
        </w:rPr>
        <w:t>设计特点——参数显式化的敏感性样本量框架</w:t>
      </w:r>
      <w:r>
        <w:rPr>
          <w:rFonts w:hint="eastAsia" w:ascii="宋体" w:hAnsi="宋体" w:eastAsia="宋体" w:cs="宋体"/>
          <w:color w:val="000000"/>
          <w:sz w:val="24"/>
        </w:rPr>
        <w:t>：以可重跑脚本（sample_size.py）呈现组间差×标准差敏感性矩阵，全部参数标注来源与核对状态。此为统计设计特点而非方法学创新，其价值在于参数使用的透明与可复核。</w:t>
      </w:r>
    </w:p>
    <w:p w14:paraId="00000028">
      <w:pPr>
        <w:pStyle w:val="000006"/>
        <w:keepNext w:val="1"/>
        <w:keepLines w:val="1"/>
        <w:spacing w:before="360" w:beforeAutospacing="1" w:after="240" w:afterAutospacing="1" w:line="360"/>
        <w:ind w:left="0" w:right="0"/>
        <w:outlineLvl w:val="1"/>
        <w:rPr>
          <w:color w:val="000000"/>
          <w:sz w:val="32"/>
          <w:szCs w:val="32"/>
        </w:rPr>
      </w:pPr>
      <w:bookmarkStart w:id="6" w:name="section-5"/>
      <w:r>
        <w:rPr>
          <w:rFonts w:hint="eastAsia" w:ascii="黑体" w:hAnsi="黑体" w:eastAsia="黑体" w:cs="黑体"/>
          <w:b w:val="1"/>
          <w:color w:val="000000"/>
          <w:sz w:val="28"/>
        </w:rPr>
        <w:t>五、设计与统计方案</w:t>
      </w:r>
      <w:bookmarkEnd w:id="6"/>
    </w:p>
    <w:p w14:paraId="00000029">
      <w:pPr>
        <w:spacing w:before="0" w:after="120" w:line="360"/>
        <w:ind w:left="0" w:right="0" w:firstLine="480"/>
        <w:rPr>
          <w:color w:val="000000"/>
        </w:rPr>
      </w:pPr>
      <w:r>
        <w:rPr>
          <w:rFonts w:hint="eastAsia" w:ascii="宋体" w:hAnsi="宋体" w:eastAsia="宋体" w:cs="宋体"/>
          <w:b w:val="1"/>
          <w:color w:val="000000"/>
          <w:sz w:val="24"/>
        </w:rPr>
        <w:t>设计</w:t>
      </w:r>
      <w:r>
        <w:rPr>
          <w:rFonts w:hint="eastAsia" w:ascii="宋体" w:hAnsi="宋体" w:eastAsia="宋体" w:cs="宋体"/>
          <w:color w:val="000000"/>
          <w:sz w:val="24"/>
        </w:rPr>
        <w:t>：前瞻性、平行组、个体随机对照试验；周期 12 个月，机构为两家城市社区【待确认】；每个社区内均按 1:1 随机分入干预组和对照组，按社区分层。</w:t>
      </w:r>
    </w:p>
    <w:p w14:paraId="0000002A">
      <w:pPr>
        <w:spacing w:before="0" w:after="120" w:line="360"/>
        <w:ind w:left="0" w:right="0" w:firstLine="480"/>
        <w:rPr>
          <w:color w:val="000000"/>
        </w:rPr>
      </w:pPr>
      <w:r>
        <w:rPr>
          <w:rFonts w:hint="eastAsia" w:ascii="宋体" w:hAnsi="宋体" w:eastAsia="宋体" w:cs="宋体"/>
          <w:b w:val="1"/>
          <w:color w:val="000000"/>
          <w:sz w:val="24"/>
        </w:rPr>
        <w:t>对象</w:t>
      </w:r>
      <w:r>
        <w:rPr>
          <w:rFonts w:hint="eastAsia" w:ascii="宋体" w:hAnsi="宋体" w:eastAsia="宋体" w:cs="宋体"/>
          <w:color w:val="000000"/>
          <w:sz w:val="24"/>
        </w:rPr>
        <w:t>：纳入 ≥60 岁常住居民、已确诊原发性高血压、能独立或在家属协助下完成家庭测量并签署知情同意者；排除继发性或急进性高血压、降压方案未稳定≥4 周、体位性低血压或房颤、痴呆或严重认知障碍、4 期及以上慢性肾脏病、已规律家庭监测且无额外获益者（纳排标准【待临床审核】）。</w:t>
      </w:r>
    </w:p>
    <w:p w14:paraId="0000002B">
      <w:pPr>
        <w:spacing w:before="0" w:after="120" w:line="360"/>
        <w:ind w:left="0" w:right="0" w:firstLine="480"/>
        <w:rPr>
          <w:color w:val="000000"/>
        </w:rPr>
      </w:pPr>
      <w:r>
        <w:rPr>
          <w:rFonts w:hint="eastAsia" w:ascii="宋体" w:hAnsi="宋体" w:eastAsia="宋体" w:cs="宋体"/>
          <w:b w:val="1"/>
          <w:color w:val="000000"/>
          <w:sz w:val="24"/>
        </w:rPr>
        <w:t>干预与对照</w:t>
      </w:r>
      <w:r>
        <w:rPr>
          <w:rFonts w:hint="eastAsia" w:ascii="宋体" w:hAnsi="宋体" w:eastAsia="宋体" w:cs="宋体"/>
          <w:color w:val="000000"/>
          <w:sz w:val="24"/>
        </w:rPr>
        <w:t>：干预组发放经验证上臂式血压计【型号待确认】，按 AHA 流程培训（静息≥5 分钟后测量，每次 2 次读数、隔 1 分钟记录，余按事实卡 F03–F09），频次【待确认】；第 3、6 个月携记录由社区医生回顾。干预不主导用药滴定（事实卡 F01/F02）：不因家庭读数自行停药，用药由常规路径管理。对照组维持现有社区管理；其自购血压计形成沾染，入组时及第 6 个月记录两组持有情况。</w:t>
      </w:r>
    </w:p>
    <w:p w14:paraId="0000002C">
      <w:pPr>
        <w:spacing w:before="0" w:after="120" w:line="360"/>
        <w:ind w:left="0" w:right="0" w:firstLine="480"/>
        <w:rPr>
          <w:color w:val="000000"/>
        </w:rPr>
      </w:pPr>
      <w:r>
        <w:rPr>
          <w:rFonts w:hint="eastAsia" w:ascii="宋体" w:hAnsi="宋体" w:eastAsia="宋体" w:cs="宋体"/>
          <w:b w:val="1"/>
          <w:color w:val="000000"/>
          <w:sz w:val="24"/>
        </w:rPr>
        <w:t>随机化与样本量</w:t>
      </w:r>
      <w:r>
        <w:rPr>
          <w:rFonts w:hint="eastAsia" w:ascii="宋体" w:hAnsi="宋体" w:eastAsia="宋体" w:cs="宋体"/>
          <w:color w:val="000000"/>
          <w:sz w:val="24"/>
        </w:rPr>
        <w:t>：按社区分层、1:1 个体随机；区组随机隐匿与分配隐藏【待确认】；随机序列由不参与入组与测量者生成；测量者设盲；揭盲前完成 SAP 定稿与数据锁定。样本量按均数比较（双侧 α=0.05、把握度 0.80、1:1、脱落 15%）以 δ（3/4/5）×SD（12/15/18）敏感性矩阵呈现 9 种组合，含脱落膨胀后总例数约 216–1332 例；δ 与 SD 待确认（参考值来自 Uhlig 2013 与 TASMINH4，情境不同）。最终样本量申请时尚未确定；第十节 336 例仅为预算测算情景。</w:t>
      </w:r>
    </w:p>
    <w:p w14:paraId="0000002D">
      <w:pPr>
        <w:spacing w:before="0" w:after="120" w:line="360"/>
        <w:ind w:left="0" w:right="0" w:firstLine="480"/>
        <w:rPr>
          <w:color w:val="000000"/>
        </w:rPr>
      </w:pPr>
      <w:r>
        <w:rPr>
          <w:rFonts w:hint="eastAsia" w:ascii="宋体" w:hAnsi="宋体" w:eastAsia="宋体" w:cs="宋体"/>
          <w:b w:val="1"/>
          <w:color w:val="000000"/>
          <w:sz w:val="24"/>
        </w:rPr>
        <w:t>统计分析</w:t>
      </w:r>
      <w:r>
        <w:rPr>
          <w:rFonts w:hint="eastAsia" w:ascii="宋体" w:hAnsi="宋体" w:eastAsia="宋体" w:cs="宋体"/>
          <w:color w:val="000000"/>
          <w:sz w:val="24"/>
        </w:rPr>
        <w:t>：主分析为完整病例线性回归：6 个月收缩压～组别＋基线收缩压＋年龄＋社区，报告调整均数差及 95% CI；缺失可能引入偏倚，不称完整意向性分析。敏感性分析：HC3 稳健标准误重估（仅涉及标准误估计）；纳入者与缺失者基线特征比较（属缺失模式描述，不推断缺失机制或偏倚方向）；沾染持有率的解释性讨论（作可能性讨论，不断言方向）。无预设亚组分析。</w:t>
      </w:r>
    </w:p>
    <w:p w14:paraId="0000002E">
      <w:pPr>
        <w:pStyle w:val="000006"/>
        <w:keepNext w:val="1"/>
        <w:keepLines w:val="1"/>
        <w:spacing w:before="360" w:beforeAutospacing="1" w:after="240" w:afterAutospacing="1" w:line="360"/>
        <w:ind w:left="0" w:right="0"/>
        <w:outlineLvl w:val="1"/>
        <w:rPr>
          <w:color w:val="000000"/>
          <w:sz w:val="32"/>
          <w:szCs w:val="32"/>
        </w:rPr>
      </w:pPr>
      <w:bookmarkStart w:id="7" w:name="section-6"/>
      <w:r>
        <w:rPr>
          <w:rFonts w:hint="eastAsia" w:ascii="黑体" w:hAnsi="黑体" w:eastAsia="黑体" w:cs="黑体"/>
          <w:b w:val="1"/>
          <w:color w:val="000000"/>
          <w:sz w:val="28"/>
        </w:rPr>
        <w:t>六、技术路线</w:t>
      </w:r>
      <w:bookmarkEnd w:id="7"/>
    </w:p>
    <w:p w14:paraId="0000002F">
      <w:pPr>
        <w:spacing w:before="0" w:after="120" w:line="360"/>
        <w:ind w:left="0" w:right="0" w:firstLine="480"/>
        <w:rPr>
          <w:color w:val="000000"/>
        </w:rPr>
      </w:pPr>
      <w:r>
        <w:rPr>
          <w:rFonts w:hint="eastAsia" w:ascii="宋体" w:hAnsi="宋体" w:eastAsia="宋体" w:cs="宋体"/>
          <w:color w:val="000000"/>
          <w:sz w:val="24"/>
        </w:rPr>
        <w:t>技术路线如下图（可编辑源文件：技术路线图.mmd）：申报与立项 → 准备期（第 1–2 月：伦理申报与批准、机构协议、设备采购校准、SOP 与培训、参数核实与样本量重算）→ 招募期（第 3–4 月：名册筛查、知情同意、基线测量、分层个体随机）→ 随访期（第 3–10 月：两组第 3、6 个月访视，第 6 个月完成主要结局测量；每周核对入组进度）→ 结题期（第 11–12 月：数据清洗锁定、按 SAP 分析、报告撰写与结题）。</w:t>
      </w:r>
    </w:p>
    <w:p>
      <w:r>
        <w:drawing>
          <wp:inline xmlns:wp="http://schemas.openxmlformats.org/drawingml/2006/wordprocessingDrawing" xmlns:a="http://schemas.openxmlformats.org/drawingml/2006/main" xmlns:pic="http://schemas.openxmlformats.org/drawingml/2006/picture">
            <wp:extent cx="5580000" cy="5053330"/>
            <wp:docPr id="1" name="Picture 1"/>
            <wp:cNvGraphicFramePr>
              <a:graphicFrameLocks noChangeAspect="1"/>
            </wp:cNvGraphicFramePr>
            <a:graphic>
              <a:graphicData uri="http://schemas.openxmlformats.org/drawingml/2006/picture">
                <pic:pic>
                  <pic:nvPicPr>
                    <pic:cNvPr id="0" name="技术路线图.png"/>
                    <pic:cNvPicPr/>
                  </pic:nvPicPr>
                  <pic:blipFill>
                    <a:blip r:embed="rId7"/>
                    <a:stretch>
                      <a:fillRect/>
                    </a:stretch>
                  </pic:blipFill>
                  <pic:spPr>
                    <a:xfrm>
                      <a:off x="0" y="0"/>
                      <a:ext cx="5580000" cy="5053330"/>
                    </a:xfrm>
                    <a:prstGeom prst="rect"/>
                  </pic:spPr>
                </pic:pic>
              </a:graphicData>
            </a:graphic>
          </wp:inline>
        </w:drawing>
      </w:r>
    </w:p>
    <w:p w14:paraId="00000030">
      <w:pPr>
        <w:pStyle w:val="000006"/>
        <w:keepNext w:val="1"/>
        <w:keepLines w:val="1"/>
        <w:spacing w:before="360" w:beforeAutospacing="1" w:after="240" w:afterAutospacing="1" w:line="360"/>
        <w:ind w:left="0" w:right="0"/>
        <w:outlineLvl w:val="1"/>
        <w:rPr>
          <w:color w:val="000000"/>
          <w:sz w:val="32"/>
          <w:szCs w:val="32"/>
        </w:rPr>
      </w:pPr>
      <w:bookmarkStart w:id="8" w:name="section-7"/>
      <w:r>
        <w:rPr>
          <w:rFonts w:hint="eastAsia" w:ascii="黑体" w:hAnsi="黑体" w:eastAsia="黑体" w:cs="黑体"/>
          <w:b w:val="1"/>
          <w:color w:val="000000"/>
          <w:sz w:val="28"/>
        </w:rPr>
        <w:t>七、研究基础、合作条件与参数来源</w:t>
      </w:r>
      <w:bookmarkEnd w:id="8"/>
    </w:p>
    <w:p w14:paraId="00000031">
      <w:pPr>
        <w:spacing w:before="0" w:after="120" w:line="360"/>
        <w:ind w:left="0" w:right="0" w:firstLine="480"/>
        <w:rPr>
          <w:color w:val="000000"/>
        </w:rPr>
      </w:pPr>
      <w:r>
        <w:rPr>
          <w:rFonts w:hint="eastAsia" w:ascii="宋体" w:hAnsi="宋体" w:eastAsia="宋体" w:cs="宋体"/>
          <w:b w:val="1"/>
          <w:color w:val="000000"/>
          <w:sz w:val="24"/>
        </w:rPr>
        <w:t>已具备条件（计划文本与工具）</w:t>
      </w:r>
      <w:r>
        <w:rPr>
          <w:rFonts w:hint="eastAsia" w:ascii="宋体" w:hAnsi="宋体" w:eastAsia="宋体" w:cs="宋体"/>
          <w:color w:val="000000"/>
          <w:sz w:val="24"/>
        </w:rPr>
        <w:t>：</w:t>
      </w:r>
    </w:p>
    <w:tbl>
      <w:tblPr>
        <w:tblW w:w="8306" w:type="dxa"/>
        <w:shd w:color="000000"/>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none" w:sz="8"/>
              <w:left w:val="none" w:sz="8"/>
              <w:bottom w:val="none" w:sz="8"/>
              <w:right w:val="none" w:sz="8"/>
            </w:tcBorders>
            <w:shd w:val="clear" w:fill="f0f0f0"/>
            <w:tcMar>
              <w:top w:w="96" w:type="dxa"/>
              <w:left w:w="144" w:type="dxa"/>
              <w:bottom w:w="96" w:type="dxa"/>
              <w:right w:w="144" w:type="dxa"/>
            </w:tcMar>
            <w:vAlign w:val="center"/>
          </w:tcPr>
          <w:p w14:paraId="00000032">
            <w:pPr>
              <w:jc w:val="left"/>
              <w:rPr>
                <w:b w:val="1"/>
                <w:bCs w:val="1"/>
                <w:color w:val="000000"/>
              </w:rPr>
            </w:pPr>
            <w:r>
              <w:rPr>
                <w:rFonts w:hint="eastAsia" w:ascii="宋体" w:hAnsi="宋体" w:eastAsia="宋体" w:cs="宋体"/>
                <w:b w:val="1"/>
                <w:color w:val="000000"/>
                <w:sz w:val="21"/>
              </w:rPr>
              <w:t>项目</w:t>
            </w:r>
          </w:p>
        </w:tc>
        <w:tc>
          <w:tcPr>
            <w:tcW w:w="2768" w:type="dxa"/>
            <w:tcBorders>
              <w:top w:val="none" w:sz="8"/>
              <w:left w:val="none" w:sz="8"/>
              <w:bottom w:val="none" w:sz="8"/>
              <w:right w:val="none" w:sz="8"/>
            </w:tcBorders>
            <w:shd w:val="clear" w:fill="f0f0f0"/>
            <w:tcMar>
              <w:top w:w="96" w:type="dxa"/>
              <w:left w:w="144" w:type="dxa"/>
              <w:bottom w:w="96" w:type="dxa"/>
              <w:right w:w="144" w:type="dxa"/>
            </w:tcMar>
            <w:vAlign w:val="center"/>
          </w:tcPr>
          <w:p w14:paraId="00000033">
            <w:pPr>
              <w:jc w:val="left"/>
              <w:rPr>
                <w:b w:val="1"/>
                <w:bCs w:val="1"/>
                <w:color w:val="000000"/>
              </w:rPr>
            </w:pPr>
            <w:r>
              <w:rPr>
                <w:rFonts w:hint="eastAsia" w:ascii="宋体" w:hAnsi="宋体" w:eastAsia="宋体" w:cs="宋体"/>
                <w:b w:val="1"/>
                <w:color w:val="000000"/>
                <w:sz w:val="21"/>
              </w:rPr>
              <w:t>状态</w:t>
            </w:r>
          </w:p>
        </w:tc>
        <w:tc>
          <w:tcPr>
            <w:tcW w:w="2768" w:type="dxa"/>
            <w:tcBorders>
              <w:top w:val="none" w:sz="8"/>
              <w:left w:val="none" w:sz="8"/>
              <w:bottom w:val="none" w:sz="8"/>
              <w:right w:val="none" w:sz="8"/>
            </w:tcBorders>
            <w:shd w:val="clear" w:fill="f0f0f0"/>
            <w:tcMar>
              <w:top w:w="96" w:type="dxa"/>
              <w:left w:w="144" w:type="dxa"/>
              <w:bottom w:w="96" w:type="dxa"/>
              <w:right w:w="144" w:type="dxa"/>
            </w:tcMar>
            <w:vAlign w:val="center"/>
          </w:tcPr>
          <w:p w14:paraId="00000034">
            <w:pPr>
              <w:jc w:val="left"/>
              <w:rPr>
                <w:b w:val="1"/>
                <w:bCs w:val="1"/>
                <w:color w:val="000000"/>
              </w:rPr>
            </w:pPr>
            <w:r>
              <w:rPr>
                <w:rFonts w:hint="eastAsia" w:ascii="宋体" w:hAnsi="宋体" w:eastAsia="宋体" w:cs="宋体"/>
                <w:b w:val="1"/>
                <w:color w:val="000000"/>
                <w:sz w:val="21"/>
              </w:rPr>
              <w:t>依据</w:t>
            </w:r>
          </w:p>
        </w:tc>
      </w:tr>
      <w:tr>
        <w:trPr/>
        <w:tc>
          <w:tcPr>
            <w:tcW w:w="2768" w:type="dxa"/>
            <w:tcBorders>
              <w:top w:val="none" w:sz="8"/>
              <w:left w:val="none" w:sz="8"/>
              <w:bottom w:val="none" w:sz="8"/>
              <w:right w:val="none" w:sz="8"/>
            </w:tcBorders>
            <w:tcMar>
              <w:top w:w="96" w:type="dxa"/>
              <w:left w:w="144" w:type="dxa"/>
              <w:bottom w:w="96" w:type="dxa"/>
              <w:right w:w="144" w:type="dxa"/>
            </w:tcMar>
            <w:vAlign w:val="center"/>
          </w:tcPr>
          <w:p w14:paraId="00000035">
            <w:pPr>
              <w:jc w:val="left"/>
              <w:rPr>
                <w:color w:val="000000"/>
              </w:rPr>
            </w:pPr>
            <w:r>
              <w:rPr>
                <w:rFonts w:hint="eastAsia" w:ascii="宋体" w:hAnsi="宋体" w:eastAsia="宋体" w:cs="宋体"/>
                <w:color w:val="000000"/>
                <w:sz w:val="21"/>
              </w:rPr>
              <w:t>设计框架、PICO、随机化方案</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36">
            <w:pPr>
              <w:jc w:val="left"/>
              <w:rPr>
                <w:color w:val="000000"/>
              </w:rPr>
            </w:pPr>
            <w:r>
              <w:rPr>
                <w:rFonts w:hint="eastAsia" w:ascii="宋体" w:hAnsi="宋体" w:eastAsia="宋体" w:cs="宋体"/>
                <w:color w:val="000000"/>
                <w:sz w:val="21"/>
              </w:rPr>
              <w:t>已具备（计划文本）</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37">
            <w:pPr>
              <w:jc w:val="left"/>
              <w:rPr>
                <w:color w:val="000000"/>
              </w:rPr>
            </w:pPr>
            <w:r>
              <w:rPr>
                <w:rFonts w:hint="eastAsia" w:ascii="宋体" w:hAnsi="宋体" w:eastAsia="宋体" w:cs="宋体"/>
                <w:color w:val="000000"/>
                <w:sz w:val="21"/>
              </w:rPr>
              <w:t>《研究方案》v1.2，源于文献调研与选题简报</w:t>
            </w:r>
          </w:p>
        </w:tc>
      </w:tr>
      <w:tr>
        <w:trPr/>
        <w:tc>
          <w:tcPr>
            <w:tcW w:w="2768" w:type="dxa"/>
            <w:tcBorders>
              <w:top w:val="none" w:sz="8"/>
              <w:left w:val="none" w:sz="8"/>
              <w:bottom w:val="none" w:sz="8"/>
              <w:right w:val="none" w:sz="8"/>
            </w:tcBorders>
            <w:tcMar>
              <w:top w:w="96" w:type="dxa"/>
              <w:left w:w="144" w:type="dxa"/>
              <w:bottom w:w="96" w:type="dxa"/>
              <w:right w:w="144" w:type="dxa"/>
            </w:tcMar>
            <w:vAlign w:val="center"/>
          </w:tcPr>
          <w:p w14:paraId="00000038">
            <w:pPr>
              <w:jc w:val="left"/>
              <w:rPr>
                <w:color w:val="000000"/>
              </w:rPr>
            </w:pPr>
            <w:r>
              <w:rPr>
                <w:rFonts w:hint="eastAsia" w:ascii="宋体" w:hAnsi="宋体" w:eastAsia="宋体" w:cs="宋体"/>
                <w:color w:val="000000"/>
                <w:sz w:val="21"/>
              </w:rPr>
              <w:t>干预内容界定（测量流程 F03–F09、复诊回顾 F10）</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39">
            <w:pPr>
              <w:jc w:val="left"/>
              <w:rPr>
                <w:color w:val="000000"/>
              </w:rPr>
            </w:pPr>
            <w:r>
              <w:rPr>
                <w:rFonts w:hint="eastAsia" w:ascii="宋体" w:hAnsi="宋体" w:eastAsia="宋体" w:cs="宋体"/>
                <w:color w:val="000000"/>
                <w:sz w:val="21"/>
              </w:rPr>
              <w:t>已具备（计划文本）；事实卡来源核对、医生未签署</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3A">
            <w:pPr>
              <w:jc w:val="left"/>
              <w:rPr>
                <w:color w:val="000000"/>
              </w:rPr>
            </w:pPr>
            <w:r>
              <w:rPr>
                <w:rFonts w:hint="eastAsia" w:ascii="宋体" w:hAnsi="宋体" w:eastAsia="宋体" w:cs="宋体"/>
                <w:color w:val="000000"/>
                <w:sz w:val="21"/>
              </w:rPr>
              <w:t>事实卡 F01–F10（AHA 来源核对）</w:t>
            </w:r>
          </w:p>
        </w:tc>
      </w:tr>
      <w:tr>
        <w:trPr/>
        <w:tc>
          <w:tcPr>
            <w:tcW w:w="2768" w:type="dxa"/>
            <w:tcBorders>
              <w:top w:val="none" w:sz="8"/>
              <w:left w:val="none" w:sz="8"/>
              <w:bottom w:val="none" w:sz="8"/>
              <w:right w:val="none" w:sz="8"/>
            </w:tcBorders>
            <w:tcMar>
              <w:top w:w="96" w:type="dxa"/>
              <w:left w:w="144" w:type="dxa"/>
              <w:bottom w:w="96" w:type="dxa"/>
              <w:right w:w="144" w:type="dxa"/>
            </w:tcMar>
            <w:vAlign w:val="center"/>
          </w:tcPr>
          <w:p w14:paraId="0000003B">
            <w:pPr>
              <w:jc w:val="left"/>
              <w:rPr>
                <w:color w:val="000000"/>
              </w:rPr>
            </w:pPr>
            <w:r>
              <w:rPr>
                <w:rFonts w:hint="eastAsia" w:ascii="宋体" w:hAnsi="宋体" w:eastAsia="宋体" w:cs="宋体"/>
                <w:color w:val="000000"/>
                <w:sz w:val="21"/>
              </w:rPr>
              <w:t>统计分析计划（数据字典、主模型、缺失与清洗规则）</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3C">
            <w:pPr>
              <w:jc w:val="left"/>
              <w:rPr>
                <w:color w:val="000000"/>
              </w:rPr>
            </w:pPr>
            <w:r>
              <w:rPr>
                <w:rFonts w:hint="eastAsia" w:ascii="宋体" w:hAnsi="宋体" w:eastAsia="宋体" w:cs="宋体"/>
                <w:color w:val="000000"/>
                <w:sz w:val="21"/>
              </w:rPr>
              <w:t>已具备（计划文本）</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3D">
            <w:pPr>
              <w:jc w:val="left"/>
              <w:rPr>
                <w:color w:val="000000"/>
              </w:rPr>
            </w:pPr>
            <w:r>
              <w:rPr>
                <w:rFonts w:hint="eastAsia" w:ascii="宋体" w:hAnsi="宋体" w:eastAsia="宋体" w:cs="宋体"/>
                <w:color w:val="000000"/>
                <w:sz w:val="21"/>
              </w:rPr>
              <w:t>《统计分析计划》v1.2</w:t>
            </w:r>
          </w:p>
        </w:tc>
      </w:tr>
      <w:tr>
        <w:trPr/>
        <w:tc>
          <w:tcPr>
            <w:tcW w:w="2768" w:type="dxa"/>
            <w:tcBorders>
              <w:top w:val="none" w:sz="8"/>
              <w:left w:val="none" w:sz="8"/>
              <w:bottom w:val="none" w:sz="8"/>
              <w:right w:val="none" w:sz="8"/>
            </w:tcBorders>
            <w:tcMar>
              <w:top w:w="96" w:type="dxa"/>
              <w:left w:w="144" w:type="dxa"/>
              <w:bottom w:w="96" w:type="dxa"/>
              <w:right w:w="144" w:type="dxa"/>
            </w:tcMar>
            <w:vAlign w:val="center"/>
          </w:tcPr>
          <w:p w14:paraId="0000003E">
            <w:pPr>
              <w:jc w:val="left"/>
              <w:rPr>
                <w:color w:val="000000"/>
              </w:rPr>
            </w:pPr>
            <w:r>
              <w:rPr>
                <w:rFonts w:hint="eastAsia" w:ascii="宋体" w:hAnsi="宋体" w:eastAsia="宋体" w:cs="宋体"/>
                <w:color w:val="000000"/>
                <w:sz w:val="21"/>
              </w:rPr>
              <w:t>样本量脚本与敏感性矩阵</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3F">
            <w:pPr>
              <w:jc w:val="left"/>
              <w:rPr>
                <w:color w:val="000000"/>
              </w:rPr>
            </w:pPr>
            <w:r>
              <w:rPr>
                <w:rFonts w:hint="eastAsia" w:ascii="宋体" w:hAnsi="宋体" w:eastAsia="宋体" w:cs="宋体"/>
                <w:color w:val="000000"/>
                <w:sz w:val="21"/>
              </w:rPr>
              <w:t>已具备，可重跑</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40">
            <w:pPr>
              <w:jc w:val="left"/>
              <w:rPr>
                <w:color w:val="000000"/>
              </w:rPr>
            </w:pPr>
            <w:r>
              <w:rPr>
                <w:rFonts w:hint="eastAsia" w:ascii="宋体" w:hAnsi="宋体" w:eastAsia="宋体" w:cs="宋体"/>
                <w:color w:val="000000"/>
                <w:sz w:val="21"/>
              </w:rPr>
              <w:t>sample_size.py 及输出、《样本量参数来源表》</w:t>
            </w:r>
          </w:p>
        </w:tc>
      </w:tr>
    </w:tbl>
    <w:p w14:paraId="00000041">
      <w:pPr>
        <w:spacing w:before="0" w:after="120" w:line="360"/>
        <w:ind w:left="0" w:right="0" w:firstLine="480"/>
        <w:rPr>
          <w:color w:val="000000"/>
        </w:rPr>
      </w:pPr>
      <w:r>
        <w:rPr>
          <w:rFonts w:hint="eastAsia" w:ascii="宋体" w:hAnsi="宋体" w:eastAsia="宋体" w:cs="宋体"/>
          <w:b w:val="1"/>
          <w:color w:val="000000"/>
          <w:sz w:val="24"/>
        </w:rPr>
        <w:t>合作条件</w:t>
      </w:r>
      <w:r>
        <w:rPr>
          <w:rFonts w:hint="eastAsia" w:ascii="宋体" w:hAnsi="宋体" w:eastAsia="宋体" w:cs="宋体"/>
          <w:color w:val="000000"/>
          <w:sz w:val="24"/>
        </w:rPr>
        <w:t>：拟依托两家城市社区卫生服务机构，实施社区内个体随机；机构名称、登记名册、医生可投入时间均【待确认】。</w:t>
      </w:r>
    </w:p>
    <w:p w14:paraId="00000042">
      <w:pPr>
        <w:spacing w:before="0" w:after="120" w:line="360"/>
        <w:ind w:left="0" w:right="0" w:firstLine="480"/>
        <w:rPr>
          <w:color w:val="000000"/>
        </w:rPr>
      </w:pPr>
      <w:r>
        <w:rPr>
          <w:rFonts w:hint="eastAsia" w:ascii="宋体" w:hAnsi="宋体" w:eastAsia="宋体" w:cs="宋体"/>
          <w:b w:val="1"/>
          <w:color w:val="000000"/>
          <w:sz w:val="24"/>
        </w:rPr>
        <w:t>参数来源与状态</w:t>
      </w:r>
      <w:r>
        <w:rPr>
          <w:rFonts w:hint="eastAsia" w:ascii="宋体" w:hAnsi="宋体" w:eastAsia="宋体" w:cs="宋体"/>
          <w:color w:val="000000"/>
          <w:sz w:val="24"/>
        </w:rPr>
        <w:t>：双侧 α=0.05、把握度 0.80、1:1 分组、脱落率 15% 为本项目设定；组间差 −3.9 mmHg（Uhlig 2013 摘要）、SD 16.1–16.7 mmHg（TASMINH4 全文）仅作各自情境参考，状态为待确认；沾染率与基线—结局相关无数据，未纳入计算。现有研究数据为程序生成的合成数据（300 名模拟受试者），仅用于清洗与分析流程测试，不得用作效应量依据或写成预实验结果。</w:t>
      </w:r>
    </w:p>
    <w:p w14:paraId="00000043">
      <w:pPr>
        <w:spacing w:before="0" w:after="120" w:line="360"/>
        <w:ind w:left="0" w:right="0" w:firstLine="480"/>
        <w:rPr>
          <w:color w:val="000000"/>
        </w:rPr>
      </w:pPr>
      <w:r>
        <w:rPr>
          <w:rFonts w:hint="eastAsia" w:ascii="宋体" w:hAnsi="宋体" w:eastAsia="宋体" w:cs="宋体"/>
          <w:b w:val="1"/>
          <w:color w:val="000000"/>
          <w:sz w:val="24"/>
        </w:rPr>
        <w:t>缺项单列（申报前/准备期补充）</w:t>
      </w:r>
      <w:r>
        <w:rPr>
          <w:rFonts w:hint="eastAsia" w:ascii="宋体" w:hAnsi="宋体" w:eastAsia="宋体" w:cs="宋体"/>
          <w:color w:val="000000"/>
          <w:sz w:val="24"/>
        </w:rPr>
        <w:t>：两社区机构信息与名册；设备型号、报价与校准安排；人力成本明细；组间差与 SD 的最终假设值（需既有配对数据或另行随访）；达标阈值（按申报年度现行指南）；家庭测量频次安排；随机化实施细节与伦理委员会信息；事实卡与患教材料临床签署；团队构成与既往研究经历。</w:t>
      </w:r>
    </w:p>
    <w:p w14:paraId="00000044">
      <w:pPr>
        <w:pStyle w:val="000006"/>
        <w:keepNext w:val="1"/>
        <w:keepLines w:val="1"/>
        <w:spacing w:before="360" w:beforeAutospacing="1" w:after="240" w:afterAutospacing="1" w:line="360"/>
        <w:ind w:left="0" w:right="0"/>
        <w:outlineLvl w:val="1"/>
        <w:rPr>
          <w:color w:val="000000"/>
          <w:sz w:val="32"/>
          <w:szCs w:val="32"/>
        </w:rPr>
      </w:pPr>
      <w:bookmarkStart w:id="9" w:name="section-8"/>
      <w:r>
        <w:rPr>
          <w:rFonts w:hint="eastAsia" w:ascii="黑体" w:hAnsi="黑体" w:eastAsia="黑体" w:cs="黑体"/>
          <w:b w:val="1"/>
          <w:color w:val="000000"/>
          <w:sz w:val="28"/>
        </w:rPr>
        <w:t>八、风险与替代方案</w:t>
      </w:r>
      <w:bookmarkEnd w:id="9"/>
    </w:p>
    <w:tbl>
      <w:tblPr>
        <w:tblW w:w="8306" w:type="dxa"/>
        <w:shd w:color="000000"/>
        <w:tblLayout w:type="autofit"/>
        <w:tblCellMar>
          <w:top w:w="0" w:type="dxa"/>
          <w:left w:w="0" w:type="dxa"/>
          <w:bottom w:w="0" w:type="dxa"/>
          <w:right w:w="0" w:type="dxa"/>
        </w:tblCellMar>
      </w:tblPr>
      <w:tblGrid>
        <w:gridCol w:w="4153"/>
        <w:gridCol w:w="4153"/>
      </w:tblGrid>
      <w:tr>
        <w:trPr>
          <w:tblHeader w:val="1"/>
        </w:trPr>
        <w:tc>
          <w:tcPr>
            <w:tcW w:w="4153" w:type="dxa"/>
            <w:tcBorders>
              <w:top w:val="none" w:sz="8"/>
              <w:left w:val="none" w:sz="8"/>
              <w:bottom w:val="none" w:sz="8"/>
              <w:right w:val="none" w:sz="8"/>
            </w:tcBorders>
            <w:shd w:val="clear" w:fill="f0f0f0"/>
            <w:tcMar>
              <w:top w:w="96" w:type="dxa"/>
              <w:left w:w="144" w:type="dxa"/>
              <w:bottom w:w="96" w:type="dxa"/>
              <w:right w:w="144" w:type="dxa"/>
            </w:tcMar>
            <w:vAlign w:val="center"/>
          </w:tcPr>
          <w:p w14:paraId="00000045">
            <w:pPr>
              <w:jc w:val="left"/>
              <w:rPr>
                <w:b w:val="1"/>
                <w:bCs w:val="1"/>
                <w:color w:val="000000"/>
              </w:rPr>
            </w:pPr>
            <w:r>
              <w:rPr>
                <w:rFonts w:hint="eastAsia" w:ascii="宋体" w:hAnsi="宋体" w:eastAsia="宋体" w:cs="宋体"/>
                <w:b w:val="1"/>
                <w:color w:val="000000"/>
                <w:sz w:val="21"/>
              </w:rPr>
              <w:t>风险</w:t>
            </w:r>
          </w:p>
        </w:tc>
        <w:tc>
          <w:tcPr>
            <w:tcW w:w="4153" w:type="dxa"/>
            <w:tcBorders>
              <w:top w:val="none" w:sz="8"/>
              <w:left w:val="none" w:sz="8"/>
              <w:bottom w:val="none" w:sz="8"/>
              <w:right w:val="none" w:sz="8"/>
            </w:tcBorders>
            <w:shd w:val="clear" w:fill="f0f0f0"/>
            <w:tcMar>
              <w:top w:w="96" w:type="dxa"/>
              <w:left w:w="144" w:type="dxa"/>
              <w:bottom w:w="96" w:type="dxa"/>
              <w:right w:w="144" w:type="dxa"/>
            </w:tcMar>
            <w:vAlign w:val="center"/>
          </w:tcPr>
          <w:p w14:paraId="00000046">
            <w:pPr>
              <w:jc w:val="left"/>
              <w:rPr>
                <w:b w:val="1"/>
                <w:bCs w:val="1"/>
                <w:color w:val="000000"/>
              </w:rPr>
            </w:pPr>
            <w:r>
              <w:rPr>
                <w:rFonts w:hint="eastAsia" w:ascii="宋体" w:hAnsi="宋体" w:eastAsia="宋体" w:cs="宋体"/>
                <w:b w:val="1"/>
                <w:color w:val="000000"/>
                <w:sz w:val="21"/>
              </w:rPr>
              <w:t>应对与替代方案</w:t>
            </w:r>
          </w:p>
        </w:tc>
      </w:tr>
      <w:tr>
        <w:trPr/>
        <w:tc>
          <w:tcPr>
            <w:tcW w:w="4153" w:type="dxa"/>
            <w:tcBorders>
              <w:top w:val="none" w:sz="8"/>
              <w:left w:val="none" w:sz="8"/>
              <w:bottom w:val="none" w:sz="8"/>
              <w:right w:val="none" w:sz="8"/>
            </w:tcBorders>
            <w:tcMar>
              <w:top w:w="96" w:type="dxa"/>
              <w:left w:w="144" w:type="dxa"/>
              <w:bottom w:w="96" w:type="dxa"/>
              <w:right w:w="144" w:type="dxa"/>
            </w:tcMar>
            <w:vAlign w:val="center"/>
          </w:tcPr>
          <w:p w14:paraId="00000047">
            <w:pPr>
              <w:jc w:val="left"/>
              <w:rPr>
                <w:color w:val="000000"/>
              </w:rPr>
            </w:pPr>
            <w:r>
              <w:rPr>
                <w:rFonts w:hint="eastAsia" w:ascii="宋体" w:hAnsi="宋体" w:eastAsia="宋体" w:cs="宋体"/>
                <w:color w:val="000000"/>
                <w:sz w:val="21"/>
              </w:rPr>
              <w:t>招募不足（招募窗口仅约 2 个月；各规模月入组需求 108–666 人/月，两社区合计，能力待核实）</w:t>
            </w:r>
          </w:p>
        </w:tc>
        <w:tc>
          <w:tcPr>
            <w:tcW w:w="4153" w:type="dxa"/>
            <w:tcBorders>
              <w:top w:val="none" w:sz="8"/>
              <w:left w:val="none" w:sz="8"/>
              <w:bottom w:val="none" w:sz="8"/>
              <w:right w:val="none" w:sz="8"/>
            </w:tcBorders>
            <w:tcMar>
              <w:top w:w="96" w:type="dxa"/>
              <w:left w:w="144" w:type="dxa"/>
              <w:bottom w:w="96" w:type="dxa"/>
              <w:right w:w="144" w:type="dxa"/>
            </w:tcMar>
            <w:vAlign w:val="center"/>
          </w:tcPr>
          <w:p w14:paraId="00000048">
            <w:pPr>
              <w:jc w:val="left"/>
              <w:rPr>
                <w:color w:val="000000"/>
              </w:rPr>
            </w:pPr>
            <w:r>
              <w:rPr>
                <w:rFonts w:hint="eastAsia" w:ascii="宋体" w:hAnsi="宋体" w:eastAsia="宋体" w:cs="宋体"/>
                <w:color w:val="000000"/>
                <w:sz w:val="21"/>
              </w:rPr>
              <w:t>每周核对入组进度。可选应对包括延长招募或调整规模，但延长招募将推迟末位入组者的 6 个月随访时点并影响 12 个月总周期；任何替代方案均须重新论证周期、规模与资源，不得直接下调样本量维持原结论。</w:t>
            </w:r>
          </w:p>
        </w:tc>
      </w:tr>
      <w:tr>
        <w:trPr/>
        <w:tc>
          <w:tcPr>
            <w:tcW w:w="4153" w:type="dxa"/>
            <w:tcBorders>
              <w:top w:val="none" w:sz="8"/>
              <w:left w:val="none" w:sz="8"/>
              <w:bottom w:val="none" w:sz="8"/>
              <w:right w:val="none" w:sz="8"/>
            </w:tcBorders>
            <w:tcMar>
              <w:top w:w="96" w:type="dxa"/>
              <w:left w:w="144" w:type="dxa"/>
              <w:bottom w:w="96" w:type="dxa"/>
              <w:right w:w="144" w:type="dxa"/>
            </w:tcMar>
            <w:vAlign w:val="center"/>
          </w:tcPr>
          <w:p w14:paraId="00000049">
            <w:pPr>
              <w:jc w:val="left"/>
              <w:rPr>
                <w:color w:val="000000"/>
              </w:rPr>
            </w:pPr>
            <w:r>
              <w:rPr>
                <w:rFonts w:hint="eastAsia" w:ascii="宋体" w:hAnsi="宋体" w:eastAsia="宋体" w:cs="宋体"/>
                <w:color w:val="000000"/>
                <w:sz w:val="21"/>
              </w:rPr>
              <w:t>脱落高于 15% 的设计假设</w:t>
            </w:r>
          </w:p>
        </w:tc>
        <w:tc>
          <w:tcPr>
            <w:tcW w:w="4153" w:type="dxa"/>
            <w:tcBorders>
              <w:top w:val="none" w:sz="8"/>
              <w:left w:val="none" w:sz="8"/>
              <w:bottom w:val="none" w:sz="8"/>
              <w:right w:val="none" w:sz="8"/>
            </w:tcBorders>
            <w:tcMar>
              <w:top w:w="96" w:type="dxa"/>
              <w:left w:w="144" w:type="dxa"/>
              <w:bottom w:w="96" w:type="dxa"/>
              <w:right w:w="144" w:type="dxa"/>
            </w:tcMar>
            <w:vAlign w:val="center"/>
          </w:tcPr>
          <w:p w14:paraId="0000004A">
            <w:pPr>
              <w:jc w:val="left"/>
              <w:rPr>
                <w:color w:val="000000"/>
              </w:rPr>
            </w:pPr>
            <w:r>
              <w:rPr>
                <w:rFonts w:hint="eastAsia" w:ascii="宋体" w:hAnsi="宋体" w:eastAsia="宋体" w:cs="宋体"/>
                <w:color w:val="000000"/>
                <w:sz w:val="21"/>
              </w:rPr>
              <w:t>按 SAP 预设敏感性分析并讨论缺失模式；实际脱落率如实报告。</w:t>
            </w:r>
          </w:p>
        </w:tc>
      </w:tr>
      <w:tr>
        <w:trPr/>
        <w:tc>
          <w:tcPr>
            <w:tcW w:w="4153" w:type="dxa"/>
            <w:tcBorders>
              <w:top w:val="none" w:sz="8"/>
              <w:left w:val="none" w:sz="8"/>
              <w:bottom w:val="none" w:sz="8"/>
              <w:right w:val="none" w:sz="8"/>
            </w:tcBorders>
            <w:tcMar>
              <w:top w:w="96" w:type="dxa"/>
              <w:left w:w="144" w:type="dxa"/>
              <w:bottom w:w="96" w:type="dxa"/>
              <w:right w:w="144" w:type="dxa"/>
            </w:tcMar>
            <w:vAlign w:val="center"/>
          </w:tcPr>
          <w:p w14:paraId="0000004B">
            <w:pPr>
              <w:jc w:val="left"/>
              <w:rPr>
                <w:color w:val="000000"/>
              </w:rPr>
            </w:pPr>
            <w:r>
              <w:rPr>
                <w:rFonts w:hint="eastAsia" w:ascii="宋体" w:hAnsi="宋体" w:eastAsia="宋体" w:cs="宋体"/>
                <w:color w:val="000000"/>
                <w:sz w:val="21"/>
              </w:rPr>
              <w:t>沾染偏高（对照组自购血压计）</w:t>
            </w:r>
          </w:p>
        </w:tc>
        <w:tc>
          <w:tcPr>
            <w:tcW w:w="4153" w:type="dxa"/>
            <w:tcBorders>
              <w:top w:val="none" w:sz="8"/>
              <w:left w:val="none" w:sz="8"/>
              <w:bottom w:val="none" w:sz="8"/>
              <w:right w:val="none" w:sz="8"/>
            </w:tcBorders>
            <w:tcMar>
              <w:top w:w="96" w:type="dxa"/>
              <w:left w:w="144" w:type="dxa"/>
              <w:bottom w:w="96" w:type="dxa"/>
              <w:right w:w="144" w:type="dxa"/>
            </w:tcMar>
            <w:vAlign w:val="center"/>
          </w:tcPr>
          <w:p w14:paraId="0000004C">
            <w:pPr>
              <w:jc w:val="left"/>
              <w:rPr>
                <w:color w:val="000000"/>
              </w:rPr>
            </w:pPr>
            <w:r>
              <w:rPr>
                <w:rFonts w:hint="eastAsia" w:ascii="宋体" w:hAnsi="宋体" w:eastAsia="宋体" w:cs="宋体"/>
                <w:color w:val="000000"/>
                <w:sz w:val="21"/>
              </w:rPr>
              <w:t>如实报告两组设备持有率，沾染对效应估计的影响作为可能性讨论（如可能稀释组间差异），方向以实测为准；不得据此事后改变主要结局。</w:t>
            </w:r>
          </w:p>
        </w:tc>
      </w:tr>
      <w:tr>
        <w:trPr/>
        <w:tc>
          <w:tcPr>
            <w:tcW w:w="4153" w:type="dxa"/>
            <w:tcBorders>
              <w:top w:val="none" w:sz="8"/>
              <w:left w:val="none" w:sz="8"/>
              <w:bottom w:val="none" w:sz="8"/>
              <w:right w:val="none" w:sz="8"/>
            </w:tcBorders>
            <w:tcMar>
              <w:top w:w="96" w:type="dxa"/>
              <w:left w:w="144" w:type="dxa"/>
              <w:bottom w:w="96" w:type="dxa"/>
              <w:right w:w="144" w:type="dxa"/>
            </w:tcMar>
            <w:vAlign w:val="center"/>
          </w:tcPr>
          <w:p w14:paraId="0000004D">
            <w:pPr>
              <w:jc w:val="left"/>
              <w:rPr>
                <w:color w:val="000000"/>
              </w:rPr>
            </w:pPr>
            <w:r>
              <w:rPr>
                <w:rFonts w:hint="eastAsia" w:ascii="宋体" w:hAnsi="宋体" w:eastAsia="宋体" w:cs="宋体"/>
                <w:color w:val="000000"/>
                <w:sz w:val="21"/>
              </w:rPr>
              <w:t>预算超支（上限 10 万元；测算基准规模下总计约 9.4 万元，占上限约 94%）</w:t>
            </w:r>
          </w:p>
        </w:tc>
        <w:tc>
          <w:tcPr>
            <w:tcW w:w="4153" w:type="dxa"/>
            <w:tcBorders>
              <w:top w:val="none" w:sz="8"/>
              <w:left w:val="none" w:sz="8"/>
              <w:bottom w:val="none" w:sz="8"/>
              <w:right w:val="none" w:sz="8"/>
            </w:tcBorders>
            <w:tcMar>
              <w:top w:w="96" w:type="dxa"/>
              <w:left w:w="144" w:type="dxa"/>
              <w:bottom w:w="96" w:type="dxa"/>
              <w:right w:w="144" w:type="dxa"/>
            </w:tcMar>
            <w:vAlign w:val="center"/>
          </w:tcPr>
          <w:p w14:paraId="0000004E">
            <w:pPr>
              <w:jc w:val="left"/>
              <w:rPr>
                <w:color w:val="000000"/>
              </w:rPr>
            </w:pPr>
            <w:r>
              <w:rPr>
                <w:rFonts w:hint="eastAsia" w:ascii="宋体" w:hAnsi="宋体" w:eastAsia="宋体" w:cs="宋体"/>
                <w:color w:val="000000"/>
                <w:sz w:val="21"/>
              </w:rPr>
              <w:t>按设备报价重新论证设备数量与规模；规模与预算须联合论证（见《预算及测算依据》规模联动表）。</w:t>
            </w:r>
          </w:p>
        </w:tc>
      </w:tr>
      <w:tr>
        <w:trPr/>
        <w:tc>
          <w:tcPr>
            <w:tcW w:w="4153" w:type="dxa"/>
            <w:tcBorders>
              <w:top w:val="none" w:sz="8"/>
              <w:left w:val="none" w:sz="8"/>
              <w:bottom w:val="none" w:sz="8"/>
              <w:right w:val="none" w:sz="8"/>
            </w:tcBorders>
            <w:tcMar>
              <w:top w:w="96" w:type="dxa"/>
              <w:left w:w="144" w:type="dxa"/>
              <w:bottom w:w="96" w:type="dxa"/>
              <w:right w:w="144" w:type="dxa"/>
            </w:tcMar>
            <w:vAlign w:val="center"/>
          </w:tcPr>
          <w:p w14:paraId="0000004F">
            <w:pPr>
              <w:jc w:val="left"/>
              <w:rPr>
                <w:color w:val="000000"/>
              </w:rPr>
            </w:pPr>
            <w:r>
              <w:rPr>
                <w:rFonts w:hint="eastAsia" w:ascii="宋体" w:hAnsi="宋体" w:eastAsia="宋体" w:cs="宋体"/>
                <w:color w:val="000000"/>
                <w:sz w:val="21"/>
              </w:rPr>
              <w:t>参数不可得（纵向参数短期无法实测）</w:t>
            </w:r>
          </w:p>
        </w:tc>
        <w:tc>
          <w:tcPr>
            <w:tcW w:w="4153" w:type="dxa"/>
            <w:tcBorders>
              <w:top w:val="none" w:sz="8"/>
              <w:left w:val="none" w:sz="8"/>
              <w:bottom w:val="none" w:sz="8"/>
              <w:right w:val="none" w:sz="8"/>
            </w:tcBorders>
            <w:tcMar>
              <w:top w:w="96" w:type="dxa"/>
              <w:left w:w="144" w:type="dxa"/>
              <w:bottom w:w="96" w:type="dxa"/>
              <w:right w:w="144" w:type="dxa"/>
            </w:tcMar>
            <w:vAlign w:val="center"/>
          </w:tcPr>
          <w:p w14:paraId="00000050">
            <w:pPr>
              <w:jc w:val="left"/>
              <w:rPr>
                <w:color w:val="000000"/>
              </w:rPr>
            </w:pPr>
            <w:r>
              <w:rPr>
                <w:rFonts w:hint="eastAsia" w:ascii="宋体" w:hAnsi="宋体" w:eastAsia="宋体" w:cs="宋体"/>
                <w:color w:val="000000"/>
                <w:sz w:val="21"/>
              </w:rPr>
              <w:t>维持敏感性框架呈现；方法学目标改为积累基线分布、转化率等可测参数。</w:t>
            </w:r>
          </w:p>
        </w:tc>
      </w:tr>
    </w:tbl>
    <w:p w14:paraId="00000051">
      <w:pPr>
        <w:pStyle w:val="000006"/>
        <w:keepNext w:val="1"/>
        <w:keepLines w:val="1"/>
        <w:spacing w:before="360" w:beforeAutospacing="1" w:after="240" w:afterAutospacing="1" w:line="360"/>
        <w:ind w:left="0" w:right="0"/>
        <w:outlineLvl w:val="1"/>
        <w:rPr>
          <w:color w:val="000000"/>
          <w:sz w:val="32"/>
          <w:szCs w:val="32"/>
        </w:rPr>
      </w:pPr>
      <w:bookmarkStart w:id="10" w:name="section-9"/>
      <w:r>
        <w:rPr>
          <w:rFonts w:hint="eastAsia" w:ascii="黑体" w:hAnsi="黑体" w:eastAsia="黑体" w:cs="黑体"/>
          <w:b w:val="1"/>
          <w:color w:val="000000"/>
          <w:sz w:val="28"/>
        </w:rPr>
        <w:t>九、进度安排</w:t>
      </w:r>
      <w:bookmarkEnd w:id="10"/>
    </w:p>
    <w:tbl>
      <w:tblPr>
        <w:tblW w:w="8306" w:type="dxa"/>
        <w:shd w:color="000000"/>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none" w:sz="8"/>
              <w:left w:val="none" w:sz="8"/>
              <w:bottom w:val="none" w:sz="8"/>
              <w:right w:val="none" w:sz="8"/>
            </w:tcBorders>
            <w:shd w:val="clear" w:fill="f0f0f0"/>
            <w:tcMar>
              <w:top w:w="96" w:type="dxa"/>
              <w:left w:w="144" w:type="dxa"/>
              <w:bottom w:w="96" w:type="dxa"/>
              <w:right w:w="144" w:type="dxa"/>
            </w:tcMar>
            <w:vAlign w:val="center"/>
          </w:tcPr>
          <w:p w14:paraId="00000052">
            <w:pPr>
              <w:jc w:val="left"/>
              <w:rPr>
                <w:b w:val="1"/>
                <w:bCs w:val="1"/>
                <w:color w:val="000000"/>
              </w:rPr>
            </w:pPr>
            <w:r>
              <w:rPr>
                <w:rFonts w:hint="eastAsia" w:ascii="宋体" w:hAnsi="宋体" w:eastAsia="宋体" w:cs="宋体"/>
                <w:b w:val="1"/>
                <w:color w:val="000000"/>
                <w:sz w:val="21"/>
              </w:rPr>
              <w:t>阶段</w:t>
            </w:r>
          </w:p>
        </w:tc>
        <w:tc>
          <w:tcPr>
            <w:tcW w:w="2768" w:type="dxa"/>
            <w:tcBorders>
              <w:top w:val="none" w:sz="8"/>
              <w:left w:val="none" w:sz="8"/>
              <w:bottom w:val="none" w:sz="8"/>
              <w:right w:val="none" w:sz="8"/>
            </w:tcBorders>
            <w:shd w:val="clear" w:fill="f0f0f0"/>
            <w:tcMar>
              <w:top w:w="96" w:type="dxa"/>
              <w:left w:w="144" w:type="dxa"/>
              <w:bottom w:w="96" w:type="dxa"/>
              <w:right w:w="144" w:type="dxa"/>
            </w:tcMar>
            <w:vAlign w:val="center"/>
          </w:tcPr>
          <w:p w14:paraId="00000053">
            <w:pPr>
              <w:jc w:val="left"/>
              <w:rPr>
                <w:b w:val="1"/>
                <w:bCs w:val="1"/>
                <w:color w:val="000000"/>
              </w:rPr>
            </w:pPr>
            <w:r>
              <w:rPr>
                <w:rFonts w:hint="eastAsia" w:ascii="宋体" w:hAnsi="宋体" w:eastAsia="宋体" w:cs="宋体"/>
                <w:b w:val="1"/>
                <w:color w:val="000000"/>
                <w:sz w:val="21"/>
              </w:rPr>
              <w:t>月份</w:t>
            </w:r>
          </w:p>
        </w:tc>
        <w:tc>
          <w:tcPr>
            <w:tcW w:w="2768" w:type="dxa"/>
            <w:tcBorders>
              <w:top w:val="none" w:sz="8"/>
              <w:left w:val="none" w:sz="8"/>
              <w:bottom w:val="none" w:sz="8"/>
              <w:right w:val="none" w:sz="8"/>
            </w:tcBorders>
            <w:shd w:val="clear" w:fill="f0f0f0"/>
            <w:tcMar>
              <w:top w:w="96" w:type="dxa"/>
              <w:left w:w="144" w:type="dxa"/>
              <w:bottom w:w="96" w:type="dxa"/>
              <w:right w:w="144" w:type="dxa"/>
            </w:tcMar>
            <w:vAlign w:val="center"/>
          </w:tcPr>
          <w:p w14:paraId="00000054">
            <w:pPr>
              <w:jc w:val="left"/>
              <w:rPr>
                <w:b w:val="1"/>
                <w:bCs w:val="1"/>
                <w:color w:val="000000"/>
              </w:rPr>
            </w:pPr>
            <w:r>
              <w:rPr>
                <w:rFonts w:hint="eastAsia" w:ascii="宋体" w:hAnsi="宋体" w:eastAsia="宋体" w:cs="宋体"/>
                <w:b w:val="1"/>
                <w:color w:val="000000"/>
                <w:sz w:val="21"/>
              </w:rPr>
              <w:t>内容</w:t>
            </w:r>
          </w:p>
        </w:tc>
      </w:tr>
      <w:tr>
        <w:trPr/>
        <w:tc>
          <w:tcPr>
            <w:tcW w:w="2768" w:type="dxa"/>
            <w:tcBorders>
              <w:top w:val="none" w:sz="8"/>
              <w:left w:val="none" w:sz="8"/>
              <w:bottom w:val="none" w:sz="8"/>
              <w:right w:val="none" w:sz="8"/>
            </w:tcBorders>
            <w:tcMar>
              <w:top w:w="96" w:type="dxa"/>
              <w:left w:w="144" w:type="dxa"/>
              <w:bottom w:w="96" w:type="dxa"/>
              <w:right w:w="144" w:type="dxa"/>
            </w:tcMar>
            <w:vAlign w:val="center"/>
          </w:tcPr>
          <w:p w14:paraId="00000055">
            <w:pPr>
              <w:jc w:val="left"/>
              <w:rPr>
                <w:color w:val="000000"/>
              </w:rPr>
            </w:pPr>
            <w:r>
              <w:rPr>
                <w:rFonts w:hint="eastAsia" w:ascii="宋体" w:hAnsi="宋体" w:eastAsia="宋体" w:cs="宋体"/>
                <w:color w:val="000000"/>
                <w:sz w:val="21"/>
              </w:rPr>
              <w:t>准备期</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56">
            <w:pPr>
              <w:jc w:val="left"/>
              <w:rPr>
                <w:color w:val="000000"/>
              </w:rPr>
            </w:pPr>
            <w:r>
              <w:rPr>
                <w:rFonts w:hint="eastAsia" w:ascii="宋体" w:hAnsi="宋体" w:eastAsia="宋体" w:cs="宋体"/>
                <w:color w:val="000000"/>
                <w:sz w:val="21"/>
              </w:rPr>
              <w:t>第 1–2 月</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57">
            <w:pPr>
              <w:jc w:val="left"/>
              <w:rPr>
                <w:color w:val="000000"/>
              </w:rPr>
            </w:pPr>
            <w:r>
              <w:rPr>
                <w:rFonts w:hint="eastAsia" w:ascii="宋体" w:hAnsi="宋体" w:eastAsia="宋体" w:cs="宋体"/>
                <w:color w:val="000000"/>
                <w:sz w:val="21"/>
              </w:rPr>
              <w:t>伦理申报与批准、机构协议、设备采购与校准、SOP 与人员培训；核实筛查与招募流程、基线 SBP 分布、资源与设备可及性；参数确认与样本量重算</w:t>
            </w:r>
          </w:p>
        </w:tc>
      </w:tr>
      <w:tr>
        <w:trPr/>
        <w:tc>
          <w:tcPr>
            <w:tcW w:w="2768" w:type="dxa"/>
            <w:tcBorders>
              <w:top w:val="none" w:sz="8"/>
              <w:left w:val="none" w:sz="8"/>
              <w:bottom w:val="none" w:sz="8"/>
              <w:right w:val="none" w:sz="8"/>
            </w:tcBorders>
            <w:tcMar>
              <w:top w:w="96" w:type="dxa"/>
              <w:left w:w="144" w:type="dxa"/>
              <w:bottom w:w="96" w:type="dxa"/>
              <w:right w:w="144" w:type="dxa"/>
            </w:tcMar>
            <w:vAlign w:val="center"/>
          </w:tcPr>
          <w:p w14:paraId="00000058">
            <w:pPr>
              <w:jc w:val="left"/>
              <w:rPr>
                <w:color w:val="000000"/>
              </w:rPr>
            </w:pPr>
            <w:r>
              <w:rPr>
                <w:rFonts w:hint="eastAsia" w:ascii="宋体" w:hAnsi="宋体" w:eastAsia="宋体" w:cs="宋体"/>
                <w:color w:val="000000"/>
                <w:sz w:val="21"/>
              </w:rPr>
              <w:t>招募期</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59">
            <w:pPr>
              <w:jc w:val="left"/>
              <w:rPr>
                <w:color w:val="000000"/>
              </w:rPr>
            </w:pPr>
            <w:r>
              <w:rPr>
                <w:rFonts w:hint="eastAsia" w:ascii="宋体" w:hAnsi="宋体" w:eastAsia="宋体" w:cs="宋体"/>
                <w:color w:val="000000"/>
                <w:sz w:val="21"/>
              </w:rPr>
              <w:t>第 3–4 月</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5A">
            <w:pPr>
              <w:jc w:val="left"/>
              <w:rPr>
                <w:color w:val="000000"/>
              </w:rPr>
            </w:pPr>
            <w:r>
              <w:rPr>
                <w:rFonts w:hint="eastAsia" w:ascii="宋体" w:hAnsi="宋体" w:eastAsia="宋体" w:cs="宋体"/>
                <w:color w:val="000000"/>
                <w:sz w:val="21"/>
              </w:rPr>
              <w:t>登记名册筛查、知情同意、基线测量与随机化；每周核对入组进度</w:t>
            </w:r>
          </w:p>
        </w:tc>
      </w:tr>
      <w:tr>
        <w:trPr/>
        <w:tc>
          <w:tcPr>
            <w:tcW w:w="2768" w:type="dxa"/>
            <w:tcBorders>
              <w:top w:val="none" w:sz="8"/>
              <w:left w:val="none" w:sz="8"/>
              <w:bottom w:val="none" w:sz="8"/>
              <w:right w:val="none" w:sz="8"/>
            </w:tcBorders>
            <w:tcMar>
              <w:top w:w="96" w:type="dxa"/>
              <w:left w:w="144" w:type="dxa"/>
              <w:bottom w:w="96" w:type="dxa"/>
              <w:right w:w="144" w:type="dxa"/>
            </w:tcMar>
            <w:vAlign w:val="center"/>
          </w:tcPr>
          <w:p w14:paraId="0000005B">
            <w:pPr>
              <w:jc w:val="left"/>
              <w:rPr>
                <w:color w:val="000000"/>
              </w:rPr>
            </w:pPr>
            <w:r>
              <w:rPr>
                <w:rFonts w:hint="eastAsia" w:ascii="宋体" w:hAnsi="宋体" w:eastAsia="宋体" w:cs="宋体"/>
                <w:color w:val="000000"/>
                <w:sz w:val="21"/>
              </w:rPr>
              <w:t>随访期</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5C">
            <w:pPr>
              <w:jc w:val="left"/>
              <w:rPr>
                <w:color w:val="000000"/>
              </w:rPr>
            </w:pPr>
            <w:r>
              <w:rPr>
                <w:rFonts w:hint="eastAsia" w:ascii="宋体" w:hAnsi="宋体" w:eastAsia="宋体" w:cs="宋体"/>
                <w:color w:val="000000"/>
                <w:sz w:val="21"/>
              </w:rPr>
              <w:t>第 3–10 月</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5D">
            <w:pPr>
              <w:jc w:val="left"/>
              <w:rPr>
                <w:color w:val="000000"/>
              </w:rPr>
            </w:pPr>
            <w:r>
              <w:rPr>
                <w:rFonts w:hint="eastAsia" w:ascii="宋体" w:hAnsi="宋体" w:eastAsia="宋体" w:cs="宋体"/>
                <w:color w:val="000000"/>
                <w:sz w:val="21"/>
              </w:rPr>
              <w:t>各自随机化后个体随访 6 个月（第 3、6 个月访视；第 6 个月完成主要结局）</w:t>
            </w:r>
          </w:p>
        </w:tc>
      </w:tr>
      <w:tr>
        <w:trPr/>
        <w:tc>
          <w:tcPr>
            <w:tcW w:w="2768" w:type="dxa"/>
            <w:tcBorders>
              <w:top w:val="none" w:sz="8"/>
              <w:left w:val="none" w:sz="8"/>
              <w:bottom w:val="none" w:sz="8"/>
              <w:right w:val="none" w:sz="8"/>
            </w:tcBorders>
            <w:tcMar>
              <w:top w:w="96" w:type="dxa"/>
              <w:left w:w="144" w:type="dxa"/>
              <w:bottom w:w="96" w:type="dxa"/>
              <w:right w:w="144" w:type="dxa"/>
            </w:tcMar>
            <w:vAlign w:val="center"/>
          </w:tcPr>
          <w:p w14:paraId="0000005E">
            <w:pPr>
              <w:jc w:val="left"/>
              <w:rPr>
                <w:color w:val="000000"/>
              </w:rPr>
            </w:pPr>
            <w:r>
              <w:rPr>
                <w:rFonts w:hint="eastAsia" w:ascii="宋体" w:hAnsi="宋体" w:eastAsia="宋体" w:cs="宋体"/>
                <w:color w:val="000000"/>
                <w:sz w:val="21"/>
              </w:rPr>
              <w:t>结题期</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5F">
            <w:pPr>
              <w:jc w:val="left"/>
              <w:rPr>
                <w:color w:val="000000"/>
              </w:rPr>
            </w:pPr>
            <w:r>
              <w:rPr>
                <w:rFonts w:hint="eastAsia" w:ascii="宋体" w:hAnsi="宋体" w:eastAsia="宋体" w:cs="宋体"/>
                <w:color w:val="000000"/>
                <w:sz w:val="21"/>
              </w:rPr>
              <w:t>第 11–12 月</w:t>
            </w:r>
          </w:p>
        </w:tc>
        <w:tc>
          <w:tcPr>
            <w:tcW w:w="2768" w:type="dxa"/>
            <w:tcBorders>
              <w:top w:val="none" w:sz="8"/>
              <w:left w:val="none" w:sz="8"/>
              <w:bottom w:val="none" w:sz="8"/>
              <w:right w:val="none" w:sz="8"/>
            </w:tcBorders>
            <w:tcMar>
              <w:top w:w="96" w:type="dxa"/>
              <w:left w:w="144" w:type="dxa"/>
              <w:bottom w:w="96" w:type="dxa"/>
              <w:right w:w="144" w:type="dxa"/>
            </w:tcMar>
            <w:vAlign w:val="center"/>
          </w:tcPr>
          <w:p w14:paraId="00000060">
            <w:pPr>
              <w:jc w:val="left"/>
              <w:rPr>
                <w:color w:val="000000"/>
              </w:rPr>
            </w:pPr>
            <w:r>
              <w:rPr>
                <w:rFonts w:hint="eastAsia" w:ascii="宋体" w:hAnsi="宋体" w:eastAsia="宋体" w:cs="宋体"/>
                <w:color w:val="000000"/>
                <w:sz w:val="21"/>
              </w:rPr>
              <w:t>数据清洗与锁定、按 SAP 统计分析、报告撰写与结题</w:t>
            </w:r>
          </w:p>
        </w:tc>
      </w:tr>
    </w:tbl>
    <w:p w14:paraId="00000061">
      <w:pPr>
        <w:pStyle w:val="000006"/>
        <w:keepNext w:val="1"/>
        <w:keepLines w:val="1"/>
        <w:spacing w:before="360" w:beforeAutospacing="1" w:after="240" w:afterAutospacing="1" w:line="360"/>
        <w:ind w:left="0" w:right="0"/>
        <w:outlineLvl w:val="1"/>
        <w:rPr>
          <w:color w:val="000000"/>
          <w:sz w:val="32"/>
          <w:szCs w:val="32"/>
        </w:rPr>
      </w:pPr>
      <w:bookmarkStart w:id="11" w:name="section-10"/>
      <w:r>
        <w:rPr>
          <w:rFonts w:hint="eastAsia" w:ascii="黑体" w:hAnsi="黑体" w:eastAsia="黑体" w:cs="黑体"/>
          <w:b w:val="1"/>
          <w:color w:val="000000"/>
          <w:sz w:val="28"/>
        </w:rPr>
        <w:t>十、预算及测算依据</w:t>
      </w:r>
      <w:bookmarkEnd w:id="11"/>
    </w:p>
    <w:p w14:paraId="00000062">
      <w:pPr>
        <w:spacing w:before="0" w:after="120" w:line="360"/>
        <w:ind w:left="0" w:right="0" w:firstLine="480"/>
        <w:rPr>
          <w:color w:val="000000"/>
        </w:rPr>
      </w:pPr>
      <w:r>
        <w:rPr>
          <w:rFonts w:hint="eastAsia" w:ascii="宋体" w:hAnsi="宋体" w:eastAsia="宋体" w:cs="宋体"/>
          <w:color w:val="000000"/>
          <w:sz w:val="24"/>
        </w:rPr>
        <w:t>预算按测算基准规模（总例数 336 例，对应敏感性矩阵 δ=5/SD=15 或 δ=4/SD=12 组合，规模未锁定）编制，全部为规划假设，明细与规模联动测算见《预算及测算依据》表：设备费（干预组血压计含备机、诊室血压计校准）、材料费（耗材、记录本、印刷）、劳务费（社区协调员、随访访视、筛查）、数据管理与录入、差旅交通、伦理审查与随机化服务、专家咨询，另按 5% 计提不可预见费。基准规模下预算总计约 9.4 万元，占上限约 94%，规模上调将同步推高设备与随访费用并可能突破上限，故规模与预算须联合论证。统计分析使用 R/Python 开源软件，不含软件采购费。</w:t>
      </w:r>
    </w:p>
    <w:p w14:paraId="00000063">
      <w:pPr>
        <w:pStyle w:val="000006"/>
        <w:keepNext w:val="1"/>
        <w:keepLines w:val="1"/>
        <w:spacing w:before="360" w:beforeAutospacing="1" w:after="240" w:afterAutospacing="1" w:line="360"/>
        <w:ind w:left="0" w:right="0"/>
        <w:outlineLvl w:val="1"/>
        <w:rPr>
          <w:color w:val="000000"/>
          <w:sz w:val="32"/>
          <w:szCs w:val="32"/>
        </w:rPr>
      </w:pPr>
      <w:bookmarkStart w:id="12" w:name="section-11"/>
      <w:r>
        <w:rPr>
          <w:rFonts w:hint="eastAsia" w:ascii="黑体" w:hAnsi="黑体" w:eastAsia="黑体" w:cs="黑体"/>
          <w:b w:val="1"/>
          <w:color w:val="000000"/>
          <w:sz w:val="28"/>
        </w:rPr>
        <w:t>十一、伦理与数据治理</w:t>
      </w:r>
      <w:bookmarkEnd w:id="12"/>
    </w:p>
    <w:p w14:paraId="00000064">
      <w:pPr>
        <w:spacing w:before="0" w:after="120" w:line="360"/>
        <w:ind w:left="0" w:right="0" w:firstLine="480"/>
        <w:rPr>
          <w:color w:val="000000"/>
        </w:rPr>
      </w:pPr>
      <w:r>
        <w:rPr>
          <w:rFonts w:hint="eastAsia" w:ascii="宋体" w:hAnsi="宋体" w:eastAsia="宋体" w:cs="宋体"/>
          <w:b w:val="1"/>
          <w:color w:val="000000"/>
          <w:sz w:val="24"/>
        </w:rPr>
        <w:t>伦理审查</w:t>
      </w:r>
      <w:r>
        <w:rPr>
          <w:rFonts w:hint="eastAsia" w:ascii="宋体" w:hAnsi="宋体" w:eastAsia="宋体" w:cs="宋体"/>
          <w:color w:val="000000"/>
          <w:sz w:val="24"/>
        </w:rPr>
        <w:t>：实施前报伦理委员会审查批准【委员会信息待确认】；风险级别拟作为最小风险研究提交伦理委员会评估判定。</w:t>
      </w:r>
      <w:r>
        <w:rPr>
          <w:rFonts w:hint="eastAsia" w:ascii="宋体" w:hAnsi="宋体" w:eastAsia="宋体" w:cs="宋体"/>
          <w:b w:val="1"/>
          <w:color w:val="000000"/>
          <w:sz w:val="24"/>
        </w:rPr>
        <w:t>知情同意</w:t>
      </w:r>
      <w:r>
        <w:rPr>
          <w:rFonts w:hint="eastAsia" w:ascii="宋体" w:hAnsi="宋体" w:eastAsia="宋体" w:cs="宋体"/>
          <w:color w:val="000000"/>
          <w:sz w:val="24"/>
        </w:rPr>
        <w:t>：书面知情同意，由社区医生与研究协调员共同完成；说明测量任务、随访安排、数据用途与自愿退出权利，不因拒绝参加影响常规服务。</w:t>
      </w:r>
      <w:r>
        <w:rPr>
          <w:rFonts w:hint="eastAsia" w:ascii="宋体" w:hAnsi="宋体" w:eastAsia="宋体" w:cs="宋体"/>
          <w:b w:val="1"/>
          <w:color w:val="000000"/>
          <w:sz w:val="24"/>
        </w:rPr>
        <w:t>安全与转介</w:t>
      </w:r>
      <w:r>
        <w:rPr>
          <w:rFonts w:hint="eastAsia" w:ascii="宋体" w:hAnsi="宋体" w:eastAsia="宋体" w:cs="宋体"/>
          <w:color w:val="000000"/>
          <w:sz w:val="24"/>
        </w:rPr>
        <w:t>：家庭读数显著异常者按预设转介规则回到常规临床路径【转介阈值待临床定稿】；不良事件按常规诊疗记录并描述性报告。</w:t>
      </w:r>
      <w:r>
        <w:rPr>
          <w:rFonts w:hint="eastAsia" w:ascii="宋体" w:hAnsi="宋体" w:eastAsia="宋体" w:cs="宋体"/>
          <w:b w:val="1"/>
          <w:color w:val="000000"/>
          <w:sz w:val="24"/>
        </w:rPr>
        <w:t>数据管理</w:t>
      </w:r>
      <w:r>
        <w:rPr>
          <w:rFonts w:hint="eastAsia" w:ascii="宋体" w:hAnsi="宋体" w:eastAsia="宋体" w:cs="宋体"/>
          <w:color w:val="000000"/>
          <w:sz w:val="24"/>
        </w:rPr>
        <w:t>：标识符与个人信息分离存储、加密保存；分析数据集去标识化；原始数据文件保持不变，清洗在新分析数据集中完成并逐条留痕；数据保存期限与共享范围按机构与基金要求定稿【待确认】；模拟数据文件与未来真实数据物理分离。</w:t>
      </w:r>
      <w:r>
        <w:rPr>
          <w:rFonts w:hint="eastAsia" w:ascii="宋体" w:hAnsi="宋体" w:eastAsia="宋体" w:cs="宋体"/>
          <w:b w:val="1"/>
          <w:color w:val="000000"/>
          <w:sz w:val="24"/>
        </w:rPr>
        <w:t>结果发布</w:t>
      </w:r>
      <w:r>
        <w:rPr>
          <w:rFonts w:hint="eastAsia" w:ascii="宋体" w:hAnsi="宋体" w:eastAsia="宋体" w:cs="宋体"/>
          <w:color w:val="000000"/>
          <w:sz w:val="24"/>
        </w:rPr>
        <w:t>：无论结果方向均按预设 SAP 报告；发表前经资助方与伦理审查同意。不设独立数据监查委员会（研究规模小、风险低【待伦理确认】）。</w:t>
      </w:r>
    </w:p>
    <w:p w14:paraId="00000065">
      <w:pPr>
        <w:pStyle w:val="000006"/>
        <w:keepNext w:val="1"/>
        <w:keepLines w:val="1"/>
        <w:spacing w:before="360" w:beforeAutospacing="1" w:after="240" w:afterAutospacing="1" w:line="360"/>
        <w:ind w:left="0" w:right="0"/>
        <w:outlineLvl w:val="1"/>
        <w:rPr>
          <w:color w:val="000000"/>
          <w:sz w:val="32"/>
          <w:szCs w:val="32"/>
        </w:rPr>
      </w:pPr>
      <w:bookmarkStart w:id="13" w:name="section-12"/>
      <w:r>
        <w:rPr>
          <w:rFonts w:hint="eastAsia" w:ascii="黑体" w:hAnsi="黑体" w:eastAsia="黑体" w:cs="黑体"/>
          <w:b w:val="1"/>
          <w:color w:val="000000"/>
          <w:sz w:val="28"/>
        </w:rPr>
        <w:t>十二、参考文献</w:t>
      </w:r>
      <w:bookmarkEnd w:id="13"/>
    </w:p>
    <w:p w14:paraId="00000066">
      <w:pPr>
        <w:numPr>
          <w:ilvl w:val="0"/>
          <w:numId w:val="3"/>
        </w:numPr>
        <w:pBdr>
          <w:left w:space="24"/>
        </w:pBdr>
        <w:spacing w:before="360" w:after="120" w:line="360"/>
        <w:ind w:left="0" w:right="0"/>
        <w:rPr>
          <w:color w:val="000000"/>
        </w:rPr>
      </w:pPr>
      <w:r>
        <w:rPr>
          <w:rFonts w:hint="eastAsia" w:ascii="宋体" w:hAnsi="宋体" w:eastAsia="宋体" w:cs="宋体"/>
          <w:color w:val="000000"/>
          <w:sz w:val="21"/>
        </w:rPr>
        <w:t>Uhlig K, et al. Self-measured blood pressure monitoring in the management of hypertension: a systematic review and meta-analysis. Ann Intern Med, 2013. PMID 23922064.（摘要已获取，全文未获取）</w:t>
      </w:r>
    </w:p>
    <w:p w14:paraId="00000067">
      <w:pPr>
        <w:numPr>
          <w:ilvl w:val="0"/>
          <w:numId w:val="3"/>
        </w:numPr>
        <w:pBdr>
          <w:left w:space="24"/>
        </w:pBdr>
        <w:spacing w:before="360" w:after="120" w:line="360"/>
        <w:ind w:left="0" w:right="0"/>
        <w:rPr>
          <w:color w:val="000000"/>
        </w:rPr>
      </w:pPr>
      <w:r>
        <w:rPr>
          <w:rFonts w:hint="eastAsia" w:ascii="宋体" w:hAnsi="宋体" w:eastAsia="宋体" w:cs="宋体"/>
          <w:color w:val="000000"/>
          <w:sz w:val="21"/>
        </w:rPr>
        <w:t>McManus RJ, et al. TASMINH4. Lancet, 2018. PMID 29499873; PMCID PMC5854463.（摘要与全文已核对）</w:t>
      </w:r>
    </w:p>
    <w:p w14:paraId="00000068">
      <w:pPr>
        <w:numPr>
          <w:ilvl w:val="0"/>
          <w:numId w:val="3"/>
        </w:numPr>
        <w:pBdr>
          <w:left w:space="24"/>
        </w:pBdr>
        <w:spacing w:before="360" w:after="120" w:line="360"/>
        <w:ind w:left="0" w:right="0"/>
        <w:rPr>
          <w:color w:val="000000"/>
        </w:rPr>
      </w:pPr>
      <w:r>
        <w:rPr>
          <w:rFonts w:hint="eastAsia" w:ascii="宋体" w:hAnsi="宋体" w:eastAsia="宋体" w:cs="宋体"/>
          <w:color w:val="000000"/>
          <w:sz w:val="21"/>
        </w:rPr>
        <w:t>Margolis KL, et al. JAMA, 2013. PMID 23821088.（摘要已获取）</w:t>
      </w:r>
    </w:p>
    <w:p w14:paraId="00000069">
      <w:pPr>
        <w:numPr>
          <w:ilvl w:val="0"/>
          <w:numId w:val="3"/>
        </w:numPr>
        <w:pBdr>
          <w:left w:space="24"/>
        </w:pBdr>
        <w:spacing w:before="360" w:after="120" w:line="360"/>
        <w:ind w:left="0" w:right="0"/>
        <w:rPr>
          <w:color w:val="000000"/>
        </w:rPr>
      </w:pPr>
      <w:r>
        <w:rPr>
          <w:rFonts w:hint="eastAsia" w:ascii="宋体" w:hAnsi="宋体" w:eastAsia="宋体" w:cs="宋体"/>
          <w:color w:val="000000"/>
          <w:sz w:val="21"/>
        </w:rPr>
        <w:t>McManus RJ, et al. TASMINH2. Lancet, 2010. PMID 20619448.（摘要已获取）</w:t>
      </w:r>
    </w:p>
    <w:p w14:paraId="0000006A">
      <w:pPr>
        <w:numPr>
          <w:ilvl w:val="0"/>
          <w:numId w:val="3"/>
        </w:numPr>
        <w:pBdr>
          <w:left w:space="24"/>
        </w:pBdr>
        <w:spacing w:before="360" w:after="120" w:line="360"/>
        <w:ind w:left="0" w:right="0"/>
        <w:rPr>
          <w:color w:val="000000"/>
        </w:rPr>
      </w:pPr>
      <w:r>
        <w:rPr>
          <w:rFonts w:hint="eastAsia" w:ascii="宋体" w:hAnsi="宋体" w:eastAsia="宋体" w:cs="宋体"/>
          <w:color w:val="000000"/>
          <w:sz w:val="21"/>
        </w:rPr>
        <w:t>He J, et al. CRHCP. Lancet, 2022. PMID 35500594.（摘要已获取）</w:t>
      </w:r>
    </w:p>
    <w:p w14:paraId="0000006B">
      <w:pPr>
        <w:numPr>
          <w:ilvl w:val="0"/>
          <w:numId w:val="3"/>
        </w:numPr>
        <w:pBdr>
          <w:left w:space="24"/>
        </w:pBdr>
        <w:spacing w:before="360" w:after="120" w:line="360"/>
        <w:ind w:left="0" w:right="0"/>
        <w:rPr>
          <w:color w:val="000000"/>
        </w:rPr>
      </w:pPr>
      <w:r>
        <w:rPr>
          <w:rFonts w:hint="eastAsia" w:ascii="宋体" w:hAnsi="宋体" w:eastAsia="宋体" w:cs="宋体"/>
          <w:color w:val="000000"/>
          <w:sz w:val="21"/>
        </w:rPr>
        <w:t>American Heart Association. Monitoring your blood pressure at home.（家庭测量流程 F03–F09 依据）</w:t>
      </w:r>
    </w:p>
    <w:p w14:paraId="0000006C">
      <w:pPr>
        <w:spacing w:before="0" w:after="120" w:line="360"/>
        <w:ind w:left="0" w:right="0"/>
        <w:rPr>
          <w:color w:val="666666"/>
        </w:rPr>
      </w:pPr>
      <w:r>
        <w:rPr>
          <w:rFonts w:hint="eastAsia" w:ascii="宋体" w:hAnsi="宋体" w:eastAsia="宋体" w:cs="宋体"/>
          <w:color w:val="666666"/>
          <w:sz w:val="18"/>
        </w:rPr>
        <w:t>注意：各试验数值来自不同人群、干预强度、随访时点与卫生体系，只作各自情境参考；TASMINH4 效应含滴定成分，不能移用为本项目效应量假设；未核实论断不予引用。</w:t>
      </w:r>
    </w:p>
    <w:p w14:paraId="0000006D"/>
    <w:sectPr>
      <w:footerReference r:id="rId5" w:type="default"/>
      <w:type w:val="nextPage"/>
      <w:pgNumType w:start="1"/>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0000006E">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num w:numId="2">
    <w:abstractNumId w:val="2"/>
  </w:num>
  <w:num w:numId="1">
    <w:abstractNumId w:val="0"/>
  </w:num>
  <w:num w:numId="3">
    <w:abstractNumId w:val="1"/>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Default Paragraph Font" w:uiPriority="1" w:semiHidden="1" w:unhideWhenUsed="1"/>
    <w:lsdException w:name="Body Text Indent" w:semiHidden="1" w:unhideWhenUsed="1"/>
    <w:lsdException w:name="index 4" w:semiHidden="1" w:unhideWhenUsed="1"/>
    <w:lsdException w:name="heading 7" w:uiPriority="9" w:semiHidden="1" w:unhideWhenUsed="1" w:qFormat="1"/>
    <w:lsdException w:name="List 5" w:semiHidden="1" w:unhideWhenUsed="1"/>
    <w:lsdException w:name="List Bullet 4" w:semiHidden="1" w:unhideWhenUsed="1"/>
    <w:lsdException w:name="Body Text" w:semiHidden="1" w:unhideWhenUsed="1"/>
    <w:lsdException w:name="table of authorities" w:semiHidden="1" w:unhideWhenUsed="1"/>
    <w:lsdException w:name="toc 8" w:uiPriority="39" w:semiHidden="1" w:unhideWhenUsed="1"/>
    <w:lsdException w:name="List Continue 3" w:semiHidden="1" w:unhideWhenUsed="1"/>
    <w:lsdException w:name="Body Text Indent 2" w:semiHidden="1" w:unhideWhenUsed="1"/>
    <w:lsdException w:name="toc 5" w:uiPriority="39" w:semiHidden="1" w:unhideWhenUsed="1"/>
    <w:lsdException w:name="envelope address" w:semiHidden="1" w:unhideWhenUsed="1"/>
    <w:lsdException w:name="Title" w:uiPriority="10" w:qFormat="1"/>
    <w:lsdException w:name="toc 1" w:uiPriority="39" w:semiHidden="1" w:unhideWhenUsed="1"/>
    <w:lsdException w:name="List Number 3" w:semiHidden="1" w:unhideWhenUsed="1"/>
    <w:lsdException w:name="index 1" w:semiHidden="1" w:unhideWhenUsed="1"/>
    <w:lsdException w:name="toc 2" w:uiPriority="39" w:semiHidden="1" w:unhideWhenUsed="1"/>
    <w:lsdException w:name="Subtitle" w:uiPriority="11" w:qFormat="1"/>
    <w:lsdException w:name="List Continue 5" w:semiHidden="1" w:unhideWhenUsed="1"/>
    <w:lsdException w:name="toc 6" w:uiPriority="39" w:semiHidden="1" w:unhideWhenUsed="1"/>
    <w:lsdException w:name="List Bullet 2" w:semiHidden="1" w:unhideWhenUsed="1"/>
    <w:lsdException w:name="table of figures" w:semiHidden="1" w:unhideWhenUsed="1"/>
    <w:lsdException w:name="toa heading" w:semiHidden="1" w:unhideWhenUsed="1"/>
    <w:lsdException w:name="macro" w:semiHidden="1" w:unhideWhenUsed="1"/>
    <w:lsdException w:name="annotation reference" w:semiHidden="1" w:unhideWhenUsed="1"/>
    <w:lsdException w:name="List Number" w:semiHidden="1" w:unhideWhenUsed="1"/>
    <w:lsdException w:name="header" w:semiHidden="1" w:unhideWhenUsed="1"/>
    <w:lsdException w:name="List Number 5" w:semiHidden="1" w:unhideWhenUsed="1"/>
    <w:lsdException w:name="List Continue 4" w:semiHidden="1" w:unhideWhenUsed="1"/>
    <w:lsdException w:name="heading 8" w:uiPriority="9" w:semiHidden="1" w:unhideWhenUsed="1" w:qFormat="1"/>
    <w:lsdException w:name="endnote text" w:semiHidden="1" w:unhideWhenUsed="1"/>
    <w:lsdException w:name="toc 4" w:uiPriority="39" w:semiHidden="1" w:unhideWhenUsed="1"/>
    <w:lsdException w:name="Block Text" w:semiHidden="1" w:unhideWhenUsed="1"/>
    <w:lsdException w:name="footnote reference" w:semiHidden="1" w:unhideWhenUsed="1"/>
    <w:lsdException w:name="Body Text 2" w:semiHidden="1" w:unhideWhenUsed="1"/>
    <w:lsdException w:name="List 2" w:semiHidden="1" w:unhideWhenUsed="1"/>
    <w:lsdException w:name="index 8" w:semiHidden="1" w:unhideWhenUsed="1"/>
    <w:lsdException w:name="Salutation" w:semiHidden="1" w:unhideWhenUsed="1"/>
    <w:lsdException w:name="heading 4" w:uiPriority="9" w:semiHidden="1" w:unhideWhenUsed="1" w:qFormat="1"/>
    <w:lsdException w:name="List Bullet 3" w:semiHidden="1" w:unhideWhenUsed="1"/>
    <w:lsdException w:name="Body Text First Indent 2" w:semiHidden="1" w:unhideWhenUsed="1"/>
    <w:lsdException w:name="heading 1" w:uiPriority="9" w:qFormat="1"/>
    <w:lsdException w:name="List 4" w:semiHidden="1" w:unhideWhenUsed="1"/>
    <w:lsdException w:name="Body Text Indent 3" w:semiHidden="1" w:unhideWhenUsed="1"/>
    <w:lsdException w:name="List Bullet 5" w:semiHidden="1" w:unhideWhenUsed="1"/>
    <w:lsdException w:name="annotation text" w:semiHidden="1" w:unhideWhenUsed="1"/>
    <w:lsdException w:name="List 3" w:semiHidden="1" w:unhideWhenUsed="1"/>
    <w:lsdException w:name="Signature" w:semiHidden="1" w:unhideWhenUsed="1"/>
    <w:lsdException w:name="toc 9" w:uiPriority="39" w:semiHidden="1" w:unhideWhenUsed="1"/>
    <w:lsdException w:name="heading 9" w:uiPriority="9" w:semiHidden="1" w:unhideWhenUsed="1" w:qFormat="1"/>
    <w:lsdException w:name="List Continue" w:semiHidden="1" w:unhideWhenUsed="1"/>
    <w:lsdException w:name="index 6" w:semiHidden="1" w:unhideWhenUsed="1"/>
    <w:lsdException w:name="List Bullet" w:semiHidden="1" w:unhideWhenUsed="1"/>
    <w:lsdException w:name="heading 6" w:uiPriority="9" w:semiHidden="1" w:unhideWhenUsed="1" w:qFormat="1"/>
    <w:lsdException w:name="page number" w:semiHidden="1" w:unhideWhenUsed="1"/>
    <w:lsdException w:name="line number" w:semiHidden="1" w:unhideWhenUsed="1"/>
    <w:lsdException w:name="FollowedHyperlink" w:semiHidden="1" w:unhideWhenUsed="1"/>
    <w:lsdException w:name="Hyperlink" w:semiHidden="1" w:unhideWhenUsed="1"/>
    <w:lsdException w:name="List Number 2" w:semiHidden="1" w:unhideWhenUsed="1"/>
    <w:lsdException w:name="index 5" w:semiHidden="1" w:unhideWhenUsed="1"/>
    <w:lsdException w:name="footnote text" w:semiHidden="1" w:unhideWhenUsed="1"/>
    <w:lsdException w:name="Normal" w:uiPriority="0" w:qFormat="1"/>
    <w:lsdException w:name="toc 7" w:uiPriority="39" w:semiHidden="1" w:unhideWhenUsed="1"/>
    <w:lsdException w:name="index heading" w:semiHidden="1" w:unhideWhenUsed="1"/>
    <w:lsdException w:name="caption" w:uiPriority="35" w:semiHidden="1" w:unhideWhenUsed="1" w:qFormat="1"/>
    <w:lsdException w:name="Closing" w:semiHidden="1" w:unhideWhenUsed="1"/>
    <w:lsdException w:name="index 3" w:semiHidden="1" w:unhideWhenUsed="1"/>
    <w:lsdException w:name="List Continue 2" w:semiHidden="1" w:unhideWhenUsed="1"/>
    <w:lsdException w:name="Body Text First Indent" w:semiHidden="1" w:unhideWhenUsed="1"/>
    <w:lsdException w:name="List Number 4" w:semiHidden="1" w:unhideWhenUsed="1"/>
    <w:lsdException w:name="Strong" w:uiPriority="22" w:qFormat="1"/>
    <w:lsdException w:name="Body Text 3" w:semiHidden="1" w:unhideWhenUsed="1"/>
    <w:lsdException w:name="heading 5" w:uiPriority="9" w:semiHidden="1" w:unhideWhenUsed="1" w:qFormat="1"/>
    <w:lsdException w:name="List" w:semiHidden="1" w:unhideWhenUsed="1"/>
    <w:lsdException w:name="Date" w:semiHidden="1" w:unhideWhenUsed="1"/>
    <w:lsdException w:name="index 2" w:semiHidden="1" w:unhideWhenUsed="1"/>
    <w:lsdException w:name="endnote reference" w:semiHidden="1" w:unhideWhenUsed="1"/>
    <w:lsdException w:name="footer" w:semiHidden="1" w:unhideWhenUsed="1"/>
    <w:lsdException w:name="Note Heading" w:semiHidden="1" w:unhideWhenUsed="1"/>
    <w:lsdException w:name="toc 3" w:uiPriority="39" w:semiHidden="1" w:unhideWhenUsed="1"/>
    <w:lsdException w:name="index 9" w:semiHidden="1" w:unhideWhenUsed="1"/>
    <w:lsdException w:name="heading 3" w:uiPriority="9" w:semiHidden="1" w:unhideWhenUsed="1" w:qFormat="1"/>
    <w:lsdException w:name="index 7" w:semiHidden="1" w:unhideWhenUsed="1"/>
    <w:lsdException w:name="envelope return" w:semiHidden="1" w:unhideWhenUsed="1"/>
    <w:lsdException w:name="Message Header" w:semiHidden="1" w:unhideWhenUsed="1"/>
    <w:lsdException w:name="Normal Indent" w:semiHidden="1" w:unhideWhenUsed="1"/>
    <w:lsdException w:name="heading 2" w:uiPriority="9" w:semiHidden="1" w:unhideWhenUsed="1" w:qFormat="1"/>
  </w:latentStyles>
  <w:style w:type="paragraph" w:styleId="000006">
    <w:name w:val="heading 2"/>
    <w:basedOn w:val="Normal"/>
    <w:next w:val="Normal"/>
    <w:uiPriority w:val="9"/>
    <w:qFormat w:val="1"/>
    <w:pPr>
      <w:keepNext w:val="1"/>
      <w:keepLines w:val="1"/>
      <w:spacing w:before="200" w:after="100"/>
      <w:outlineLvl w:val="1"/>
    </w:pPr>
    <w:rPr>
      <w:b w:val="1"/>
      <w:sz w:val="26"/>
      <w:szCs w:val="26"/>
    </w:rPr>
  </w:style>
  <w:style w:type="paragraph" w:styleId="000005">
    <w:name w:val="heading 1"/>
    <w:basedOn w:val="Normal"/>
    <w:next w:val="Normal"/>
    <w:uiPriority w:val="9"/>
    <w:qFormat w:val="1"/>
    <w:pPr>
      <w:keepNext w:val="1"/>
      <w:keepLines w:val="1"/>
      <w:spacing w:before="240" w:after="120"/>
      <w:outlineLvl w:val="0"/>
    </w:pPr>
    <w:rPr>
      <w:b w:val="1"/>
      <w:sz w:val="32"/>
      <w:szCs w:val="32"/>
    </w:rPr>
  </w:style>
  <w:style w:type="paragraph" w:styleId="000004">
    <w:name w:val="toc 2"/>
    <w:basedOn w:val="Normal"/>
    <w:qFormat w:val="1"/>
    <w:pPr>
      <w:tabs>
        <w:tab w:val="right" w:leader="dot" w:pos="9072"/>
      </w:tabs>
      <w:spacing w:after="60" w:line="360"/>
      <w:ind w:left="420"/>
    </w:pPr>
    <w:rPr>
      <w:rFonts w:ascii="SimSun" w:hAnsi="SimSun" w:eastAsia="SimSun" w:cs="SimSun"/>
      <w:sz w:val="24"/>
      <w:szCs w:val="24"/>
    </w:rPr>
  </w:style>
  <w:style w:type="paragraph" w:styleId="000003">
    <w:name w:val="toc 1"/>
    <w:basedOn w:val="Normal"/>
    <w:qFormat w:val="1"/>
    <w:pPr>
      <w:tabs>
        <w:tab w:val="right" w:leader="dot" w:pos="9072"/>
      </w:tabs>
      <w:spacing w:before="120" w:after="120" w:line="360"/>
    </w:pPr>
    <w:rPr>
      <w:rFonts w:ascii="SimSun" w:hAnsi="SimSun" w:eastAsia="SimSun" w:cs="SimSun"/>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oter" Target="footer1.xml"/><Relationship Id="rId3" Type="http://schemas.openxmlformats.org/officeDocument/2006/relationships/theme" Target="theme/theme1.xml"/><Relationship Id="rId4" Type="http://schemas.openxmlformats.org/officeDocument/2006/relationships/numbering" Target="numbering.xml"/><Relationship Id="rId1" Type="http://schemas.openxmlformats.org/officeDocument/2006/relationships/settings" Target="settings.xml"/><Relationship Id="rId2" Type="http://schemas.openxmlformats.org/officeDocument/2006/relationships/fontTable" Target="fontTable.xml"/><Relationship Id="rId0" Type="http://schemas.openxmlformats.org/officeDocument/2006/relationships/styles" Target="styles.xml"/><Relationship Id="rId7" Type="http://schemas.openxmlformats.org/officeDocument/2006/relationships/image" Target="media/image2.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2026-11-02T01:27:16Z</dcterms:created>
  <dcterms:modified xsi:type="dcterms:W3CDTF">2026-11-02T01:27:16Z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"01a19824bc0879539ba90f9f7845c59d", "ReservedCode1": "", "ContentPropagator": "00119111010856365494821B355", "PropagateID": "01a19824bc0879539ba90f9f7845c59d", "ReservedCode2": ""}}</vt:lpwstr>
  </property>
</Properties>
</file>