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3" Type="http://schemas.openxmlformats.org/officeDocument/2006/relationships/custom-properties" Target="docProps/custom.xml"/><Relationship Id="rId2" Type="http://schemas.openxmlformats.org/officeDocument/2006/relationships/extended-properties" Target="docProps/app.xml"/><Relationship Id="rId0" Type="http://schemas.openxmlformats.org/officeDocument/2006/relationships/officeDocument" Target="word/document.xml"/></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00000001">
      <w:pPr>
        <w:pStyle w:val="000002"/>
        <w:keepNext w:val="1"/>
        <w:keepLines w:val="1"/>
        <w:spacing w:before="100" w:beforeAutospacing="1" w:after="100" w:afterAutospacing="1" w:line="360"/>
        <w:outlineLvl w:val="0"/>
        <w:rPr>
          <w:kern w:val="44"/>
          <w:sz w:val="44"/>
          <w:szCs w:val="44"/>
        </w:rPr>
      </w:pPr>
      <w:r>
        <w:rPr>
          <w:rFonts w:hint="eastAsia" w:ascii="Times New Roman" w:hAnsi="Times New Roman" w:eastAsia="Times New Roman" w:cs="Times New Roman"/>
          <w:b w:val="1"/>
          <w:sz w:val="32"/>
        </w:rPr>
        <w:t>R1 逐条回复信（Proposed Response Letter · 英文拟稿）</w:t>
      </w:r>
    </w:p>
    <w:p w14:paraId="00000002">
      <w:pPr>
        <w:pBdr>
          <w:left w:val="single" w:color="999999" w:sz="18" w:space="10"/>
        </w:pBdr>
        <w:spacing w:before="120" w:after="120" w:line="360"/>
        <w:ind w:left="240" w:right="0"/>
        <w:rPr>
          <w:color w:val="333333"/>
        </w:rPr>
      </w:pPr>
      <w:r>
        <w:rPr>
          <w:rFonts w:ascii="Times New Roman" w:hAnsi="Times New Roman" w:eastAsia="Times New Roman" w:cs="Times New Roman"/>
          <w:b w:val="1"/>
          <w:color w:val="333333"/>
          <w:sz w:val="24"/>
        </w:rPr>
        <w:t>Note to the editor on locations.</w:t>
      </w:r>
      <w:r>
        <w:rPr>
          <w:rFonts w:hint="eastAsia" w:ascii="Times New Roman" w:hAnsi="Times New Roman" w:eastAsia="Times New Roman" w:cs="Times New Roman"/>
          <w:color w:val="333333"/>
          <w:sz w:val="24"/>
        </w:rPr>
        <w:t xml:space="preserve"> The manuscript is provided without fixed pagination. All locations in this letter refer to the Section and paragraph numbering of the accompanying manuscript section package (R1-稿件章节包). No page or line numbers are invented; mapping to typeset pages is left to the author after the manuscript is finalised.</w:t>
      </w:r>
    </w:p>
    <w:p w14:paraId="00000004">
      <w:pPr>
        <w:pBdr>
          <w:left w:val="single" w:color="999999" w:sz="18" w:space="10"/>
        </w:pBdr>
        <w:spacing w:before="120" w:after="120" w:line="360"/>
        <w:ind w:left="240" w:right="0"/>
        <w:rPr>
          <w:color w:val="333333"/>
        </w:rPr>
      </w:pPr>
      <w:r>
        <w:rPr>
          <w:rFonts w:ascii="Times New Roman" w:hAnsi="Times New Roman" w:eastAsia="Times New Roman" w:cs="Times New Roman"/>
          <w:b w:val="1"/>
          <w:color w:val="333333"/>
          <w:sz w:val="24"/>
        </w:rPr>
        <w:t>Status vocabulary.</w:t>
      </w:r>
      <w:r>
        <w:rPr>
          <w:rFonts w:ascii="Times New Roman" w:hAnsi="Times New Roman" w:eastAsia="Times New Roman" w:cs="Times New Roman"/>
          <w:color w:val="333333"/>
          <w:sz w:val="24"/>
        </w:rPr>
        <w:t xml:space="preserve"> PROPOSED = newly drafted text awaiting the author's merge into the manuscript. NO CHANGE = explanation only, no manuscript text proposed. No statement in this letter claims that a change has already been made to the manuscript.</w:t>
      </w:r>
    </w:p>
    <w:p w14:paraId="00000006">
      <w:pPr>
        <w:pBdr>
          <w:left w:val="single" w:color="999999" w:sz="18" w:space="10"/>
        </w:pBdr>
        <w:spacing w:before="120" w:after="120" w:line="360"/>
        <w:ind w:left="240" w:right="0"/>
        <w:rPr>
          <w:color w:val="333333"/>
        </w:rPr>
      </w:pPr>
      <w:r>
        <w:rPr>
          <w:rFonts w:ascii="Times New Roman" w:hAnsi="Times New Roman" w:eastAsia="Times New Roman" w:cs="Times New Roman"/>
          <w:b w:val="1"/>
          <w:color w:val="333333"/>
          <w:sz w:val="24"/>
        </w:rPr>
        <w:t>Work-status tags</w:t>
      </w:r>
      <w:r>
        <w:rPr>
          <w:rFonts w:ascii="Times New Roman" w:hAnsi="Times New Roman" w:eastAsia="Times New Roman" w:cs="Times New Roman"/>
          <w:color w:val="333333"/>
          <w:sz w:val="24"/>
        </w:rPr>
        <w:t xml:space="preserve"> distinguish three kinds of items: [Analysis completed — existing files] = work already done and archived in the project workspace; [Newly drafted text] = proposed manuscript text written for this revision; [Awaiting author action] = merging or final checks that only the author can perform.</w:t>
      </w:r>
    </w:p>
    <w:p w14:paraId="00000008">
      <w:pPr>
        <w:pBdr>
          <w:left w:val="single" w:color="999999" w:sz="18" w:space="10"/>
        </w:pBdr>
        <w:spacing w:before="120" w:after="120" w:line="360"/>
        <w:ind w:left="240" w:right="0"/>
        <w:rPr>
          <w:color w:val="333333"/>
        </w:rPr>
      </w:pPr>
      <w:r>
        <w:rPr>
          <w:rFonts w:ascii="Times New Roman" w:hAnsi="Times New Roman" w:eastAsia="Times New Roman" w:cs="Times New Roman"/>
          <w:color w:val="333333"/>
          <w:sz w:val="24"/>
        </w:rPr>
        <w:t>Comments below are English renderings of the original reviewer comments (Chinese originals quoted verbatim at the end of each comment block).</w:t>
      </w:r>
    </w:p>
    <w:p w14:paraId="00000009">
      <w:pPr>
        <w:pBdr>
          <w:bottom w:val="thick" w:color="040102" w:sz="8"/>
        </w:pBdr>
      </w:pPr>
    </w:p>
    <w:p w14:paraId="0000000A">
      <w:pPr>
        <w:spacing w:line="360"/>
      </w:pPr>
      <w:r>
        <w:rPr>
          <w:rFonts w:ascii="Times New Roman" w:hAnsi="Times New Roman" w:eastAsia="Times New Roman" w:cs="Times New Roman"/>
          <w:b w:val="1"/>
          <w:sz w:val="24"/>
        </w:rPr>
        <w:t>Stance summary</w:t>
      </w:r>
    </w:p>
    <w:tbl>
      <w:tblPr>
        <w:tblW w:w="8306" w:type="dxa"/>
        <w:tblLayout w:type="autofit"/>
        <w:tblCellMar>
          <w:top w:w="15" w:type="dxa"/>
          <w:left w:w="15" w:type="dxa"/>
          <w:bottom w:w="15" w:type="dxa"/>
          <w:right w:w="15" w:type="dxa"/>
        </w:tblCellMar>
      </w:tblPr>
      <w:tblGrid>
        <w:gridCol w:w="2076"/>
        <w:gridCol w:w="2076"/>
        <w:gridCol w:w="2076"/>
        <w:gridCol w:w="2076"/>
      </w:tblGrid>
      <w:tr>
        <w:trPr>
          <w:tblHeader w:val="1"/>
          <w:cantSplit/>
        </w:trPr>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0B">
            <w:pPr>
              <w:rPr>
                <w:b w:val="1"/>
                <w:bCs w:val="1"/>
              </w:rPr>
            </w:pPr>
            <w:r>
              <w:rPr>
                <w:rFonts w:ascii="Times New Roman" w:hAnsi="Times New Roman" w:eastAsia="Times New Roman" w:cs="Times New Roman"/>
                <w:b w:val="1"/>
                <w:sz w:val="21"/>
              </w:rPr>
              <w:t>Comment</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0C">
            <w:pPr>
              <w:rPr>
                <w:b w:val="1"/>
                <w:bCs w:val="1"/>
              </w:rPr>
            </w:pPr>
            <w:r>
              <w:rPr>
                <w:rFonts w:ascii="Times New Roman" w:hAnsi="Times New Roman" w:eastAsia="Times New Roman" w:cs="Times New Roman"/>
                <w:b w:val="1"/>
                <w:sz w:val="21"/>
              </w:rPr>
              <w:t>Stance</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0D">
            <w:pPr>
              <w:rPr>
                <w:b w:val="1"/>
                <w:bCs w:val="1"/>
              </w:rPr>
            </w:pPr>
            <w:r>
              <w:rPr>
                <w:rFonts w:ascii="Times New Roman" w:hAnsi="Times New Roman" w:eastAsia="Times New Roman" w:cs="Times New Roman"/>
                <w:b w:val="1"/>
                <w:sz w:val="21"/>
              </w:rPr>
              <w:t>Manuscript text proposed</w:t>
            </w:r>
          </w:p>
        </w:tc>
        <w:tc>
          <w:tcPr>
            <w:tcW w:w="2076" w:type="dxa"/>
            <w:tcBorders>
              <w:top w:val="single" w:color="888888" w:sz="6"/>
              <w:left w:val="single" w:color="888888" w:sz="6"/>
              <w:bottom w:val="single" w:color="888888" w:sz="6"/>
              <w:right w:val="single" w:color="888888" w:sz="6"/>
            </w:tcBorders>
            <w:shd w:val="clear" w:fill="eeeeee"/>
            <w:tcMar>
              <w:top w:w="80" w:type="dxa"/>
              <w:left w:w="120" w:type="dxa"/>
              <w:bottom w:w="80" w:type="dxa"/>
              <w:right w:w="120" w:type="dxa"/>
            </w:tcMar>
            <w:vAlign w:val="top"/>
          </w:tcPr>
          <w:p w14:paraId="0000000E">
            <w:pPr>
              <w:rPr>
                <w:b w:val="1"/>
                <w:bCs w:val="1"/>
              </w:rPr>
            </w:pPr>
            <w:r>
              <w:rPr>
                <w:rFonts w:ascii="Times New Roman" w:hAnsi="Times New Roman" w:eastAsia="Times New Roman" w:cs="Times New Roman"/>
                <w:b w:val="1"/>
                <w:sz w:val="21"/>
              </w:rPr>
              <w:t>Status</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0F">
            <w:r>
              <w:rPr>
                <w:rFonts w:ascii="Times New Roman" w:hAnsi="Times New Roman" w:eastAsia="Times New Roman" w:cs="Times New Roman"/>
                <w:sz w:val="21"/>
              </w:rPr>
              <w:t>1</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0">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1">
            <w:r>
              <w:rPr>
                <w:rFonts w:ascii="Times New Roman" w:hAnsi="Times New Roman" w:eastAsia="Times New Roman" w:cs="Times New Roman"/>
                <w:sz w:val="21"/>
              </w:rPr>
              <w:t>Section 1.1–1.3; Section 4.2; Section 5 (References)</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2">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3">
            <w:r>
              <w:rPr>
                <w:rFonts w:ascii="Times New Roman" w:hAnsi="Times New Roman" w:eastAsia="Times New Roman" w:cs="Times New Roman"/>
                <w:sz w:val="21"/>
              </w:rPr>
              <w:t>2</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4">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5">
            <w:r>
              <w:rPr>
                <w:rFonts w:ascii="Times New Roman" w:hAnsi="Times New Roman" w:eastAsia="Times New Roman" w:cs="Times New Roman"/>
                <w:sz w:val="21"/>
              </w:rPr>
              <w:t>Section 2.2; Section 3.5</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6">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7">
            <w:r>
              <w:rPr>
                <w:rFonts w:ascii="Times New Roman" w:hAnsi="Times New Roman" w:eastAsia="Times New Roman" w:cs="Times New Roman"/>
                <w:sz w:val="21"/>
              </w:rPr>
              <w:t>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8">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9">
            <w:r>
              <w:rPr>
                <w:rFonts w:ascii="Times New Roman" w:hAnsi="Times New Roman" w:eastAsia="Times New Roman" w:cs="Times New Roman"/>
                <w:sz w:val="21"/>
              </w:rPr>
              <w:t>Section 3.1; Table 1</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A">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B">
            <w:r>
              <w:rPr>
                <w:rFonts w:ascii="Times New Roman" w:hAnsi="Times New Roman" w:eastAsia="Times New Roman" w:cs="Times New Roman"/>
                <w:sz w:val="21"/>
              </w:rPr>
              <w:t>4</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C">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D">
            <w:r>
              <w:rPr>
                <w:rFonts w:ascii="Times New Roman" w:hAnsi="Times New Roman" w:eastAsia="Times New Roman" w:cs="Times New Roman"/>
                <w:sz w:val="21"/>
              </w:rPr>
              <w:t>Section 2.3–2.4; Section 3.4; Section 4.3</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E">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1F">
            <w:r>
              <w:rPr>
                <w:rFonts w:ascii="Times New Roman" w:hAnsi="Times New Roman" w:eastAsia="Times New Roman" w:cs="Times New Roman"/>
                <w:sz w:val="21"/>
              </w:rPr>
              <w:t>5</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0">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1">
            <w:r>
              <w:rPr>
                <w:rFonts w:ascii="Times New Roman" w:hAnsi="Times New Roman" w:eastAsia="Times New Roman" w:cs="Times New Roman"/>
                <w:sz w:val="21"/>
              </w:rPr>
              <w:t>Section 3.3; Table 2</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2">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3">
            <w:r>
              <w:rPr>
                <w:rFonts w:ascii="Times New Roman" w:hAnsi="Times New Roman" w:eastAsia="Times New Roman" w:cs="Times New Roman"/>
                <w:sz w:val="21"/>
              </w:rPr>
              <w:t>6</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4">
            <w:r>
              <w:rPr>
                <w:rFonts w:ascii="Times New Roman" w:hAnsi="Times New Roman" w:eastAsia="Times New Roman" w:cs="Times New Roman"/>
                <w:sz w:val="21"/>
              </w:rPr>
              <w:t>Specific request not adopted; explanation provided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5">
            <w:r>
              <w:rPr>
                <w:rFonts w:ascii="Times New Roman" w:hAnsi="Times New Roman" w:eastAsia="Times New Roman" w:cs="Times New Roman"/>
                <w:sz w:val="21"/>
              </w:rPr>
              <w:t>Section 2.4; Section 4.3 (statement only)</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6">
            <w:r>
              <w:rPr>
                <w:rFonts w:ascii="Times New Roman" w:hAnsi="Times New Roman" w:eastAsia="Times New Roman" w:cs="Times New Roman"/>
                <w:sz w:val="21"/>
              </w:rPr>
              <w:t>PROPOSED (statement) / NO CHANGE (no subgroup analyses added)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7">
            <w:r>
              <w:rPr>
                <w:rFonts w:ascii="Times New Roman" w:hAnsi="Times New Roman" w:eastAsia="Times New Roman" w:cs="Times New Roman"/>
                <w:sz w:val="21"/>
              </w:rPr>
              <w:t>7</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8">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9">
            <w:r>
              <w:rPr>
                <w:rFonts w:ascii="Times New Roman" w:hAnsi="Times New Roman" w:eastAsia="Times New Roman" w:cs="Times New Roman"/>
                <w:sz w:val="21"/>
              </w:rPr>
              <w:t>Section 1.3; Section 2.1; Section 4.1; Section 4.4</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A">
            <w:r>
              <w:rPr>
                <w:rFonts w:ascii="Times New Roman" w:hAnsi="Times New Roman" w:eastAsia="Times New Roman" w:cs="Times New Roman"/>
                <w:sz w:val="21"/>
              </w:rPr>
              <w:t>PROPOSED</w:t>
            </w:r>
          </w:p>
        </w:tc>
      </w:tr>
      <w:tr>
        <w:trPr>
          <w:cantSplit/>
        </w:trPr>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B">
            <w:r>
              <w:rPr>
                <w:rFonts w:ascii="Times New Roman" w:hAnsi="Times New Roman" w:eastAsia="Times New Roman" w:cs="Times New Roman"/>
                <w:sz w:val="21"/>
              </w:rPr>
              <w:t>8</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C">
            <w:r>
              <w:rPr>
                <w:rFonts w:ascii="Times New Roman" w:hAnsi="Times New Roman" w:eastAsia="Times New Roman" w:cs="Times New Roman"/>
                <w:sz w:val="21"/>
              </w:rPr>
              <w:t>Accepted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D">
            <w:r>
              <w:rPr>
                <w:rFonts w:ascii="Times New Roman" w:hAnsi="Times New Roman" w:eastAsia="Times New Roman" w:cs="Times New Roman"/>
                <w:sz w:val="21"/>
              </w:rPr>
              <w:t>Section 3.6; script and log supplied</w:t>
            </w:r>
          </w:p>
        </w:tc>
        <w:tc>
          <w:tcPr>
            <w:tcW w:w="2076" w:type="dxa"/>
            <w:tcBorders>
              <w:top w:val="single" w:color="888888" w:sz="6"/>
              <w:left w:val="single" w:color="888888" w:sz="6"/>
              <w:bottom w:val="single" w:color="888888" w:sz="6"/>
              <w:right w:val="single" w:color="888888" w:sz="6"/>
            </w:tcBorders>
            <w:tcMar>
              <w:top w:w="80" w:type="dxa"/>
              <w:left w:w="120" w:type="dxa"/>
              <w:bottom w:w="80" w:type="dxa"/>
              <w:right w:w="120" w:type="dxa"/>
            </w:tcMar>
            <w:vAlign w:val="top"/>
          </w:tcPr>
          <w:p w14:paraId="0000002E">
            <w:r>
              <w:rPr>
                <w:rFonts w:ascii="Times New Roman" w:hAnsi="Times New Roman" w:eastAsia="Times New Roman" w:cs="Times New Roman"/>
                <w:sz w:val="21"/>
              </w:rPr>
              <w:t>PROPOSED / [Analysis completed]</w:t>
            </w:r>
          </w:p>
        </w:tc>
      </w:tr>
    </w:tbl>
    <w:p w14:paraId="0000002F">
      <w:pPr>
        <w:pBdr>
          <w:bottom w:val="thick" w:color="040102" w:sz="8"/>
        </w:pBdr>
      </w:pPr>
    </w:p>
    <w:p w14:paraId="00000030">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1</w:t>
      </w:r>
    </w:p>
    <w:p w14:paraId="00000031">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explain the rationale for choosing home blood pressure monitoring as the research question, and check whether the cited references support a benefit in hard endpoints.（原文：请解释选择家庭血压监测研究问题的理由，并核查引文能否支持硬终点获益。）</w:t>
      </w:r>
    </w:p>
    <w:p w14:paraId="00000032">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33">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We propose to restructure the Introduction around two points.</w:t>
      </w:r>
    </w:p>
    <w:p w14:paraId="00000034">
      <w:pPr>
        <w:spacing w:line="360"/>
      </w:pPr>
      <w:r>
        <w:rPr>
          <w:rFonts w:ascii="Times New Roman" w:hAnsi="Times New Roman" w:eastAsia="Times New Roman" w:cs="Times New Roman"/>
          <w:i w:val="1"/>
          <w:sz w:val="24"/>
        </w:rPr>
        <w:t>Rationale (Section 1.1, paragraph 1).</w:t>
      </w:r>
      <w:r>
        <w:rPr>
          <w:rFonts w:ascii="Times New Roman" w:hAnsi="Times New Roman" w:eastAsia="Times New Roman" w:cs="Times New Roman"/>
          <w:sz w:val="24"/>
        </w:rPr>
        <w:t xml:space="preserve"> The proposed Introduction frames the research question rather than asserting conclusions about the setting: strengthening the awareness–treatment–control cascade in older community-dwelling residents is stated as the practical concern that motivates this project; home blood pressure monitoring is presented as the approach examined, with commonly assumed advantages such as low cost and avoidance of the white-coat effect explicitly treated as assumptions to be verified rather than established advantages; and a systematic review is cited as a reference point, reporting a net 6-month systolic reduction of about 3.9 mm Hg with self-monitoring alone, though not sustained at 12 months. The question the project focuses on—whether measurement support </w:t>
      </w:r>
      <w:r>
        <w:rPr>
          <w:rFonts w:ascii="Times New Roman" w:hAnsi="Times New Roman" w:eastAsia="Times New Roman" w:cs="Times New Roman"/>
          <w:i w:val="1"/>
          <w:sz w:val="24"/>
        </w:rPr>
        <w:t>without</w:t>
      </w:r>
      <w:r>
        <w:rPr>
          <w:rFonts w:ascii="Times New Roman" w:hAnsi="Times New Roman" w:eastAsia="Times New Roman" w:cs="Times New Roman"/>
          <w:sz w:val="24"/>
        </w:rPr>
        <w:t xml:space="preserve"> drug titration lowers blood pressure in older Chinese community residents, with a 6-month office systolic endpoint—is stated explicitly (Section 1.3, paragraph 3), together with the caveat that whether direct evidence already exists has not been established by the present searches and would require systematic verification before any claim of an evidence gap.</w:t>
      </w:r>
    </w:p>
    <w:p w14:paraId="00000035">
      <w:pPr>
        <w:spacing w:line="360"/>
      </w:pPr>
      <w:r>
        <w:rPr>
          <w:rFonts w:ascii="Times New Roman" w:hAnsi="Times New Roman" w:eastAsia="Times New Roman" w:cs="Times New Roman"/>
          <w:i w:val="1"/>
          <w:sz w:val="24"/>
        </w:rPr>
        <w:t>Citations and hard endpoints (Section 1.2, paragraph 2).</w:t>
      </w:r>
      <w:r>
        <w:rPr>
          <w:rFonts w:ascii="Times New Roman" w:hAnsi="Times New Roman" w:eastAsia="Times New Roman" w:cs="Times New Roman"/>
          <w:sz w:val="24"/>
        </w:rPr>
        <w:t xml:space="preserve"> We checked every claim against the full text of the cited trial (TASMINH4, PMC5854463), not only its abstract. The outcome of that trial is 12-month office systolic blood pressure—an intermediate endpoint, not a hard endpoint—and it was not powered to detect differences in cardiovascular outcomes; it contains no cardiovascular-mortality result (the figure "50%" in its Results refers to screening exclusions and randomisation proportions, not mortality). Claims attributing hard-endpoint benefits to home monitoring are therefore not supported by this reference, and the proposed text makes no such inference. The revised Introduction (Section 1.2) reports the trial accurately: 1,182 randomised participants, available-case primary analysis of 1,003 (85%), adjusted differences of −3.5 mm Hg (95% CI −5.8 to −1.2) and −4.7 mm Hg (95% CI −7.0 to −2.4) at 12 months, and model-based—not observed—projections of roughly 20% lower stroke risk and 10% lower coronary risk.</w:t>
      </w:r>
    </w:p>
    <w:p w14:paraId="00000036">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1.1–1.3（Introduction，整段新拟稿）｜Section 4.2（Discussion 引文段，整段新拟稿）｜Section 5（References：[1] Uhlig 2013, PMID 23922064；[2] TASMINH4, PMID 29499873 / PMC5854463；均附可访问链接与本项目核对层级）｜Status: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full-text verification: Analysis completed — existing files </w:t>
      </w:r>
      <w:r>
        <w:rPr>
          <w:rFonts w:hint="eastAsia" w:ascii="Menlo" w:hAnsi="Menlo" w:eastAsia="Menlo" w:cs="Menlo"/>
          <w:sz w:val="24"/>
        </w:rPr>
        <w:t>成果/证据核对/</w:t>
      </w:r>
      <w:r>
        <w:rPr>
          <w:rFonts w:ascii="Times New Roman" w:hAnsi="Times New Roman" w:eastAsia="Times New Roman" w:cs="Times New Roman"/>
          <w:sz w:val="24"/>
        </w:rPr>
        <w:t>]</w:t>
      </w:r>
    </w:p>
    <w:p w14:paraId="00000037">
      <w:pPr>
        <w:pBdr>
          <w:bottom w:val="thick" w:color="040102" w:sz="8"/>
        </w:pBdr>
      </w:pPr>
    </w:p>
    <w:p w14:paraId="00000038">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2</w:t>
      </w:r>
    </w:p>
    <w:p w14:paraId="00000039">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clarify the primary and secondary outcomes, and avoid presenting exploratory analyses as prespecified outcomes.（原文：请明确主要结局与次要结局，避免把探索分析包装为预设结局。）</w:t>
      </w:r>
    </w:p>
    <w:p w14:paraId="0000003A">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3B">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The proposed text states the outcome hierarchy exactly as prespecified in the analysis plan (Section 2.2, paragraph 2 of the package): the primary outcome is 6-month systolic blood pressure; the secondary outcome—the proportion below the dataset's predefined 140/90 mm Hg threshold—was prespecified as </w:t>
      </w:r>
      <w:r>
        <w:rPr>
          <w:rFonts w:ascii="Times New Roman" w:hAnsi="Times New Roman" w:eastAsia="Times New Roman" w:cs="Times New Roman"/>
          <w:b w:val="1"/>
          <w:sz w:val="24"/>
        </w:rPr>
        <w:t>descriptive only</w:t>
      </w:r>
      <w:r>
        <w:rPr>
          <w:rFonts w:ascii="Times New Roman" w:hAnsi="Times New Roman" w:eastAsia="Times New Roman" w:cs="Times New Roman"/>
          <w:sz w:val="24"/>
        </w:rPr>
        <w:t>, and is reported without hypothesis testing and without method selection (Section 3.5). Adherence, completed visits, and missingness descriptors are listed separately as process and follow-up descriptors and are not treated as confirmatory endpoints. The threshold itself is flagged as a property of the synthetic dataset rather than a clinical treatment target.</w:t>
      </w:r>
    </w:p>
    <w:p w14:paraId="0000003C">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2.2（结局定义）｜Section 3.5（次要结局段）｜Status: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underlying analysis executed per plan: Analysis completed — existing files </w:t>
      </w:r>
      <w:r>
        <w:rPr>
          <w:rFonts w:hint="eastAsia" w:ascii="Menlo" w:hAnsi="Menlo" w:eastAsia="Menlo" w:cs="Menlo"/>
          <w:sz w:val="24"/>
        </w:rPr>
        <w:t>成果/数据分析/</w:t>
      </w:r>
      <w:r>
        <w:rPr>
          <w:rFonts w:ascii="Times New Roman" w:hAnsi="Times New Roman" w:eastAsia="Times New Roman" w:cs="Times New Roman"/>
          <w:sz w:val="24"/>
        </w:rPr>
        <w:t>]</w:t>
      </w:r>
    </w:p>
    <w:p w14:paraId="0000003D">
      <w:pPr>
        <w:pBdr>
          <w:bottom w:val="thick" w:color="040102" w:sz="8"/>
        </w:pBdr>
      </w:pPr>
    </w:p>
    <w:p w14:paraId="0000003E">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3</w:t>
      </w:r>
    </w:p>
    <w:p w14:paraId="0000003F">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report the number of original records, the number of participants after de-duplication, the sample size of the primary analysis, and the reasons for exclusions.（原文：请报告原始记录数、去重后人数、主要分析样本量及排除理由。）</w:t>
      </w:r>
    </w:p>
    <w:p w14:paraId="00000040">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41">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The proposed text reports the full data flow (Section 3.1, paragraph 1): 303 raw records; 3 rows removed as exact duplicates on all 15 fields after field-by-field verification (copies of SIM004, SIM107, SIM255; no conflicting duplicates); 300 unique participants (150 per group); 32 participants excluded from the primary analysis—30 with missing 6-month blood pressure readings, 1 with an implausible 6-month systolic value set to missing under the prespecified sentinel rule (SIM098), and 1 with missing age (SIM019)—leaving n = 268 (129 intervention, 139 control). One participant with missing BMI only was retained because BMI is not a covariate in the primary model. Every cleaning step is logged (213 entries: participant ID, field, original value, new value, rule).</w:t>
      </w:r>
    </w:p>
    <w:p w14:paraId="00000042">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3.1（participant flow）｜Table 1（基线特征表）｜Status: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cleaning and audit trail: Analysis completed — existing files </w:t>
      </w:r>
      <w:r>
        <w:rPr>
          <w:rFonts w:hint="eastAsia" w:ascii="Menlo" w:hAnsi="Menlo" w:eastAsia="Menlo" w:cs="Menlo"/>
          <w:sz w:val="24"/>
        </w:rPr>
        <w:t>成果/数据分析/</w:t>
      </w:r>
      <w:r>
        <w:rPr>
          <w:rFonts w:ascii="Times New Roman" w:hAnsi="Times New Roman" w:eastAsia="Times New Roman" w:cs="Times New Roman"/>
          <w:sz w:val="24"/>
        </w:rPr>
        <w:t>]</w:t>
      </w:r>
    </w:p>
    <w:p w14:paraId="00000043">
      <w:pPr>
        <w:pBdr>
          <w:bottom w:val="thick" w:color="040102" w:sz="8"/>
        </w:pBdr>
      </w:pPr>
    </w:p>
    <w:p w14:paraId="00000044">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4</w:t>
      </w:r>
    </w:p>
    <w:p w14:paraId="00000045">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describe the missing-data mechanism and handling; mean imputation without justification is not acceptable.（原文：请说明缺失数据机制与处理，不接受无说明的均数填补。）</w:t>
      </w:r>
    </w:p>
    <w:p w14:paraId="00000046">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47">
      <w:pPr>
        <w:spacing w:line="360"/>
      </w:pPr>
      <w:r>
        <w:rPr>
          <w:rFonts w:ascii="Times New Roman" w:hAnsi="Times New Roman" w:eastAsia="Times New Roman" w:cs="Times New Roman"/>
          <w:b w:val="1"/>
          <w:sz w:val="24"/>
        </w:rPr>
        <w:t>Proposed response.</w:t>
      </w:r>
    </w:p>
    <w:p w14:paraId="00000048">
      <w:pPr>
        <w:spacing w:line="360"/>
      </w:pPr>
      <w:r>
        <w:rPr>
          <w:rFonts w:ascii="Times New Roman" w:hAnsi="Times New Roman" w:eastAsia="Times New Roman" w:cs="Times New Roman"/>
          <w:i w:val="1"/>
          <w:sz w:val="24"/>
        </w:rPr>
        <w:t>Handling.</w:t>
      </w:r>
      <w:r>
        <w:rPr>
          <w:rFonts w:ascii="Times New Roman" w:hAnsi="Times New Roman" w:eastAsia="Times New Roman" w:cs="Times New Roman"/>
          <w:sz w:val="24"/>
        </w:rPr>
        <w:t xml:space="preserve"> No imputation of any kind was performed. The proposed text describes the primary analysis as a complete-case analysis and explicitly does not label it a complete intention-to-treat analysis (Section 2.4). The pattern and volume of missingness are reported: the 6-month outcome was missing for 21 intervention (14.0%) and 10 control (6.7%) participants; 6-month systolic and diastolic values were missing as a pair for 30 participants.</w:t>
      </w:r>
    </w:p>
    <w:p w14:paraId="00000049">
      <w:pPr>
        <w:spacing w:line="360"/>
      </w:pPr>
      <w:r>
        <w:rPr>
          <w:rFonts w:ascii="Times New Roman" w:hAnsi="Times New Roman" w:eastAsia="Times New Roman" w:cs="Times New Roman"/>
          <w:i w:val="1"/>
          <w:sz w:val="24"/>
        </w:rPr>
        <w:t>Mechanism.</w:t>
      </w:r>
      <w:r>
        <w:rPr>
          <w:rFonts w:ascii="Times New Roman" w:hAnsi="Times New Roman" w:eastAsia="Times New Roman" w:cs="Times New Roman"/>
          <w:sz w:val="24"/>
        </w:rPr>
        <w:t xml:space="preserve"> The included-versus-excluded comparison is a description of the missingness pattern; it cannot determine the mechanism of missingness or the direction of any bias, and we do not claim otherwise. As prespecified, we compared included (n = 268) with excluded (n = 32) participants (Section 3.4): no significant differences in age, baseline blood pressure, BMI, sex, or diabetes, but excluded participants contained a larger intervention share (65.6% vs 48.1%, P = 0.092), consistent with the higher intervention-group missingness. The proposed text states that differential missingness may bias the complete-case estimate, with a direction that cannot be determined from these data (Section 4.3). We note that the HC3 robust standard-error refit is a check of the standard-error estimator, not a missing-data method, and it is described accordingly (Section 2.4, Section 3.4).</w:t>
      </w:r>
    </w:p>
    <w:p w14:paraId="0000004A">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2.3–2.4（清洗与缺失处理）｜Section 3.4（纳入 vs 未纳入比较）｜Section 4.3（Limitations 第 2 条）｜Status: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comparison analysis: Analysis completed — existing files </w:t>
      </w:r>
      <w:r>
        <w:rPr>
          <w:rFonts w:hint="eastAsia" w:ascii="Menlo" w:hAnsi="Menlo" w:eastAsia="Menlo" w:cs="Menlo"/>
          <w:sz w:val="24"/>
        </w:rPr>
        <w:t>成果/数据分析/纳入与未纳入比较.csv</w:t>
      </w:r>
      <w:r>
        <w:rPr>
          <w:rFonts w:ascii="Times New Roman" w:hAnsi="Times New Roman" w:eastAsia="Times New Roman" w:cs="Times New Roman"/>
          <w:sz w:val="24"/>
        </w:rPr>
        <w:t>]</w:t>
      </w:r>
    </w:p>
    <w:p w14:paraId="0000004B">
      <w:pPr>
        <w:pBdr>
          <w:bottom w:val="thick" w:color="040102" w:sz="8"/>
        </w:pBdr>
      </w:pPr>
    </w:p>
    <w:p w14:paraId="0000004C">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5</w:t>
      </w:r>
    </w:p>
    <w:p w14:paraId="0000004D">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report adjusted effect estimates with 95% confidence intervals.（原文：请报告调整效应量和95%置信区间。）</w:t>
      </w:r>
    </w:p>
    <w:p w14:paraId="0000004E">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4F">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The proposed text reports the primary result as an adjusted estimate with its interval (Section 3.3, Table 2): adjusted mean difference for 6-month systolic blood pressure, intervention minus control, </w:t>
      </w:r>
      <w:r>
        <w:rPr>
          <w:rFonts w:ascii="Times New Roman" w:hAnsi="Times New Roman" w:eastAsia="Times New Roman" w:cs="Times New Roman"/>
          <w:b w:val="1"/>
          <w:sz w:val="24"/>
        </w:rPr>
        <w:t>−5.60 mm Hg (95% CI −7.67 to −3.52; P &lt; 0.001)</w:t>
      </w:r>
      <w:r>
        <w:rPr>
          <w:rFonts w:ascii="Times New Roman" w:hAnsi="Times New Roman" w:eastAsia="Times New Roman" w:cs="Times New Roman"/>
          <w:sz w:val="24"/>
        </w:rPr>
        <w:t>, from a linear regression adjusted for baseline systolic blood pressure, age, and site (n = 268). All regression coefficients with 95% confidence intervals are tabulated (Table 2). The prespecified sensitivity analysis is reported alongside: the HC3 robust-standard-error refit gives −5.60 mm Hg (95% CI −7.68 to −3.52), indicating that the estimate does not depend on the standard-error estimator. In addition, g-computation standardisation—reported as an interpretation of the adjusted model estimate, not as an independent sensitivity test—gives group means of 140.31 versus 145.91 mm Hg, a difference identical to the model coefficient.</w:t>
      </w:r>
    </w:p>
    <w:p w14:paraId="00000050">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3.3（主结局段）｜Table 2（回归系数表）｜Status: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estimates: Analysis completed — existing files </w:t>
      </w:r>
      <w:r>
        <w:rPr>
          <w:rFonts w:hint="eastAsia" w:ascii="Menlo" w:hAnsi="Menlo" w:eastAsia="Menlo" w:cs="Menlo"/>
          <w:sz w:val="24"/>
        </w:rPr>
        <w:t>成果/数据分析/模型系数表.csv</w:t>
      </w:r>
      <w:r>
        <w:rPr>
          <w:rFonts w:hint="eastAsia" w:ascii="Times New Roman" w:hAnsi="Times New Roman" w:eastAsia="Times New Roman" w:cs="Times New Roman"/>
          <w:sz w:val="24"/>
        </w:rPr>
        <w:t>、</w:t>
      </w:r>
      <w:r>
        <w:rPr>
          <w:rFonts w:hint="eastAsia" w:ascii="Menlo" w:hAnsi="Menlo" w:eastAsia="Menlo" w:cs="Menlo"/>
          <w:sz w:val="24"/>
        </w:rPr>
        <w:t>完整分析报告.md</w:t>
      </w:r>
      <w:r>
        <w:rPr>
          <w:rFonts w:ascii="Times New Roman" w:hAnsi="Times New Roman" w:eastAsia="Times New Roman" w:cs="Times New Roman"/>
          <w:sz w:val="24"/>
        </w:rPr>
        <w:t>]</w:t>
      </w:r>
    </w:p>
    <w:p w14:paraId="00000051">
      <w:pPr>
        <w:pBdr>
          <w:bottom w:val="thick" w:color="040102" w:sz="8"/>
        </w:pBdr>
      </w:pPr>
    </w:p>
    <w:p w14:paraId="00000052">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6</w:t>
      </w:r>
    </w:p>
    <w:p w14:paraId="00000053">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We suggest adding five new subgroup analyses and highlighting the significant one.（原文：建议增加5个新的亚组分析，并突出显著的一组。）</w:t>
      </w:r>
    </w:p>
    <w:p w14:paraId="00000054">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The specific request is not adopted; an explanation is provided. No post hoc subgroup significance screening was performed, and no exploratory subgroup analyses are added.</w:t>
      </w:r>
    </w:p>
    <w:p w14:paraId="00000055">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We understand the interest in whether the intervention effect differs across patient groups, and we appreciate that subgroup findings can generate hypotheses. We have nonetheless not performed post hoc subgroup significance screening and do not present any subgroup analyses, for three reasons anchored in the prespecified analysis plan. First, no subgroup analyses were prespecified: the analysis plan states that none were planned and that future subgroup questions would require a protocol amendment declared before data lock and unblinding. Second, a set of unplanned subgroup comparisons multiplies the number of tests; without multiplicity control, the chance of at least one spurious "significant" subgroup rises with every additional comparison, so highlighting a significant subgroup alone does not establish a credible subgroup effect. Third, selecting and emphasising whichever subgroup is most significant after seeing the results is selective reporting: it privileges the extreme result among many and misrepresents the uncertainty of the estimate. None of these concerns depends on the size of the present dataset; they follow from the prespecification framework and the logic of inference. We state this transparently in the manuscript (Section 2.4: no subgroup analyses were prespecified and none were performed; Section 4.3, third limitation).</w:t>
      </w:r>
    </w:p>
    <w:p w14:paraId="00000056">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2.4（如实写明无预设亚组、未做事后亚组分析）｜Section 4.3（Limitations 第 3 条）｜Status: </w:t>
      </w:r>
      <w:r>
        <w:rPr>
          <w:rFonts w:ascii="Times New Roman" w:hAnsi="Times New Roman" w:eastAsia="Times New Roman" w:cs="Times New Roman"/>
          <w:b w:val="1"/>
          <w:sz w:val="24"/>
        </w:rPr>
        <w:t>PROPOSED</w:t>
      </w:r>
      <w:r>
        <w:rPr>
          <w:rFonts w:hint="eastAsia" w:ascii="Times New Roman" w:hAnsi="Times New Roman" w:eastAsia="Times New Roman" w:cs="Times New Roman"/>
          <w:sz w:val="24"/>
        </w:rPr>
        <w:t xml:space="preserve">（说明性文字）/ </w:t>
      </w:r>
      <w:r>
        <w:rPr>
          <w:rFonts w:ascii="Times New Roman" w:hAnsi="Times New Roman" w:eastAsia="Times New Roman" w:cs="Times New Roman"/>
          <w:b w:val="1"/>
          <w:sz w:val="24"/>
        </w:rPr>
        <w:t>NO CHANGE</w:t>
      </w:r>
      <w:r>
        <w:rPr>
          <w:rFonts w:hint="eastAsia" w:ascii="Times New Roman" w:hAnsi="Times New Roman" w:eastAsia="Times New Roman" w:cs="Times New Roman"/>
          <w:sz w:val="24"/>
        </w:rPr>
        <w:t>（稿件不新增任何亚组分析）— [Newly drafted text]</w:t>
      </w:r>
    </w:p>
    <w:p w14:paraId="00000057">
      <w:pPr>
        <w:pBdr>
          <w:bottom w:val="thick" w:color="040102" w:sz="8"/>
        </w:pBdr>
      </w:pPr>
    </w:p>
    <w:p w14:paraId="00000058">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7</w:t>
      </w:r>
    </w:p>
    <w:p w14:paraId="00000059">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avoid presenting results from simulated data as evidence of clinical effectiveness.（原文：请避免把模拟数据结果作为临床有效性证据。）</w:t>
      </w:r>
    </w:p>
    <w:p w14:paraId="0000005A">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5B">
      <w:pPr>
        <w:spacing w:line="360"/>
      </w:pPr>
      <w:r>
        <w:rPr>
          <w:rFonts w:ascii="Times New Roman" w:hAnsi="Times New Roman" w:eastAsia="Times New Roman" w:cs="Times New Roman"/>
          <w:b w:val="1"/>
          <w:sz w:val="24"/>
        </w:rPr>
        <w:t>Proposed response.</w:t>
      </w:r>
      <w:r>
        <w:rPr>
          <w:rFonts w:ascii="Times New Roman" w:hAnsi="Times New Roman" w:eastAsia="Times New Roman" w:cs="Times New Roman"/>
          <w:sz w:val="24"/>
        </w:rPr>
        <w:t xml:space="preserve"> The data are program-generated synthetic records for 300 simulated participants, and group assignment alternates with the participant identifier rather than arising from a real randomisation. The proposed text states this at the point of data description (Section 2.1), at the head of the Results framing (Section 1.3), and again in the Discussion (Section 4.1, Section 4.4): all estimates quantify the behaviour of the prespecified analysis pipeline on synthetic data; they are not estimates of clinical effect, and no claim of clinical value, usefulness, or benefit is made for any real population. The synthetic-data generation parameters are not treated as evidence about real-world effect sizes anywhere in the text. Similarity between estimates from synthetic data and published trial results would not constitute external validation of either; the Discussion (Section 4.2) is therefore limited to describing the cited trial evidence and the applicability of the present methods, and makes no appeal to directional agreement as validation.</w:t>
      </w:r>
    </w:p>
    <w:p w14:paraId="0000005C">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1.3（目标段限定）｜Section 2.1（数据来源声明）｜Section 4.1、4.4（结论限定）｜Status: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w:t>
      </w:r>
    </w:p>
    <w:p w14:paraId="0000005D">
      <w:pPr>
        <w:pBdr>
          <w:bottom w:val="thick" w:color="040102" w:sz="8"/>
        </w:pBdr>
      </w:pPr>
    </w:p>
    <w:p w14:paraId="0000005E">
      <w:pPr>
        <w:pStyle w:val="000003"/>
        <w:keepNext w:val="1"/>
        <w:keepLines w:val="1"/>
        <w:spacing w:before="100" w:beforeAutospacing="1" w:after="100" w:afterAutospacing="1" w:line="360"/>
        <w:outlineLvl w:val="2"/>
        <w:rPr>
          <w:sz w:val="32"/>
          <w:szCs w:val="32"/>
        </w:rPr>
      </w:pPr>
      <w:r>
        <w:rPr>
          <w:rFonts w:ascii="Times New Roman" w:hAnsi="Times New Roman" w:eastAsia="Times New Roman" w:cs="Times New Roman"/>
          <w:b w:val="1"/>
          <w:sz w:val="25"/>
        </w:rPr>
        <w:t>Comment 8</w:t>
      </w:r>
    </w:p>
    <w:p w14:paraId="0000005F">
      <w:pPr>
        <w:pBdr>
          <w:left w:val="single" w:color="999999" w:sz="18" w:space="10"/>
        </w:pBdr>
        <w:spacing w:before="120" w:after="120" w:line="360"/>
        <w:ind w:left="240" w:right="0"/>
        <w:rPr>
          <w:color w:val="333333"/>
        </w:rPr>
      </w:pPr>
      <w:r>
        <w:rPr>
          <w:rFonts w:hint="eastAsia" w:ascii="Times New Roman" w:hAnsi="Times New Roman" w:eastAsia="Times New Roman" w:cs="Times New Roman"/>
          <w:color w:val="333333"/>
          <w:sz w:val="24"/>
        </w:rPr>
        <w:t>Reviewer comment: Please provide a reproducible analysis script, and check the page and paragraph references in the reply letter.（原文：请给出可重复分析脚本，并核对回复信中页码与段落位置。）</w:t>
      </w:r>
    </w:p>
    <w:p w14:paraId="00000060">
      <w:pPr>
        <w:spacing w:line="360"/>
      </w:pPr>
      <w:r>
        <w:rPr>
          <w:rFonts w:ascii="Times New Roman" w:hAnsi="Times New Roman" w:eastAsia="Times New Roman" w:cs="Times New Roman"/>
          <w:b w:val="1"/>
          <w:sz w:val="24"/>
        </w:rPr>
        <w:t>Stance:</w:t>
      </w:r>
      <w:r>
        <w:rPr>
          <w:rFonts w:ascii="Times New Roman" w:hAnsi="Times New Roman" w:eastAsia="Times New Roman" w:cs="Times New Roman"/>
          <w:sz w:val="24"/>
        </w:rPr>
        <w:t xml:space="preserve"> Accepted.</w:t>
      </w:r>
    </w:p>
    <w:p w14:paraId="00000061">
      <w:pPr>
        <w:spacing w:line="360"/>
      </w:pPr>
      <w:r>
        <w:rPr>
          <w:rFonts w:ascii="Times New Roman" w:hAnsi="Times New Roman" w:eastAsia="Times New Roman" w:cs="Times New Roman"/>
          <w:b w:val="1"/>
          <w:sz w:val="24"/>
        </w:rPr>
        <w:t>Proposed response.</w:t>
      </w:r>
    </w:p>
    <w:p w14:paraId="00000062">
      <w:pPr>
        <w:spacing w:line="360"/>
      </w:pPr>
      <w:r>
        <w:rPr>
          <w:rFonts w:ascii="Times New Roman" w:hAnsi="Times New Roman" w:eastAsia="Times New Roman" w:cs="Times New Roman"/>
          <w:i w:val="1"/>
          <w:sz w:val="24"/>
        </w:rPr>
        <w:t>Reproducibility.</w:t>
      </w:r>
      <w:r>
        <w:rPr>
          <w:rFonts w:ascii="Times New Roman" w:hAnsi="Times New Roman" w:eastAsia="Times New Roman" w:cs="Times New Roman"/>
          <w:sz w:val="24"/>
        </w:rPr>
        <w:t xml:space="preserve"> A single script (</w:t>
      </w:r>
      <w:r>
        <w:rPr>
          <w:rFonts w:ascii="Menlo" w:hAnsi="Menlo" w:eastAsia="Menlo" w:cs="Menlo"/>
          <w:sz w:val="24"/>
        </w:rPr>
        <w:t>analysis.py</w:t>
      </w:r>
      <w:r>
        <w:rPr>
          <w:rFonts w:ascii="Times New Roman" w:hAnsi="Times New Roman" w:eastAsia="Times New Roman" w:cs="Times New Roman"/>
          <w:sz w:val="24"/>
        </w:rPr>
        <w:t xml:space="preserve">) regenerates the cleaned dataset, the audit log, every table, every figure, and the summary workbook from the raw file in one run; the archived console output of the most recent full run records every key number quoted in this letter. Data and code availability is stated in the manuscript (Section 3.6). [Analysis completed — existing files </w:t>
      </w:r>
      <w:r>
        <w:rPr>
          <w:rFonts w:hint="eastAsia" w:ascii="Menlo" w:hAnsi="Menlo" w:eastAsia="Menlo" w:cs="Menlo"/>
          <w:sz w:val="24"/>
        </w:rPr>
        <w:t>成果/数据分析/analysis.py</w:t>
      </w:r>
      <w:r>
        <w:rPr>
          <w:rFonts w:hint="eastAsia" w:ascii="Times New Roman" w:hAnsi="Times New Roman" w:eastAsia="Times New Roman" w:cs="Times New Roman"/>
          <w:sz w:val="24"/>
        </w:rPr>
        <w:t>、</w:t>
      </w:r>
      <w:r>
        <w:rPr>
          <w:rFonts w:hint="eastAsia" w:ascii="Menlo" w:hAnsi="Menlo" w:eastAsia="Menlo" w:cs="Menlo"/>
          <w:sz w:val="24"/>
        </w:rPr>
        <w:t>重跑日志.txt</w:t>
      </w:r>
      <w:r>
        <w:rPr>
          <w:rFonts w:ascii="Times New Roman" w:hAnsi="Times New Roman" w:eastAsia="Times New Roman" w:cs="Times New Roman"/>
          <w:sz w:val="24"/>
        </w:rPr>
        <w:t>]</w:t>
      </w:r>
    </w:p>
    <w:p w14:paraId="00000063">
      <w:pPr>
        <w:spacing w:line="360"/>
      </w:pPr>
      <w:r>
        <w:rPr>
          <w:rFonts w:ascii="Times New Roman" w:hAnsi="Times New Roman" w:eastAsia="Times New Roman" w:cs="Times New Roman"/>
          <w:i w:val="1"/>
          <w:sz w:val="24"/>
        </w:rPr>
        <w:t>Location references.</w:t>
      </w:r>
      <w:r>
        <w:rPr>
          <w:rFonts w:hint="eastAsia" w:ascii="Times New Roman" w:hAnsi="Times New Roman" w:eastAsia="Times New Roman" w:cs="Times New Roman"/>
          <w:sz w:val="24"/>
        </w:rPr>
        <w:t xml:space="preserve"> The manuscript has no fixed pagination at this stage, so no page or line numbers are cited anywhere in this letter. All locations refer to the Section and paragraph numbering of the accompanying section package (e.g., "Section 3.3, paragraph 3"). Mapping to typeset pages is a final-check step for the author after merging; the cross-check table (R1-修改对照表) and the number ledger (R1-数字核对表) list every proposed change and every number with its source, so that each promise in this letter corresponds to exactly one item in the change list, and vice versa.</w:t>
      </w:r>
    </w:p>
    <w:p w14:paraId="00000064">
      <w:pPr>
        <w:spacing w:line="360"/>
      </w:pPr>
      <w:r>
        <w:rPr>
          <w:rFonts w:ascii="Times New Roman" w:hAnsi="Times New Roman" w:eastAsia="Times New Roman" w:cs="Times New Roman"/>
          <w:b w:val="1"/>
          <w:sz w:val="24"/>
        </w:rPr>
        <w:t>Proposed change.</w:t>
      </w:r>
      <w:r>
        <w:rPr>
          <w:rFonts w:hint="eastAsia" w:ascii="Times New Roman" w:hAnsi="Times New Roman" w:eastAsia="Times New Roman" w:cs="Times New Roman"/>
          <w:sz w:val="24"/>
        </w:rPr>
        <w:t xml:space="preserve"> Section 3.6（data and code availability，新拟稿）｜回复信卷首位置说明｜Status: </w:t>
      </w:r>
      <w:r>
        <w:rPr>
          <w:rFonts w:ascii="Times New Roman" w:hAnsi="Times New Roman" w:eastAsia="Times New Roman" w:cs="Times New Roman"/>
          <w:b w:val="1"/>
          <w:sz w:val="24"/>
        </w:rPr>
        <w:t>PROPOSED</w:t>
      </w:r>
      <w:r>
        <w:rPr>
          <w:rFonts w:ascii="Times New Roman" w:hAnsi="Times New Roman" w:eastAsia="Times New Roman" w:cs="Times New Roman"/>
          <w:sz w:val="24"/>
        </w:rPr>
        <w:t xml:space="preserve"> — [Newly drafted text; script and rerun log: Analysis completed — existing files]</w:t>
      </w:r>
    </w:p>
    <w:p w14:paraId="00000065">
      <w:pPr>
        <w:pBdr>
          <w:bottom w:val="thick" w:color="040102" w:sz="8"/>
        </w:pBdr>
      </w:pPr>
    </w:p>
    <w:p w14:paraId="00000066">
      <w:pPr>
        <w:spacing w:line="360"/>
      </w:pPr>
      <w:r>
        <w:rPr>
          <w:rFonts w:hint="eastAsia" w:ascii="Times New Roman" w:hAnsi="Times New Roman" w:eastAsia="Times New Roman" w:cs="Times New Roman"/>
          <w:b w:val="1"/>
          <w:sz w:val="24"/>
        </w:rPr>
        <w:t>Chinese originals of the reviewer comments (verbatim, 资料来源：资料/审稿意见.md)</w:t>
      </w:r>
    </w:p>
    <w:p w14:paraId="00000067">
      <w:pPr>
        <w:numPr>
          <w:ilvl w:val="0"/>
          <w:numId w:val="1"/>
        </w:numPr>
        <w:spacing w:line="360"/>
      </w:pPr>
      <w:r>
        <w:rPr>
          <w:rFonts w:hint="eastAsia" w:ascii="Times New Roman" w:hAnsi="Times New Roman" w:eastAsia="Times New Roman" w:cs="Times New Roman"/>
          <w:sz w:val="24"/>
        </w:rPr>
        <w:t>请解释选择家庭血压监测研究问题的理由，并核查引文能否支持硬终点获益。</w:t>
      </w:r>
    </w:p>
    <w:p w14:paraId="00000068">
      <w:pPr>
        <w:numPr>
          <w:ilvl w:val="0"/>
          <w:numId w:val="1"/>
        </w:numPr>
        <w:spacing w:line="360"/>
      </w:pPr>
      <w:r>
        <w:rPr>
          <w:rFonts w:hint="eastAsia" w:ascii="Times New Roman" w:hAnsi="Times New Roman" w:eastAsia="Times New Roman" w:cs="Times New Roman"/>
          <w:sz w:val="24"/>
        </w:rPr>
        <w:t>请明确主要结局与次要结局，避免把探索分析包装为预设结局。</w:t>
      </w:r>
    </w:p>
    <w:p w14:paraId="00000069">
      <w:pPr>
        <w:numPr>
          <w:ilvl w:val="0"/>
          <w:numId w:val="1"/>
        </w:numPr>
        <w:spacing w:line="360"/>
      </w:pPr>
      <w:r>
        <w:rPr>
          <w:rFonts w:hint="eastAsia" w:ascii="Times New Roman" w:hAnsi="Times New Roman" w:eastAsia="Times New Roman" w:cs="Times New Roman"/>
          <w:sz w:val="24"/>
        </w:rPr>
        <w:t>请报告原始记录数、去重后人数、主要分析样本量及排除理由。</w:t>
      </w:r>
    </w:p>
    <w:p w14:paraId="0000006A">
      <w:pPr>
        <w:numPr>
          <w:ilvl w:val="0"/>
          <w:numId w:val="1"/>
        </w:numPr>
        <w:spacing w:line="360"/>
      </w:pPr>
      <w:r>
        <w:rPr>
          <w:rFonts w:hint="eastAsia" w:ascii="Times New Roman" w:hAnsi="Times New Roman" w:eastAsia="Times New Roman" w:cs="Times New Roman"/>
          <w:sz w:val="24"/>
        </w:rPr>
        <w:t>请说明缺失数据机制与处理，不接受无说明的均数填补。</w:t>
      </w:r>
    </w:p>
    <w:p w14:paraId="0000006B">
      <w:pPr>
        <w:numPr>
          <w:ilvl w:val="0"/>
          <w:numId w:val="1"/>
        </w:numPr>
        <w:spacing w:line="360"/>
      </w:pPr>
      <w:r>
        <w:rPr>
          <w:rFonts w:hint="eastAsia" w:ascii="Times New Roman" w:hAnsi="Times New Roman" w:eastAsia="Times New Roman" w:cs="Times New Roman"/>
          <w:sz w:val="24"/>
        </w:rPr>
        <w:t>请报告调整效应量和95%置信区间。</w:t>
      </w:r>
    </w:p>
    <w:p w14:paraId="0000006C">
      <w:pPr>
        <w:numPr>
          <w:ilvl w:val="0"/>
          <w:numId w:val="1"/>
        </w:numPr>
        <w:spacing w:line="360"/>
      </w:pPr>
      <w:r>
        <w:rPr>
          <w:rFonts w:hint="eastAsia" w:ascii="Times New Roman" w:hAnsi="Times New Roman" w:eastAsia="Times New Roman" w:cs="Times New Roman"/>
          <w:sz w:val="24"/>
        </w:rPr>
        <w:t>建议增加5个新的亚组分析，并突出显著的一组。</w:t>
      </w:r>
    </w:p>
    <w:p w14:paraId="0000006D">
      <w:pPr>
        <w:numPr>
          <w:ilvl w:val="0"/>
          <w:numId w:val="1"/>
        </w:numPr>
        <w:spacing w:line="360"/>
      </w:pPr>
      <w:r>
        <w:rPr>
          <w:rFonts w:hint="eastAsia" w:ascii="Times New Roman" w:hAnsi="Times New Roman" w:eastAsia="Times New Roman" w:cs="Times New Roman"/>
          <w:sz w:val="24"/>
        </w:rPr>
        <w:t>请避免把模拟数据结果作为临床有效性证据。</w:t>
      </w:r>
    </w:p>
    <w:p w14:paraId="0000006E">
      <w:pPr>
        <w:numPr>
          <w:ilvl w:val="0"/>
          <w:numId w:val="1"/>
        </w:numPr>
        <w:spacing w:line="360"/>
      </w:pPr>
      <w:r>
        <w:rPr>
          <w:rFonts w:hint="eastAsia" w:ascii="Times New Roman" w:hAnsi="Times New Roman" w:eastAsia="Times New Roman" w:cs="Times New Roman"/>
          <w:sz w:val="24"/>
        </w:rPr>
        <w:t>请给出可重复分析脚本，并核对回复信中页码与段落位置。</w:t>
      </w:r>
    </w:p>
    <w:p w14:paraId="0000006F">
      <w:pPr>
        <w:pBdr>
          <w:bottom w:val="thick" w:color="040102" w:sz="8"/>
        </w:pBdr>
      </w:pPr>
    </w:p>
    <w:p w14:paraId="00000070">
      <w:pPr>
        <w:spacing w:line="360"/>
      </w:pPr>
      <w:r>
        <w:rPr>
          <w:rFonts w:ascii="Times New Roman" w:hAnsi="Times New Roman" w:eastAsia="Times New Roman" w:cs="Times New Roman"/>
          <w:i w:val="1"/>
          <w:sz w:val="24"/>
        </w:rPr>
        <w:t>End of letter. All manuscript text: PROPOSED (newly drafted; original manuscript not provided). No statement above claims that a change has been applied to the manuscript.</w:t>
      </w:r>
    </w:p>
    <w:p w14:paraId="00000071"/>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decimal"/>
      <w:lvlText w:val="%1."/>
      <w:lvlJc w:val="left"/>
      <w:pPr>
        <w:ind w:left="420" w:hanging="420"/>
      </w:pPr>
    </w:lvl>
  </w:abstract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line number" w:semiHidden="1" w:unhideWhenUsed="1"/>
    <w:lsdException w:name="Body Text First Indent" w:semiHidden="1" w:unhideWhenUsed="1"/>
    <w:lsdException w:name="List Bullet" w:semiHidden="1" w:unhideWhenUsed="1"/>
    <w:lsdException w:name="List Number" w:semiHidden="1" w:unhideWhenUsed="1"/>
    <w:lsdException w:name="index 4" w:semiHidden="1" w:unhideWhenUsed="1"/>
    <w:lsdException w:name="Signature" w:semiHidden="1" w:unhideWhenUsed="1"/>
    <w:lsdException w:name="endnote text" w:semiHidden="1" w:unhideWhenUsed="1"/>
    <w:lsdException w:name="List 2" w:semiHidden="1" w:unhideWhenUsed="1"/>
    <w:lsdException w:name="toc 5" w:uiPriority="39" w:semiHidden="1" w:unhideWhenUsed="1"/>
    <w:lsdException w:name="envelope return" w:semiHidden="1" w:unhideWhenUsed="1"/>
    <w:lsdException w:name="heading 3" w:uiPriority="9" w:semiHidden="1" w:unhideWhenUsed="1" w:qFormat="1"/>
    <w:lsdException w:name="index 1" w:semiHidden="1" w:unhideWhenUsed="1"/>
    <w:lsdException w:name="Body Text 3" w:semiHidden="1" w:unhideWhenUsed="1"/>
    <w:lsdException w:name="List Bullet 3" w:semiHidden="1" w:unhideWhenUsed="1"/>
    <w:lsdException w:name="toc 1" w:uiPriority="39" w:semiHidden="1" w:unhideWhenUsed="1"/>
    <w:lsdException w:name="toc 3" w:uiPriority="39" w:semiHidden="1" w:unhideWhenUsed="1"/>
    <w:lsdException w:name="Block Text" w:semiHidden="1" w:unhideWhenUsed="1"/>
    <w:lsdException w:name="index 2" w:semiHidden="1" w:unhideWhenUsed="1"/>
    <w:lsdException w:name="heading 7" w:uiPriority="9" w:semiHidden="1" w:unhideWhenUsed="1" w:qFormat="1"/>
    <w:lsdException w:name="endnote reference" w:semiHidden="1" w:unhideWhenUsed="1"/>
    <w:lsdException w:name="toc 4" w:uiPriority="39" w:semiHidden="1" w:unhideWhenUsed="1"/>
    <w:lsdException w:name="List Continue" w:semiHidden="1" w:unhideWhenUsed="1"/>
    <w:lsdException w:name="Normal" w:uiPriority="0" w:qFormat="1"/>
    <w:lsdException w:name="List Number 5" w:semiHidden="1" w:unhideWhenUsed="1"/>
    <w:lsdException w:name="List Number 2" w:semiHidden="1" w:unhideWhenUsed="1"/>
    <w:lsdException w:name="List 3" w:semiHidden="1" w:unhideWhenUsed="1"/>
    <w:lsdException w:name="index 8" w:semiHidden="1" w:unhideWhenUsed="1"/>
    <w:lsdException w:name="heading 5" w:uiPriority="9" w:semiHidden="1" w:unhideWhenUsed="1" w:qFormat="1"/>
    <w:lsdException w:name="index 5" w:semiHidden="1" w:unhideWhenUsed="1"/>
    <w:lsdException w:name="heading 9" w:uiPriority="9" w:semiHidden="1" w:unhideWhenUsed="1" w:qFormat="1"/>
    <w:lsdException w:name="index 7" w:semiHidden="1" w:unhideWhenUsed="1"/>
    <w:lsdException w:name="List" w:semiHidden="1" w:unhideWhenUsed="1"/>
    <w:lsdException w:name="Body Text 2" w:semiHidden="1" w:unhideWhenUsed="1"/>
    <w:lsdException w:name="List Bullet 5" w:semiHidden="1" w:unhideWhenUsed="1"/>
    <w:lsdException w:name="List Continue 2" w:semiHidden="1" w:unhideWhenUsed="1"/>
    <w:lsdException w:name="Message Header" w:semiHidden="1" w:unhideWhenUsed="1"/>
    <w:lsdException w:name="Body Text Indent" w:semiHidden="1" w:unhideWhenUsed="1"/>
    <w:lsdException w:name="List Number 3" w:semiHidden="1" w:unhideWhenUsed="1"/>
    <w:lsdException w:name="index heading" w:semiHidden="1" w:unhideWhenUsed="1"/>
    <w:lsdException w:name="Hyperlink" w:semiHidden="1" w:unhideWhenUsed="1"/>
    <w:lsdException w:name="Subtitle" w:uiPriority="11" w:qFormat="1"/>
    <w:lsdException w:name="footnote text" w:semiHidden="1" w:unhideWhenUsed="1"/>
    <w:lsdException w:name="Title" w:uiPriority="10" w:qFormat="1"/>
    <w:lsdException w:name="Body Text First Indent 2" w:semiHidden="1" w:unhideWhenUsed="1"/>
    <w:lsdException w:name="FollowedHyperlink" w:semiHidden="1" w:unhideWhenUsed="1"/>
    <w:lsdException w:name="table of figures" w:semiHidden="1" w:unhideWhenUsed="1"/>
    <w:lsdException w:name="List Continue 5" w:semiHidden="1" w:unhideWhenUsed="1"/>
    <w:lsdException w:name="index 6" w:semiHidden="1" w:unhideWhenUsed="1"/>
    <w:lsdException w:name="Normal Indent" w:semiHidden="1" w:unhideWhenUsed="1"/>
    <w:lsdException w:name="List 4" w:semiHidden="1" w:unhideWhenUsed="1"/>
    <w:lsdException w:name="List Bullet 4" w:semiHidden="1" w:unhideWhenUsed="1"/>
    <w:lsdException w:name="Date" w:semiHidden="1" w:unhideWhenUsed="1"/>
    <w:lsdException w:name="Closing" w:semiHidden="1" w:unhideWhenUsed="1"/>
    <w:lsdException w:name="caption" w:uiPriority="35" w:semiHidden="1" w:unhideWhenUsed="1" w:qFormat="1"/>
    <w:lsdException w:name="footer" w:semiHidden="1" w:unhideWhenUsed="1"/>
    <w:lsdException w:name="Note Heading" w:semiHidden="1" w:unhideWhenUsed="1"/>
    <w:lsdException w:name="index 9" w:semiHidden="1" w:unhideWhenUsed="1"/>
    <w:lsdException w:name="toc 6" w:uiPriority="39" w:semiHidden="1" w:unhideWhenUsed="1"/>
    <w:lsdException w:name="toc 7" w:uiPriority="39" w:semiHidden="1" w:unhideWhenUsed="1"/>
    <w:lsdException w:name="heading 8" w:uiPriority="9" w:semiHidden="1" w:unhideWhenUsed="1" w:qFormat="1"/>
    <w:lsdException w:name="List Continue 3" w:semiHidden="1" w:unhideWhenUsed="1"/>
    <w:lsdException w:name="macro" w:semiHidden="1" w:unhideWhenUsed="1"/>
    <w:lsdException w:name="Body Text Indent 3" w:semiHidden="1" w:unhideWhenUsed="1"/>
    <w:lsdException w:name="envelope address" w:semiHidden="1" w:unhideWhenUsed="1"/>
    <w:lsdException w:name="page number" w:semiHidden="1" w:unhideWhenUsed="1"/>
    <w:lsdException w:name="heading 6" w:uiPriority="9" w:semiHidden="1" w:unhideWhenUsed="1" w:qFormat="1"/>
    <w:lsdException w:name="header" w:semiHidden="1" w:unhideWhenUsed="1"/>
    <w:lsdException w:name="toc 9" w:uiPriority="39" w:semiHidden="1" w:unhideWhenUsed="1"/>
    <w:lsdException w:name="annotation text" w:semiHidden="1" w:unhideWhenUsed="1"/>
    <w:lsdException w:name="Body Text" w:semiHidden="1" w:unhideWhenUsed="1"/>
    <w:lsdException w:name="Body Text Indent 2" w:semiHidden="1" w:unhideWhenUsed="1"/>
    <w:lsdException w:name="toc 2" w:uiPriority="39" w:semiHidden="1" w:unhideWhenUsed="1"/>
    <w:lsdException w:name="footnote reference" w:semiHidden="1" w:unhideWhenUsed="1"/>
    <w:lsdException w:name="toc 8" w:uiPriority="39" w:semiHidden="1" w:unhideWhenUsed="1"/>
    <w:lsdException w:name="toa heading" w:semiHidden="1" w:unhideWhenUsed="1"/>
    <w:lsdException w:name="Salutation" w:semiHidden="1" w:unhideWhenUsed="1"/>
    <w:lsdException w:name="List 5" w:semiHidden="1" w:unhideWhenUsed="1"/>
    <w:lsdException w:name="Strong" w:uiPriority="22" w:qFormat="1"/>
    <w:lsdException w:name="index 3" w:semiHidden="1" w:unhideWhenUsed="1"/>
    <w:lsdException w:name="List Number 4" w:semiHidden="1" w:unhideWhenUsed="1"/>
    <w:lsdException w:name="heading 4" w:uiPriority="9" w:semiHidden="1" w:unhideWhenUsed="1" w:qFormat="1"/>
    <w:lsdException w:name="heading 1" w:uiPriority="9" w:qFormat="1"/>
    <w:lsdException w:name="table of authorities" w:semiHidden="1" w:unhideWhenUsed="1"/>
    <w:lsdException w:name="List Bullet 2" w:semiHidden="1" w:unhideWhenUsed="1"/>
    <w:lsdException w:name="Default Paragraph Font" w:uiPriority="1" w:semiHidden="1" w:unhideWhenUsed="1"/>
    <w:lsdException w:name="annotation reference" w:semiHidden="1" w:unhideWhenUsed="1"/>
    <w:lsdException w:name="heading 2" w:uiPriority="9" w:semiHidden="1" w:unhideWhenUsed="1" w:qFormat="1"/>
    <w:lsdException w:name="List Continue 4" w:semiHidden="1" w:unhideWhenUsed="1"/>
  </w:latentStyles>
  <w:style w:type="paragraph" w:styleId="000002">
    <w:name w:val="heading 1"/>
    <w:basedOn w:val="Normal"/>
    <w:next w:val="Normal"/>
    <w:uiPriority w:val="9"/>
    <w:qFormat w:val="1"/>
    <w:pPr>
      <w:keepNext w:val="1"/>
      <w:keepLines w:val="1"/>
      <w:spacing w:before="240" w:after="120"/>
      <w:outlineLvl w:val="0"/>
    </w:pPr>
    <w:rPr>
      <w:b w:val="1"/>
      <w:sz w:val="32"/>
      <w:szCs w:val="32"/>
    </w:rPr>
  </w:style>
  <w:style w:type="paragraph" w:styleId="000003">
    <w:name w:val="heading 3"/>
    <w:basedOn w:val="Normal"/>
    <w:next w:val="Normal"/>
    <w:uiPriority w:val="9"/>
    <w:qFormat w:val="1"/>
    <w:pPr>
      <w:keepNext w:val="1"/>
      <w:keepLines w:val="1"/>
      <w:spacing w:before="180" w:after="80"/>
      <w:outlineLvl w:val="2"/>
    </w:pPr>
    <w:rPr>
      <w:b w:val="1"/>
      <w:sz w:val="24"/>
      <w:szCs w:val="24"/>
    </w:r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numbering" Target="numbering.xml"/><Relationship Id="rId0"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2026-11-02T00:59:39Z</dcterms:created>
  <dcterms:modified xsi:type="dcterms:W3CDTF">2026-11-02T00:59:39Z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"01a19807693e7b988d498558c71ab70c", "ReservedCode1": "", "ContentPropagator": "00119111010856365494821B355", "PropagateID": "01a19807693e7b988d498558c71ab70c", "ReservedCode2": ""}}</vt:lpwstr>
  </property>
</Properties>
</file>