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00000001">
      <w:pPr>
        <w:spacing w:before="0" w:after="72" w:line="360"/>
        <w:ind w:left="0" w:right="0"/>
        <w:jc w:val="center"/>
        <w:rPr>
          <w:color w:val="000000"/>
        </w:rPr>
      </w:pPr>
      <w:r>
        <w:rPr>
          <w:rFonts w:hint="eastAsia" w:ascii="黑体" w:hAnsi="黑体" w:eastAsia="黑体" w:cs="黑体"/>
          <w:b w:val="1"/>
          <w:color w:val="000000"/>
          <w:sz w:val="36"/>
        </w:rPr>
        <w:t>社区老年高血压患者家庭血压监测项目研究方案</w:t>
      </w:r>
    </w:p>
    <w:p w14:paraId="00000002">
      <w:pPr>
        <w:spacing w:before="0" w:after="72" w:line="360"/>
        <w:ind w:left="0" w:right="0"/>
        <w:jc w:val="center"/>
        <w:rPr>
          <w:color w:val="333333"/>
        </w:rPr>
      </w:pPr>
      <w:r>
        <w:rPr>
          <w:rFonts w:hint="eastAsia" w:ascii="宋体" w:hAnsi="宋体" w:eastAsia="宋体" w:cs="宋体"/>
          <w:color w:val="333333"/>
          <w:sz w:val="24"/>
        </w:rPr>
        <w:t>按社区分层的个体随机对照试验（草案 v1.2）</w:t>
      </w:r>
    </w:p>
    <w:p w14:paraId="00000003">
      <w:pPr>
        <w:spacing w:before="0" w:after="360" w:line="360"/>
        <w:ind w:left="0" w:right="0"/>
        <w:jc w:val="center"/>
        <w:rPr>
          <w:color w:val="333333"/>
        </w:rPr>
      </w:pPr>
      <w:r>
        <w:rPr>
          <w:rFonts w:hint="eastAsia" w:ascii="宋体" w:hAnsi="宋体" w:eastAsia="宋体" w:cs="宋体"/>
          <w:color w:val="333333"/>
          <w:sz w:val="21"/>
        </w:rPr>
        <w:t>版本 v1.2 ｜ 2026-11-01</w:t>
      </w:r>
    </w:p>
    <w:p w14:paraId="00000004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定位声明：本方案为计划文本。招募名册与实际成本尚未知，本文不对规模可行性与试验定位做断言；文中所有标注【待确认】的参数、机构信息与证据须在实施前落实。现有数据资料为合成数据与文献参考值，不构成本项目的预实验结果或效应量结论。</w:t>
      </w:r>
    </w:p>
    <w:p w14:paraId="00000005">
      <w:pPr>
        <w:pStyle w:val="00001a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一、研究背景与目的</w:t>
      </w:r>
    </w:p>
    <w:p w14:paraId="00000006">
      <w:pPr>
        <w:pStyle w:val="000018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1.1 背景</w:t>
      </w:r>
    </w:p>
    <w:p w14:paraId="00000007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高血压是我国社区人群最重要的心血管病危险因素之一，老年（≥60 岁）人群患病率高、知晓—治疗—控制链条薄弱。家庭血压自测支持（规范化家庭测量 + 记录 + 基层医生复诊回顾）被认为有助于提升血压管理水平，但现有证据存在明显缺口：</w:t>
      </w:r>
    </w:p>
    <w:p w14:paraId="00000008">
      <w:pPr>
        <w:numPr>
          <w:ilvl w:val="0"/>
          <w:numId w:val="1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以 6 个月诊室收缩压为主要结局的中文社区老年人群个体随机证据缺乏。系统综述显示单纯自测 6 个月收缩压净差约 −3.9 mmHg（Uhlig 2013，PMID 23922064），但 12 个月时差异不再显著；含滴定成分的试验（TASMINH4，PMID 29499873）效应来自"测量 + 用药滴定"，不能归因于单纯测量。</w:t>
      </w:r>
    </w:p>
    <w:p w14:paraId="00000009">
      <w:pPr>
        <w:numPr>
          <w:ilvl w:val="0"/>
          <w:numId w:val="1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纯测量（不主导用药调整）的效应能否在 6–12 个月维持、其机制不明。</w:t>
      </w:r>
    </w:p>
    <w:p w14:paraId="0000000A">
      <w:pPr>
        <w:numPr>
          <w:ilvl w:val="0"/>
          <w:numId w:val="1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老年人群家庭测量依从性缺少统一阈值依据（具体基准值有待核验的来源支持，本文不引用具体数字）。</w:t>
      </w:r>
    </w:p>
    <w:p w14:paraId="0000000B">
      <w:pPr>
        <w:numPr>
          <w:ilvl w:val="0"/>
          <w:numId w:val="1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社区沾染率几乎无文献报道，直接影响个体随机设计的解释。</w:t>
      </w:r>
    </w:p>
    <w:p w14:paraId="0000000C">
      <w:pPr>
        <w:pStyle w:val="000018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1.2 研究目的</w:t>
      </w:r>
    </w:p>
    <w:p w14:paraId="0000000D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在两家社区的 ≥60 岁已确诊高血压居民中，开展按社区分层的个体 1:1 随机对照试验，评价与常规基层管理相比，家庭血压自测支持能否使 6 个月诊室收缩压下降更多。具体目标：</w:t>
      </w:r>
    </w:p>
    <w:p w14:paraId="0000000E">
      <w:pPr>
        <w:numPr>
          <w:ilvl w:val="0"/>
          <w:numId w:val="2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主要目的：比较两组 6 个月诊室收缩压（调整基线收缩压、年龄、社区后的组间差及 95% CI）。</w:t>
      </w:r>
    </w:p>
    <w:p w14:paraId="0000000F">
      <w:pPr>
        <w:numPr>
          <w:ilvl w:val="0"/>
          <w:numId w:val="2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次要结局（按 SAP 预设）：达标比例（阈值按申报年度现行指南确定【待确认】）；6 个月诊室舒张压作为计算达标比例所需测量变量采集，不单列为次要结局。</w:t>
      </w:r>
    </w:p>
    <w:p w14:paraId="00000010">
      <w:pPr>
        <w:numPr>
          <w:ilvl w:val="0"/>
          <w:numId w:val="2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过程与可行性记录（单列描述，不作为确证性终点）：干预组家庭测量依从情况、随访完成与失访原因、两组自购血压计比例（沾染指标）、不良事件记录。上述记录的汇总方式与任何阈值（如需）须经临床与统计确认后预设，本方案不预设具体阈值。</w:t>
      </w:r>
    </w:p>
    <w:p w14:paraId="00000011">
      <w:pPr>
        <w:numPr>
          <w:ilvl w:val="0"/>
          <w:numId w:val="2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方法学目的：为该人群后续研究积累参数。基线分布、筛查与招募流程、资源与设备可及性可在准备期核实；6 个月结局标准差、基线—6 个月相关与干预效应属纵向参数，需既有配对数据或另行完成随访，短期核实无法实测。</w:t>
      </w:r>
    </w:p>
    <w:p w14:paraId="00000012">
      <w:pPr>
        <w:pStyle w:val="000018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1.3 试验定位声明</w:t>
      </w:r>
    </w:p>
    <w:p w14:paraId="00000013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不同参数组合所需总例数差异极大（约 216–1332 例，见第五节敏感性矩阵）。两家社区在既有预算（上限 10 万元，按基金申报要求，属规划假设【待确认】）与招募能力下能支撑何种规模、试验应如何定位，均须在招募名册、实际费用、效应量与标准差核实后论证；本方案不预设规模或定位结论，不把项目称为先导研究。</w:t>
      </w:r>
    </w:p>
    <w:p w14:paraId="00000014">
      <w:pPr>
        <w:pStyle w:val="00001a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二、试验设计与机构</w:t>
      </w:r>
    </w:p>
    <w:p w14:paraId="00000015">
      <w:pPr>
        <w:numPr>
          <w:ilvl w:val="0"/>
          <w:numId w:val="3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设计：前瞻性、非盲（结局测量者尽量设盲）、平行组、1:1 个体随机对照试验，按社区分层。</w:t>
      </w:r>
    </w:p>
    <w:p w14:paraId="00000016">
      <w:pPr>
        <w:numPr>
          <w:ilvl w:val="0"/>
          <w:numId w:val="3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机构：两家城市社区【机构名称、地址、登记人数：待确认】。因每臂仅一社区，两社区整群随机将使干预效应与社区固有效应无法分离，故采用社区内个体随机。</w:t>
      </w:r>
    </w:p>
    <w:p w14:paraId="00000017">
      <w:pPr>
        <w:numPr>
          <w:ilvl w:val="0"/>
          <w:numId w:val="3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周期：总周期 12 个月 = 准备期约 2 个月 + 招募期约 2 个月 + 个体随访 6 个月 + 结题期约 2 个月。</w:t>
      </w:r>
    </w:p>
    <w:p w14:paraId="00000018">
      <w:pPr>
        <w:numPr>
          <w:ilvl w:val="0"/>
          <w:numId w:val="3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干预不主导用药调整（安全边界：家庭监测不替代医生随访 [F01]；不因家庭读数自行停药 [F02]），药物方案由常规临床路径管理。</w:t>
      </w:r>
    </w:p>
    <w:p w14:paraId="00000019">
      <w:pPr>
        <w:pStyle w:val="000018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2.1 已具备条件与计划条件（对照表）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项目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状态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设计框架、PICO、随机化方案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已具备（计划文本）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1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见本文第三节；源于文献调研 v2 与选题简报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干预内容界定（测量流程 F03–F09、复诊回顾 F10）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已具备（计划文本）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事实卡已来源核对，医生未签署，患教使用前须临床签署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SAP 框架（数据字典、主模型、缺失原则）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已具备（计划文本）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见《统计分析计划》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样本量脚本与敏感性矩阵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已具备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成果/研究方案/sample_size.py，可重跑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两社区老年高血压登记人数、既往招募/失访率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【待确认】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须向机构索取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社区医生可投入时间、协调员配置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【待确认】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须与机构核实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2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设备报价、人力成本（预算上限 10 万元）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【待确认】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申报前完成询价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经验证上臂式血压计型号与校准记录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【待确认】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干预发放前落实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达标阈值（按申报年度现行中国高血压指南）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【待确认】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不沿用合成数据 controlled_6m 定义</w:t>
            </w:r>
          </w:p>
        </w:tc>
      </w:tr>
      <w:tr>
        <w:trPr/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基线 SBP 分布、筛查与招募流程、资源核实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【待确认】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准备期核实（不含纵向参数实测，见 1.2 第 4 条）</w:t>
            </w:r>
          </w:p>
        </w:tc>
      </w:tr>
    </w:tbl>
    <w:p w14:paraId="0000003B">
      <w:pPr>
        <w:pStyle w:val="00001a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三、研究对象</w:t>
      </w:r>
    </w:p>
    <w:p w14:paraId="0000003C">
      <w:pPr>
        <w:pStyle w:val="000018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3.1 纳入标准（拟预设，定稿前经临床审核【待确认】）</w:t>
      </w:r>
    </w:p>
    <w:p w14:paraId="0000003D">
      <w:pPr>
        <w:numPr>
          <w:ilvl w:val="0"/>
          <w:numId w:val="4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年龄 ≥60 岁，两家社区常住居民；</w:t>
      </w:r>
    </w:p>
    <w:p w14:paraId="0000003E">
      <w:pPr>
        <w:numPr>
          <w:ilvl w:val="0"/>
          <w:numId w:val="4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已确诊原发性高血压（有社区或医院诊断记录）；</w:t>
      </w:r>
    </w:p>
    <w:p w14:paraId="0000003F">
      <w:pPr>
        <w:numPr>
          <w:ilvl w:val="0"/>
          <w:numId w:val="4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能独立或在家属协助下完成家庭血压测量；</w:t>
      </w:r>
    </w:p>
    <w:p w14:paraId="00000040">
      <w:pPr>
        <w:numPr>
          <w:ilvl w:val="0"/>
          <w:numId w:val="4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自愿参加并签署知情同意书。</w:t>
      </w:r>
    </w:p>
    <w:p w14:paraId="00000041">
      <w:pPr>
        <w:pStyle w:val="000018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3.2 排除标准（拟预设，定稿前经临床审核【待确认】）</w:t>
      </w:r>
    </w:p>
    <w:p w14:paraId="00000042">
      <w:pPr>
        <w:numPr>
          <w:ilvl w:val="0"/>
          <w:numId w:val="5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继发性高血压或急进性高血压；</w:t>
      </w:r>
    </w:p>
    <w:p w14:paraId="00000043">
      <w:pPr>
        <w:numPr>
          <w:ilvl w:val="0"/>
          <w:numId w:val="5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随机前降压方案未稳定至少 4 周（参照 TASMINH4 排除逻辑）；</w:t>
      </w:r>
    </w:p>
    <w:p w14:paraId="00000044">
      <w:pPr>
        <w:numPr>
          <w:ilvl w:val="0"/>
          <w:numId w:val="5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体位性低血压、房颤等影响测量有效性的疾病状态；</w:t>
      </w:r>
    </w:p>
    <w:p w14:paraId="00000045">
      <w:pPr>
        <w:numPr>
          <w:ilvl w:val="0"/>
          <w:numId w:val="5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痴呆或严重认知障碍，无法完成测量记录；</w:t>
      </w:r>
    </w:p>
    <w:p w14:paraId="00000046">
      <w:pPr>
        <w:numPr>
          <w:ilvl w:val="0"/>
          <w:numId w:val="5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4 期及以上慢性肾脏病或伴蛋白尿的 CKD（参照 TASMINH4）；</w:t>
      </w:r>
    </w:p>
    <w:p w14:paraId="00000047">
      <w:pPr>
        <w:numPr>
          <w:ilvl w:val="0"/>
          <w:numId w:val="5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已规律进行家庭血压监测且研究者判断加入无额外获益者；</w:t>
      </w:r>
    </w:p>
    <w:p w14:paraId="00000048">
      <w:pPr>
        <w:numPr>
          <w:ilvl w:val="0"/>
          <w:numId w:val="5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研究者判断不宜参加的其他情形。</w:t>
      </w:r>
    </w:p>
    <w:p w14:paraId="00000049">
      <w:pPr>
        <w:pStyle w:val="00001a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四、干预与对照</w:t>
      </w:r>
    </w:p>
    <w:p w14:paraId="0000004A">
      <w:pPr>
        <w:pStyle w:val="000018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4.1 干预组：家庭血压自测支持（"中档"强度）</w:t>
      </w:r>
    </w:p>
    <w:p w14:paraId="0000004B">
      <w:pPr>
        <w:numPr>
          <w:ilvl w:val="0"/>
          <w:numId w:val="6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发放经验证的上臂式自动血压计【型号与价格待确认】，含备机管理方案；</w:t>
      </w:r>
    </w:p>
    <w:p w14:paraId="0000004C">
      <w:pPr>
        <w:numPr>
          <w:ilvl w:val="0"/>
          <w:numId w:val="6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AHA 标准流程培训（依据事实卡 F03–F09，已来源核对、医生未签署）：测量前 30 分钟避免吸烟/咖啡因/运动（F04）；排空膀胱并安静休息 ≥5 分钟（F05）；袖带直接接触皮肤（F06）；手臂支撑并与心脏同高（F07）；测量中不说话（F08）；每次测量为 2 次读数、间隔 1 分钟并记录（F09）；</w:t>
      </w:r>
    </w:p>
    <w:p w14:paraId="0000004D">
      <w:pPr>
        <w:numPr>
          <w:ilvl w:val="0"/>
          <w:numId w:val="6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家庭测量频次（每周规定测量日数、每日测量次数与时段）为待临床确认的计划内容【待确认】，确认后写入操作手册；</w:t>
      </w:r>
    </w:p>
    <w:p w14:paraId="0000004E">
      <w:pPr>
        <w:numPr>
          <w:ilvl w:val="0"/>
          <w:numId w:val="6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第 3、6 个月携测量记录到社区复诊，由社区医生回顾（F10），并将记录供常规诊疗参考；</w:t>
      </w:r>
    </w:p>
    <w:p w14:paraId="0000004F">
      <w:pPr>
        <w:numPr>
          <w:ilvl w:val="0"/>
          <w:numId w:val="6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边界：不主导用药滴定；家庭读数异常时按常规临床路径就诊。</w:t>
      </w:r>
    </w:p>
    <w:p w14:paraId="00000050">
      <w:pPr>
        <w:pStyle w:val="000018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4.2 对照组：常规基层管理</w:t>
      </w:r>
    </w:p>
    <w:p w14:paraId="00000051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维持现有社区高血压随访管理（随访频率按社区常规执行【待确认】），不发放家庭监测方案与设备。第 3、6 个月访视时完成结局测量与记录。</w:t>
      </w:r>
    </w:p>
    <w:p w14:paraId="00000052">
      <w:pPr>
        <w:pStyle w:val="000018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4.3 沾染控制与测量</w:t>
      </w:r>
    </w:p>
    <w:p w14:paraId="00000053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对照组可能自购血压计形成沾染。措施：入组时及第 6 个月询问并记录两组自购血压计情况（过程记录指标）；分析时描述两组持有率，作为结果解释的敏感性讨论依据。个体随机下的沾染方向为稀释组间差异，解释时不得据此事后改变主要结局。</w:t>
      </w:r>
    </w:p>
    <w:p w14:paraId="00000054">
      <w:pPr>
        <w:pStyle w:val="00001a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五、随机化与样本量</w:t>
      </w:r>
    </w:p>
    <w:p w14:paraId="00000055">
      <w:pPr>
        <w:pStyle w:val="000018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5.1 随机化</w:t>
      </w:r>
    </w:p>
    <w:p w14:paraId="00000056">
      <w:pPr>
        <w:numPr>
          <w:ilvl w:val="0"/>
          <w:numId w:val="3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按社区分层、1:1 个体随机；区组长度随机隐匿【具体区组方案待确认】；</w:t>
      </w:r>
    </w:p>
    <w:p w14:paraId="00000057">
      <w:pPr>
        <w:numPr>
          <w:ilvl w:val="0"/>
          <w:numId w:val="3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随机序列由不参与入组与结局测量的人员用统计软件生成，分配隐藏（信封或中心随机【待确认】）；</w:t>
      </w:r>
    </w:p>
    <w:p w14:paraId="00000058">
      <w:pPr>
        <w:numPr>
          <w:ilvl w:val="0"/>
          <w:numId w:val="3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诊室血压测量者对分组设盲（参与者与实施者不设盲，开放标签）；统计分析师在揭盲前完成 SAP 定稿与数据锁定。</w:t>
      </w:r>
    </w:p>
    <w:p w14:paraId="00000059">
      <w:pPr>
        <w:pStyle w:val="000018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5.2 样本量（敏感性框架，参数待确认）</w:t>
      </w:r>
    </w:p>
    <w:p w14:paraId="0000005A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主要结局为 6 个月诊室收缩压。计算按两独立样本均数比较：双侧 α=0.05、power=0.80、1:1，n_raw = 2(z(1−α/2)+z(1−β))²SD²/δ²，先向上取整、再按 15% 脱落膨胀（脚本 sample_size.py，固定算法与取整顺序）。文献参考值：组间差 −3.9 mmHg（Uhlig 2013，纯自测 6 个月，摘要）；SD 16.1–16.7 mmHg（TASMINH4 全文，12 个月、含滴定情境）——均仅作各自情境参考【待确认】，不构成本项目假设的上下限。</w:t>
      </w:r>
    </w:p>
    <w:p w14:paraId="0000005B">
      <w:pPr>
        <w:jc w:val="center"/>
      </w:pPr>
      <w:r>
        <w:rPr>
          <w:rFonts w:hint="eastAsia"/>
          <w:color w:val="888888"/>
          <w:sz w:val="18"/>
        </w:rPr>
        <w:t>敏感性矩阵（δ=组间差，SD=标准差；含 15% 脱落膨胀后每臂例数/总例数）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组间差 \ SD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12 mmHg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15 mmHg</w:t>
            </w:r>
          </w:p>
        </w:tc>
        <w:tc>
          <w:tcPr>
            <w:tcW w:w="2076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5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18 mmHg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6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 mmHg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6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297/臂，共 594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6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463/臂，共 926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666/臂，共 1332</w:t>
            </w:r>
          </w:p>
        </w:tc>
      </w:tr>
      <w:tr>
        <w:trPr/>
        <w:tc>
          <w:tcPr>
            <w:tcW w:w="2076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6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4 mmHg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6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168/臂，共 336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6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260/臂，共 520</w:t>
            </w:r>
          </w:p>
        </w:tc>
        <w:tc>
          <w:tcPr>
            <w:tcW w:w="2076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6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375/臂，共 750</w:t>
            </w:r>
          </w:p>
        </w:tc>
      </w:tr>
      <w:tr>
        <w:trPr/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68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5 mmHg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6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108/臂，共 216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6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168/臂，共 336</w:t>
            </w:r>
          </w:p>
        </w:tc>
        <w:tc>
          <w:tcPr>
            <w:tcW w:w="2076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6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240/臂，共 480</w:t>
            </w:r>
          </w:p>
        </w:tc>
      </w:tr>
    </w:tbl>
    <w:p w14:paraId="0000006C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与主分析模型的关系：在简化假设下（残差近似正态、方差齐、协变量与组别近似独立），若基线收缩压与 6 个月结局的相关为 r，调整后的残差方差约为 SD²×(1−r²)、残差标准差约为 SD×√(1−r²)；按调整模型直接测算时，样本量近似乘以折减因子 (1−r²)（不是其倒数）。实际 r 未知，协变量与组别的实际相关也会改变有效方差的构成，故本次样本量仍按未调整模型计算用于资源规划，不能保证对所有实际情形都保守。沾染率未纳入计算（无数据【待确认】），确认后作敏感性分析。</w:t>
      </w:r>
    </w:p>
    <w:p w14:paraId="0000006D">
      <w:pPr>
        <w:pStyle w:val="000018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5.3 招募需求与待核实能力</w:t>
      </w:r>
    </w:p>
    <w:p w14:paraId="0000006E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招募窗口约 2 个月。不同总例数对应的月入组需求（两社区合计）：216 例约 108 人/月、336 例约 168 人/月、520 例约 260 人/月、594 例约 297 人/月、1332 例约 666 人/月。筛查需求量级参考：若按 TASMINH4 筛查—随机比（约 2:1，英国全科情境）作参考，N 例随机约需 2N 例筛查，实际转化率待现场核实。两社区登记名册规模、既往招募/失访率、医生可投入时间、设备报价与人力成本均【待确认】；在上述能力与成本核实之前，本文不对何种规模可行或不可行做断言。</w:t>
      </w:r>
    </w:p>
    <w:p w14:paraId="0000006F">
      <w:pPr>
        <w:pStyle w:val="00001a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六、结局与测量时间点</w:t>
      </w:r>
    </w:p>
    <w:p w14:paraId="00000070">
      <w:pPr>
        <w:pStyle w:val="000018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6.1 测量时间点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7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时间点</w:t>
            </w:r>
          </w:p>
        </w:tc>
        <w:tc>
          <w:tcPr>
            <w:tcW w:w="4153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7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基线（随机前）</w:t>
            </w:r>
          </w:p>
        </w:tc>
        <w:tc>
          <w:tcPr>
            <w:tcW w:w="4153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知情同意、纳排筛查、人口学与病史、诊室血压（校准设备、标准化流程）、家庭测量意愿与设备持有情况</w:t>
            </w:r>
          </w:p>
        </w:tc>
      </w:tr>
      <w:tr>
        <w:trPr/>
        <w:tc>
          <w:tcPr>
            <w:tcW w:w="4153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7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第 3 个月（中期访视）</w:t>
            </w:r>
          </w:p>
        </w:tc>
        <w:tc>
          <w:tcPr>
            <w:tcW w:w="4153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7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干预组测量记录回顾（F10）；两组诊室血压、自购设备（两组）、不良事件记录</w:t>
            </w:r>
          </w:p>
        </w:tc>
      </w:tr>
      <w:tr>
        <w:trPr/>
        <w:tc>
          <w:tcPr>
            <w:tcW w:w="4153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7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第 6 个月（终末访视）</w:t>
            </w:r>
          </w:p>
        </w:tc>
        <w:tc>
          <w:tcPr>
            <w:tcW w:w="4153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7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主要结局：诊室收缩压（标准化测量）；次要结局：达标比例（诊室收缩压与舒张压均测量，舒张压用于达标判定）；过程记录：依从情况、随访完成情况、沾染指标</w:t>
            </w:r>
          </w:p>
        </w:tc>
      </w:tr>
      <w:tr>
        <w:trPr/>
        <w:tc>
          <w:tcPr>
            <w:tcW w:w="4153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7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随访期全程</w:t>
            </w:r>
          </w:p>
        </w:tc>
        <w:tc>
          <w:tcPr>
            <w:tcW w:w="4153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7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干预组家庭测量记录留存；失访原因记录</w:t>
            </w:r>
          </w:p>
        </w:tc>
      </w:tr>
    </w:tbl>
    <w:p w14:paraId="0000007B">
      <w:pPr>
        <w:pStyle w:val="000018"/>
        <w:keepNext w:val="1"/>
        <w:keepLines w:val="1"/>
        <w:spacing w:before="360" w:beforeAutospacing="1" w:after="192" w:afterAutospacing="1" w:line="36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8"/>
        </w:rPr>
        <w:t>6.2 结局定义</w:t>
      </w:r>
    </w:p>
    <w:p w14:paraId="0000007C">
      <w:pPr>
        <w:numPr>
          <w:ilvl w:val="0"/>
          <w:numId w:val="7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主要结局：6 个月诊室收缩压（mmHg），统一经校准的诊室血压计、按标准化流程测量（坐位休息 5 分钟后重复测量取均值；具体读数规则定稿时明确【待确认】）。</w:t>
      </w:r>
    </w:p>
    <w:p w14:paraId="0000007D">
      <w:pPr>
        <w:numPr>
          <w:ilvl w:val="0"/>
          <w:numId w:val="7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次要结局（按 SAP 预设）：达标比例（阈值按申报年度现行指南【待确认】），分母为有该结局记录（6 个月诊室血压测量）者，不限于基线未达标者；6 个月诊室舒张压作为计算达标比例所需测量变量采集，不单列为次要结局。</w:t>
      </w:r>
    </w:p>
    <w:p w14:paraId="0000007E">
      <w:pPr>
        <w:numPr>
          <w:ilvl w:val="0"/>
          <w:numId w:val="7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过程与可行性记录（单列，不作为确证性终点）：干预组依从情况（测量记录完成情况的具体指标与汇总方式待临床与统计确认）、随访完成与失访原因、沾染指标（两组自购血压计比例）。</w:t>
      </w:r>
    </w:p>
    <w:p w14:paraId="0000007F">
      <w:pPr>
        <w:numPr>
          <w:ilvl w:val="0"/>
          <w:numId w:val="7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安全性：不良事件按常规诊疗记录并描述性报告；心血管事件可作描述性记录，但本项目未按临床事件结局设计统计功效，不以临床事件为研究终点（参照 TASMINH4：该试验亦未具备检出心血管结局差异的统计效能）。</w:t>
      </w:r>
    </w:p>
    <w:p w14:paraId="00000080">
      <w:pPr>
        <w:pStyle w:val="00001a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七、分析与统计（摘要）</w:t>
      </w:r>
    </w:p>
    <w:p w14:paraId="00000081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分析按《统计分析计划》（随本方案同批定稿）执行，要点：主分析为完整病例线性回归（6 个月收缩压 ~ 组别 + 基线收缩压 + 年龄 + 社区），报告调整均数差、95% CI 与 P 值；明确缺失可能引入偏倚，不称为完整 ITT；敏感性分析采用 HC3 稳健标准误并比较纳入与缺失者特征；次要结局按预设方法仅对达标比例做描述；依从情况、随访完成、沾染等过程记录单列描述，不作为确证性终点；不做事后亚组分析与森林图。</w:t>
      </w:r>
    </w:p>
    <w:p w14:paraId="00000082">
      <w:pPr>
        <w:pStyle w:val="00001a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八、质量控制</w:t>
      </w:r>
    </w:p>
    <w:p w14:paraId="00000083">
      <w:pPr>
        <w:numPr>
          <w:ilvl w:val="0"/>
          <w:numId w:val="8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设备：所有诊室血压计定期校准并留存记录【校准计划待确认】；干预发放血压计经验证型号，统一袖带规格；</w:t>
      </w:r>
    </w:p>
    <w:p w14:paraId="00000084">
      <w:pPr>
        <w:numPr>
          <w:ilvl w:val="0"/>
          <w:numId w:val="8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培训与操作一致性：测量人员统一培训、操作手册（SOP）定稿【待确认】；诊室测量双人复核或设备自动存档；</w:t>
      </w:r>
    </w:p>
    <w:p w14:paraId="00000085">
      <w:pPr>
        <w:numPr>
          <w:ilvl w:val="0"/>
          <w:numId w:val="8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随访管理：访视预约、失访追踪（两次电话 + 一次上门后记为失访，规则定稿时确认）；测量记录与设备读数一致性抽核；</w:t>
      </w:r>
    </w:p>
    <w:p w14:paraId="00000086">
      <w:pPr>
        <w:numPr>
          <w:ilvl w:val="0"/>
          <w:numId w:val="8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数据质量：双人/双录入或逻辑校验录入【待确认】；超出预设合理范围的取值按 SAP 清洗规则处理并逐条留痕；</w:t>
      </w:r>
    </w:p>
    <w:p w14:paraId="00000087">
      <w:pPr>
        <w:numPr>
          <w:ilvl w:val="0"/>
          <w:numId w:val="8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过程监查：准备期核实与招募期每周核对入组进度与脱落；不设独立数据监查委员会（研究规模与风险低【待伦理确认】）；</w:t>
      </w:r>
    </w:p>
    <w:p w14:paraId="00000088">
      <w:pPr>
        <w:numPr>
          <w:ilvl w:val="0"/>
          <w:numId w:val="8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文档与培训材料：患教与培训材料使用前须完成临床审核签署（当前事实卡状态为"来源核对、医生未签署"）。</w:t>
      </w:r>
    </w:p>
    <w:p w14:paraId="00000089">
      <w:pPr>
        <w:pStyle w:val="00001a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九、伦理与数据管理</w:t>
      </w:r>
    </w:p>
    <w:p w14:paraId="0000008A">
      <w:pPr>
        <w:numPr>
          <w:ilvl w:val="0"/>
          <w:numId w:val="9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伦理审查：试验实施前报伦理委员会审查批准【伦理委员会名称待确认】；最小风险研究，知情同意过程由社区医生与研究协调员共同完成；</w:t>
      </w:r>
    </w:p>
    <w:p w14:paraId="0000008B">
      <w:pPr>
        <w:numPr>
          <w:ilvl w:val="0"/>
          <w:numId w:val="9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知情同意：书面知情同意；说明测量任务、随访安排、数据用途、自愿退出权利；不因拒绝参加影响常规服务；</w:t>
      </w:r>
    </w:p>
    <w:p w14:paraId="0000008C">
      <w:pPr>
        <w:numPr>
          <w:ilvl w:val="0"/>
          <w:numId w:val="9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安全与转介：家庭读数显著异常者按预设转介规则回到常规临床路径处理【转介阈值待临床定稿】；不良事件记录上报；</w:t>
      </w:r>
    </w:p>
    <w:p w14:paraId="0000008D">
      <w:pPr>
        <w:numPr>
          <w:ilvl w:val="0"/>
          <w:numId w:val="9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数据管理：标识符（编号）与个人信息分离存储、加密保存；分析数据集去标识化；数据保存期限与共享范围按机构与基金要求定稿【待确认】；不将合成数据用作真实结果，模拟数据文件与真实数据物理分离；</w:t>
      </w:r>
    </w:p>
    <w:p w14:paraId="0000008E">
      <w:pPr>
        <w:numPr>
          <w:ilvl w:val="0"/>
          <w:numId w:val="9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结果发布：无论结果方向均按预设 SAP 报告；发表前经资助方与伦理审查同意。</w:t>
      </w:r>
    </w:p>
    <w:p w14:paraId="0000008F">
      <w:pPr>
        <w:pStyle w:val="00001a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十、进度安排</w:t>
      </w:r>
    </w:p>
    <w:tbl>
      <w:tblPr>
        <w:tblW w:w="8306" w:type="dxa"/>
        <w:shd w:color="000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阶段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1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月份</w:t>
            </w:r>
          </w:p>
        </w:tc>
        <w:tc>
          <w:tcPr>
            <w:tcW w:w="2768" w:type="dxa"/>
            <w:tcBorders>
              <w:top w:val="single" w:color="000000" w:sz="12"/>
              <w:left w:val="none" w:sz="8"/>
              <w:bottom w:val="single" w:color="000000" w:sz="6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内容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准备期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第 1–2 个月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伦理申报、机构协议、设备采购与校准、SOP 与培训；核实筛查与招募流程、基线 SBP 分布、资源与设备可及性；参数确认与样本量重算（纵向参数需既有配对数据或另行随访，见 1.2 第 4 条）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招募期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第 3–4 个月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登记名册筛查、知情同意、基线测量与随机化</w:t>
            </w:r>
          </w:p>
        </w:tc>
      </w:tr>
      <w:tr>
        <w:trPr/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随访期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第 3–10 个月</w:t>
            </w:r>
          </w:p>
        </w:tc>
        <w:tc>
          <w:tcPr>
            <w:tcW w:w="2768" w:type="dxa"/>
            <w:tcBorders>
              <w:left w:val="none" w:sz="8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各自随机化后个体随访 6 个月（第 3、6 个月访视）</w:t>
            </w:r>
          </w:p>
        </w:tc>
      </w:tr>
      <w:tr>
        <w:trPr/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结题期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第 11–12 个月</w:t>
            </w:r>
          </w:p>
        </w:tc>
        <w:tc>
          <w:tcPr>
            <w:tcW w:w="2768" w:type="dxa"/>
            <w:tcBorders>
              <w:left w:val="none" w:sz="8"/>
              <w:bottom w:val="single" w:color="000000" w:sz="12"/>
              <w:right w:val="none" w:sz="8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top"/>
          </w:tcPr>
          <w:p w14:paraId="000000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数据锁定、按 SAP 分析、报告撰写与结题</w:t>
            </w:r>
          </w:p>
        </w:tc>
      </w:tr>
    </w:tbl>
    <w:p w14:paraId="0000009F">
      <w:pPr>
        <w:spacing w:before="0" w:after="192" w:line="360"/>
        <w:ind w:left="0" w:right="0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风险与替代方案：招募不足——若入组进度落后，可选应对包括延长招募或调整规模，但延长招募会推迟最后入组者的 6 个月随访时点并影响 12 个月总周期；任何替代方案均须重新论证周期、规模与资源，不能直接下调样本量维持原结论。脱落高于预期——按 SAP 敏感性分析并讨论缺失机制。沾染偏高——如实报告设备持有率并讨论对效应估计的稀释。预算超支——按设备报价重新论证设备数量与预算【待确认】。</w:t>
      </w:r>
    </w:p>
    <w:p w14:paraId="000000A0">
      <w:pPr>
        <w:pStyle w:val="00001a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十一、待确认事项清单（实施前必须落实）</w:t>
      </w:r>
    </w:p>
    <w:p w14:paraId="000000A1">
      <w:pPr>
        <w:numPr>
          <w:ilvl w:val="0"/>
          <w:numId w:val="10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两社区机构信息：名称、地址、老年高血压登记人数、既往招募/失访率、医生可投入时间；</w:t>
      </w:r>
    </w:p>
    <w:p w14:paraId="000000A2">
      <w:pPr>
        <w:numPr>
          <w:ilvl w:val="0"/>
          <w:numId w:val="10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效应量与 SD 假设：需既有配对数据或另行完成随访的纵向数据，或取得 Uhlig 2013 全文补充提取；基线分布可在准备期核实；</w:t>
      </w:r>
    </w:p>
    <w:p w14:paraId="000000A3">
      <w:pPr>
        <w:numPr>
          <w:ilvl w:val="0"/>
          <w:numId w:val="10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达标阈值（按申报年度现行指南）；</w:t>
      </w:r>
    </w:p>
    <w:p w14:paraId="000000A4">
      <w:pPr>
        <w:numPr>
          <w:ilvl w:val="0"/>
          <w:numId w:val="10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家庭测量频次与每日测量安排（待临床确认；每次测量仍为 2 次读数、间隔 1 分钟）；</w:t>
      </w:r>
    </w:p>
    <w:p w14:paraId="000000A5">
      <w:pPr>
        <w:numPr>
          <w:ilvl w:val="0"/>
          <w:numId w:val="10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设备型号、报价与校准安排；人力成本与预算明细（上限 10 万元）；</w:t>
      </w:r>
    </w:p>
    <w:p w14:paraId="000000A6">
      <w:pPr>
        <w:numPr>
          <w:ilvl w:val="0"/>
          <w:numId w:val="10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随机化实施细节（区组方案、分配隐藏方式）与伦理委员会信息；</w:t>
      </w:r>
    </w:p>
    <w:p w14:paraId="000000A7">
      <w:pPr>
        <w:numPr>
          <w:ilvl w:val="0"/>
          <w:numId w:val="10"/>
        </w:numPr>
        <w:pBdr>
          <w:left w:space="30"/>
        </w:pBdr>
        <w:spacing w:before="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事实卡与患教材料的临床签署。</w:t>
      </w:r>
    </w:p>
    <w:p w14:paraId="000000A8">
      <w:pPr>
        <w:pStyle w:val="00001a"/>
        <w:keepNext w:val="1"/>
        <w:keepLines w:val="1"/>
        <w:spacing w:before="360" w:beforeAutospacing="1" w:after="192" w:afterAutospacing="1" w:line="360"/>
        <w:ind w:left="0" w:right="0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32"/>
        </w:rPr>
        <w:t>十二、参考文献（核对状态见成果/证据核对）</w:t>
      </w:r>
    </w:p>
    <w:p w14:paraId="000000A9">
      <w:pPr>
        <w:numPr>
          <w:ilvl w:val="0"/>
          <w:numId w:val="11"/>
        </w:numPr>
        <w:pBdr>
          <w:left w:space="24"/>
        </w:pBdr>
        <w:spacing w:before="36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Uhlig K, et al. Self-measured blood pressure monitoring in the management of hypertension: a systematic review and meta-analysis. Ann Intern Med. 2013. PMID 23922064.（摘要已获取，全文付费墙未获取）</w:t>
      </w:r>
    </w:p>
    <w:p w14:paraId="000000AA">
      <w:pPr>
        <w:numPr>
          <w:ilvl w:val="0"/>
          <w:numId w:val="11"/>
        </w:numPr>
        <w:pBdr>
          <w:left w:space="24"/>
        </w:pBdr>
        <w:spacing w:before="36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McManus RJ, et al. TASMINH4. Lancet. 2018. PMID 29499873; PMCID PMC5854463.（摘要+全文已核对）</w:t>
      </w:r>
    </w:p>
    <w:p w14:paraId="000000AB">
      <w:pPr>
        <w:numPr>
          <w:ilvl w:val="0"/>
          <w:numId w:val="11"/>
        </w:numPr>
        <w:pBdr>
          <w:left w:space="24"/>
        </w:pBdr>
        <w:spacing w:before="36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Margolis KL, et al. JAMA. 2013. PMID 23821088.（摘要已获取，全文未逐页读）</w:t>
      </w:r>
    </w:p>
    <w:p w14:paraId="000000AC">
      <w:pPr>
        <w:numPr>
          <w:ilvl w:val="0"/>
          <w:numId w:val="11"/>
        </w:numPr>
        <w:pBdr>
          <w:left w:space="24"/>
        </w:pBdr>
        <w:spacing w:before="36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McManus RJ, et al. TASMINH2. Lancet. 2010. PMID 20619448.（摘要已获取）</w:t>
      </w:r>
    </w:p>
    <w:p w14:paraId="000000AD">
      <w:pPr>
        <w:numPr>
          <w:ilvl w:val="0"/>
          <w:numId w:val="11"/>
        </w:numPr>
        <w:pBdr>
          <w:left w:space="24"/>
        </w:pBdr>
        <w:spacing w:before="36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He J, et al. CRHCP. Lancet. 2022. PMID 35500594.（摘要已获取，全文 403 未获取）</w:t>
      </w:r>
    </w:p>
    <w:p w14:paraId="000000AE">
      <w:pPr>
        <w:numPr>
          <w:ilvl w:val="0"/>
          <w:numId w:val="11"/>
        </w:numPr>
        <w:pBdr>
          <w:left w:space="24"/>
        </w:pBdr>
        <w:spacing w:before="360" w:after="72" w:line="360"/>
        <w:ind w:left="0" w:right="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0"/>
        </w:rPr>
        <w:t>American Heart Association. Monitoring your blood pressure at home.（家庭测量流程 F03–F09 依据）</w:t>
      </w:r>
    </w:p>
    <w:p w14:paraId="000000AF">
      <w:pPr>
        <w:spacing w:before="120" w:after="192" w:line="360"/>
        <w:ind w:left="0" w:right="0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0"/>
        </w:rPr>
        <w:t>注意：各试验数值来自不同人群、干预强度、随访时点与卫生体系，只作各自情境参考，不能拼接为本项目效应量的上下限或必然区间；TASMINH4 效应含滴定成分，不能移用为本项目效应量假设。文献论断第 9、10 条（远程全面更优、死亡降 50%）未核实，禁止引用。</w:t>
      </w:r>
    </w:p>
    <w:p w14:paraId="000000B0">
      <w:pPr/>
    </w:p>
    <w:sectPr>
      <w:footerReference r:id="rId5" w:type="default"/>
      <w:type w:val="nextPage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000000B1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num w:numId="7">
    <w:abstractNumId w:val="9"/>
  </w:num>
  <w:num w:numId="5">
    <w:abstractNumId w:val="4"/>
  </w:num>
  <w:num w:numId="6">
    <w:abstractNumId w:val="8"/>
  </w:num>
  <w:num w:numId="11">
    <w:abstractNumId w:val="10"/>
  </w:num>
  <w:num w:numId="1">
    <w:abstractNumId w:val="3"/>
  </w:num>
  <w:num w:numId="2">
    <w:abstractNumId w:val="5"/>
  </w:num>
  <w:num w:numId="8">
    <w:abstractNumId w:val="2"/>
  </w:num>
  <w:num w:numId="10">
    <w:abstractNumId w:val="1"/>
  </w:num>
  <w:num w:numId="9">
    <w:abstractNumId w:val="6"/>
  </w:num>
  <w:num w:numId="3">
    <w:abstractNumId w:val="0"/>
  </w:num>
  <w:num w:numId="4">
    <w:abstractNumId w:val="7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Closing" w:semiHidden="1" w:unhideWhenUsed="1"/>
    <w:lsdException w:name="table of figures" w:semiHidden="1" w:unhideWhenUsed="1"/>
    <w:lsdException w:name="List Bullet" w:semiHidden="1" w:unhideWhenUsed="1"/>
    <w:lsdException w:name="caption" w:uiPriority="35" w:semiHidden="1" w:unhideWhenUsed="1" w:qFormat="1"/>
    <w:lsdException w:name="annotation reference" w:semiHidden="1" w:unhideWhenUsed="1"/>
    <w:lsdException w:name="List Continue 2" w:semiHidden="1" w:unhideWhenUsed="1"/>
    <w:lsdException w:name="Normal Indent" w:semiHidden="1" w:unhideWhenUsed="1"/>
    <w:lsdException w:name="index 3" w:semiHidden="1" w:unhideWhenUsed="1"/>
    <w:lsdException w:name="Body Text Indent 3" w:semiHidden="1" w:unhideWhenUsed="1"/>
    <w:lsdException w:name="List 2" w:semiHidden="1" w:unhideWhenUsed="1"/>
    <w:lsdException w:name="index 5" w:semiHidden="1" w:unhideWhenUsed="1"/>
    <w:lsdException w:name="toc 6" w:uiPriority="39" w:semiHidden="1" w:unhideWhenUsed="1"/>
    <w:lsdException w:name="toc 7" w:uiPriority="39" w:semiHidden="1" w:unhideWhenUsed="1"/>
    <w:lsdException w:name="toc 1" w:uiPriority="39" w:semiHidden="1" w:unhideWhenUsed="1"/>
    <w:lsdException w:name="heading 9" w:uiPriority="9" w:semiHidden="1" w:unhideWhenUsed="1" w:qFormat="1"/>
    <w:lsdException w:name="Salutation" w:semiHidden="1" w:unhideWhenUsed="1"/>
    <w:lsdException w:name="List Continue 3" w:semiHidden="1" w:unhideWhenUsed="1"/>
    <w:lsdException w:name="Message Header" w:semiHidden="1" w:unhideWhenUsed="1"/>
    <w:lsdException w:name="List Continue" w:semiHidden="1" w:unhideWhenUsed="1"/>
    <w:lsdException w:name="endnote text" w:semiHidden="1" w:unhideWhenUsed="1"/>
    <w:lsdException w:name="footnote text" w:semiHidden="1" w:unhideWhenUsed="1"/>
    <w:lsdException w:name="List Number 4" w:semiHidden="1" w:unhideWhenUsed="1"/>
    <w:lsdException w:name="toc 2" w:uiPriority="39" w:semiHidden="1" w:unhideWhenUsed="1"/>
    <w:lsdException w:name="index 6" w:semiHidden="1" w:unhideWhenUsed="1"/>
    <w:lsdException w:name="footnote reference" w:semiHidden="1" w:unhideWhenUsed="1"/>
    <w:lsdException w:name="toc 5" w:uiPriority="39" w:semiHidden="1" w:unhideWhenUsed="1"/>
    <w:lsdException w:name="List Bullet 5" w:semiHidden="1" w:unhideWhenUsed="1"/>
    <w:lsdException w:name="List Number 5" w:semiHidden="1" w:unhideWhenUsed="1"/>
    <w:lsdException w:name="Block Text" w:semiHidden="1" w:unhideWhenUsed="1"/>
    <w:lsdException w:name="Body Text Indent 2" w:semiHidden="1" w:unhideWhenUsed="1"/>
    <w:lsdException w:name="index 2" w:semiHidden="1" w:unhideWhenUsed="1"/>
    <w:lsdException w:name="FollowedHyperlink" w:semiHidden="1" w:unhideWhenUsed="1"/>
    <w:lsdException w:name="Strong" w:uiPriority="22" w:qFormat="1"/>
    <w:lsdException w:name="heading 5" w:uiPriority="9" w:semiHidden="1" w:unhideWhenUsed="1" w:qFormat="1"/>
    <w:lsdException w:name="List 3" w:semiHidden="1" w:unhideWhenUsed="1"/>
    <w:lsdException w:name="Body Text Indent" w:semiHidden="1" w:unhideWhenUsed="1"/>
    <w:lsdException w:name="table of authorities" w:semiHidden="1" w:unhideWhenUsed="1"/>
    <w:lsdException w:name="Normal" w:uiPriority="0" w:qFormat="1"/>
    <w:lsdException w:name="Default Paragraph Font" w:uiPriority="1" w:semiHidden="1" w:unhideWhenUsed="1"/>
    <w:lsdException w:name="index 1" w:semiHidden="1" w:unhideWhenUsed="1"/>
    <w:lsdException w:name="heading 2" w:uiPriority="9" w:semiHidden="1" w:unhideWhenUsed="1" w:qFormat="1"/>
    <w:lsdException w:name="header" w:semiHidden="1" w:unhideWhenUsed="1"/>
    <w:lsdException w:name="Body Text 2" w:semiHidden="1" w:unhideWhenUsed="1"/>
    <w:lsdException w:name="List Bullet 3" w:semiHidden="1" w:unhideWhenUsed="1"/>
    <w:lsdException w:name="Signature" w:semiHidden="1" w:unhideWhenUsed="1"/>
    <w:lsdException w:name="envelope return" w:semiHidden="1" w:unhideWhenUsed="1"/>
    <w:lsdException w:name="Body Text" w:semiHidden="1" w:unhideWhenUsed="1"/>
    <w:lsdException w:name="Title" w:uiPriority="10" w:qFormat="1"/>
    <w:lsdException w:name="footer" w:semiHidden="1" w:unhideWhenUsed="1"/>
    <w:lsdException w:name="Body Text First Indent 2" w:semiHidden="1" w:unhideWhenUsed="1"/>
    <w:lsdException w:name="page number" w:semiHidden="1" w:unhideWhenUsed="1"/>
    <w:lsdException w:name="annotation text" w:semiHidden="1" w:unhideWhenUsed="1"/>
    <w:lsdException w:name="line number" w:semiHidden="1" w:unhideWhenUsed="1"/>
    <w:lsdException w:name="heading 8" w:uiPriority="9" w:semiHidden="1" w:unhideWhenUsed="1" w:qFormat="1"/>
    <w:lsdException w:name="List Bullet 2" w:semiHidden="1" w:unhideWhenUsed="1"/>
    <w:lsdException w:name="index 7" w:semiHidden="1" w:unhideWhenUsed="1"/>
    <w:lsdException w:name="index heading" w:semiHidden="1" w:unhideWhenUsed="1"/>
    <w:lsdException w:name="heading 4" w:uiPriority="9" w:semiHidden="1" w:unhideWhenUsed="1" w:qFormat="1"/>
    <w:lsdException w:name="toc 3" w:uiPriority="39" w:semiHidden="1" w:unhideWhenUsed="1"/>
    <w:lsdException w:name="endnote reference" w:semiHidden="1" w:unhideWhenUsed="1"/>
    <w:lsdException w:name="List" w:semiHidden="1" w:unhideWhenUsed="1"/>
    <w:lsdException w:name="index 4" w:semiHidden="1" w:unhideWhenUsed="1"/>
    <w:lsdException w:name="List 4" w:semiHidden="1" w:unhideWhenUsed="1"/>
    <w:lsdException w:name="toc 9" w:uiPriority="39" w:semiHidden="1" w:unhideWhenUsed="1"/>
    <w:lsdException w:name="toc 4" w:uiPriority="39" w:semiHidden="1" w:unhideWhenUsed="1"/>
    <w:lsdException w:name="Body Text First Indent" w:semiHidden="1" w:unhideWhenUsed="1"/>
    <w:lsdException w:name="heading 3" w:uiPriority="9" w:semiHidden="1" w:unhideWhenUsed="1" w:qFormat="1"/>
    <w:lsdException w:name="List 5" w:semiHidden="1" w:unhideWhenUsed="1"/>
    <w:lsdException w:name="toc 8" w:uiPriority="39" w:semiHidden="1" w:unhideWhenUsed="1"/>
    <w:lsdException w:name="List Number 2" w:semiHidden="1" w:unhideWhenUsed="1"/>
    <w:lsdException w:name="List Continue 4" w:semiHidden="1" w:unhideWhenUsed="1"/>
    <w:lsdException w:name="List Bullet 4" w:semiHidden="1" w:unhideWhenUsed="1"/>
    <w:lsdException w:name="Date" w:semiHidden="1" w:unhideWhenUsed="1"/>
    <w:lsdException w:name="List Number" w:semiHidden="1" w:unhideWhenUsed="1"/>
    <w:lsdException w:name="Body Text 3" w:semiHidden="1" w:unhideWhenUsed="1"/>
    <w:lsdException w:name="heading 1" w:uiPriority="9" w:qFormat="1"/>
    <w:lsdException w:name="toa heading" w:semiHidden="1" w:unhideWhenUsed="1"/>
    <w:lsdException w:name="List Number 3" w:semiHidden="1" w:unhideWhenUsed="1"/>
    <w:lsdException w:name="index 9" w:semiHidden="1" w:unhideWhenUsed="1"/>
    <w:lsdException w:name="List Continue 5" w:semiHidden="1" w:unhideWhenUsed="1"/>
    <w:lsdException w:name="Subtitle" w:uiPriority="11" w:qFormat="1"/>
    <w:lsdException w:name="heading 6" w:uiPriority="9" w:semiHidden="1" w:unhideWhenUsed="1" w:qFormat="1"/>
    <w:lsdException w:name="heading 7" w:uiPriority="9" w:semiHidden="1" w:unhideWhenUsed="1" w:qFormat="1"/>
    <w:lsdException w:name="index 8" w:semiHidden="1" w:unhideWhenUsed="1"/>
    <w:lsdException w:name="Hyperlink" w:semiHidden="1" w:unhideWhenUsed="1"/>
    <w:lsdException w:name="Note Heading" w:semiHidden="1" w:unhideWhenUsed="1"/>
    <w:lsdException w:name="envelope address" w:semiHidden="1" w:unhideWhenUsed="1"/>
    <w:lsdException w:name="macro" w:semiHidden="1" w:unhideWhenUsed="1"/>
  </w:latentStyles>
  <w:style w:type="paragraph" w:styleId="00001a">
    <w:name w:val="heading 1"/>
    <w:basedOn w:val="000019"/>
    <w:next w:val="000019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ngfzh9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18">
    <w:name w:val="heading 2"/>
    <w:basedOn w:val="000019"/>
    <w:next w:val="000019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oter" Target="footer1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2026-11-02T00:02:44Z</dcterms:created>
  <dcterms:modified xsi:type="dcterms:W3CDTF">2026-11-02T00:02:44Z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"01a197d2da5e704894f6d8d673f27b9e", "ReservedCode1": "", "ContentPropagator": "00119111010856365494821B355", "PropagateID": "01a197d2da5e704894f6d8d673f27b9e", "ReservedCode2": ""}}</vt:lpwstr>
  </property>
</Properties>
</file>