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r="http://schemas.openxmlformats.org/officeDocument/2006/relationships" xmlns:w="http://schemas.openxmlformats.org/wordprocessingml/2006/main" xmlns:mc="http://schemas.openxmlformats.org/markup-compatibility/2006" mc:Ignorable="w14">
  <w:body>
    <w:p w14:paraId="00000001">
      <w:pPr>
        <w:spacing w:before="0" w:after="72" w:line="360"/>
        <w:ind w:left="0" w:right="0"/>
        <w:jc w:val="center"/>
        <w:rPr>
          <w:color w:val="000000"/>
        </w:rPr>
      </w:pPr>
      <w:r>
        <w:rPr>
          <w:rFonts w:hint="eastAsia" w:ascii="黑体" w:hAnsi="黑体" w:eastAsia="黑体" w:cs="黑体"/>
          <w:b w:val="1"/>
          <w:color w:val="000000"/>
          <w:sz w:val="36"/>
        </w:rPr>
        <w:t>社区老年高血压患者家庭血压监测项目统计分析计划</w:t>
      </w:r>
    </w:p>
    <w:p w14:paraId="00000002">
      <w:pPr>
        <w:spacing w:before="0" w:after="72" w:line="360"/>
        <w:ind w:left="0" w:right="0"/>
        <w:jc w:val="center"/>
        <w:rPr>
          <w:color w:val="333333"/>
        </w:rPr>
      </w:pPr>
      <w:r>
        <w:rPr>
          <w:rFonts w:hint="eastAsia" w:ascii="宋体" w:hAnsi="宋体" w:eastAsia="宋体" w:cs="宋体"/>
          <w:color w:val="333333"/>
          <w:sz w:val="24"/>
        </w:rPr>
        <w:t>Statistical Analysis Plan（草案 v1.2）</w:t>
      </w:r>
    </w:p>
    <w:p w14:paraId="00000003">
      <w:pPr>
        <w:spacing w:before="0" w:after="360" w:line="360"/>
        <w:ind w:left="0" w:right="0"/>
        <w:jc w:val="center"/>
        <w:rPr>
          <w:color w:val="333333"/>
        </w:rPr>
      </w:pPr>
      <w:r>
        <w:rPr>
          <w:rFonts w:hint="eastAsia" w:ascii="宋体" w:hAnsi="宋体" w:eastAsia="宋体" w:cs="宋体"/>
          <w:color w:val="333333"/>
          <w:sz w:val="21"/>
        </w:rPr>
        <w:t>版本 v1.2 ｜ 2026-11-01 ｜ 随研究方案 v1.2 同批定稿，定稿须在数据锁定与揭盲之前完成</w:t>
      </w:r>
    </w:p>
    <w:p w14:paraId="00000004">
      <w:pPr>
        <w:spacing w:before="0" w:after="192" w:line="360"/>
        <w:ind w:left="0" w:right="0"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关联文档：《研究方案》v1.2（同目录）、《样本量敏感性与可行性分析》《样本量参数来源表》。</w:t>
      </w:r>
    </w:p>
    <w:p w14:paraId="00000005">
      <w:pPr>
        <w:spacing w:before="0" w:after="192" w:line="360"/>
        <w:ind w:left="0" w:right="0"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数据边界声明：现有数据资料为程序生成的合成数据（300 名模拟受试者，303 条记录，编号 SIM 为虚构标识），不对应真实患者、机构或研究；其数据生成参数不得用作临床研究效应量依据。本计划第四节 4.1 为适用于未来真实研究的通用规则；现有合成数据的具体情况另见 4.2 数据适用说明，不写为未来研究的预设事实。</w:t>
      </w:r>
    </w:p>
    <w:p w14:paraId="00000006">
      <w:pPr>
        <w:pStyle w:val="000004"/>
        <w:keepNext w:val="1"/>
        <w:keepLines w:val="1"/>
        <w:spacing w:before="360" w:beforeAutospacing="1" w:after="192" w:afterAutospacing="1" w:line="360"/>
        <w:ind w:left="0" w:right="0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000000"/>
          <w:sz w:val="32"/>
        </w:rPr>
        <w:t>一、研究目的与结局概要</w:t>
      </w:r>
    </w:p>
    <w:p w14:paraId="00000007">
      <w:pPr>
        <w:numPr>
          <w:ilvl w:val="0"/>
          <w:numId w:val="1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主要目的：比较家庭血压自测支持与常规基层管理在 6 个月诊室收缩压上的差异（调整基线收缩压、年龄、社区）。</w:t>
      </w:r>
    </w:p>
    <w:p w14:paraId="00000008">
      <w:pPr>
        <w:numPr>
          <w:ilvl w:val="0"/>
          <w:numId w:val="1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主要结局：6 个月诊室收缩压（mmHg）。</w:t>
      </w:r>
    </w:p>
    <w:p w14:paraId="00000009">
      <w:pPr>
        <w:numPr>
          <w:ilvl w:val="0"/>
          <w:numId w:val="1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次要结局（预设）：达标比例（阈值按申报年度现行指南【待确认】，不沿用合成数据 controlled_6m 的 &lt;140/90 预设定义）；6 个月诊室舒张压作为计算达标比例所需测量变量采集，不单列为次要结局。</w:t>
      </w:r>
    </w:p>
    <w:p w14:paraId="0000000A">
      <w:pPr>
        <w:numPr>
          <w:ilvl w:val="0"/>
          <w:numId w:val="1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过程与可行性记录（单列描述，不作为确证性终点）：干预组家庭测量依从情况、随访完成与失访原因、两组自购血压计比例（沾染指标）、不良事件记录。其汇总方式与任何阈值（如需）须经临床与统计确认后预设，本计划不预设阈值。</w:t>
      </w:r>
    </w:p>
    <w:p w14:paraId="0000000B">
      <w:pPr>
        <w:numPr>
          <w:ilvl w:val="0"/>
          <w:numId w:val="1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设计要点（与方案一致）：两家社区按社区分层的个体 1:1 随机；基线、第 3、6 个月访视；主要时点为 6 个月。</w:t>
      </w:r>
    </w:p>
    <w:p w14:paraId="0000000C">
      <w:pPr>
        <w:pStyle w:val="000004"/>
        <w:keepNext w:val="1"/>
        <w:keepLines w:val="1"/>
        <w:spacing w:before="360" w:beforeAutospacing="1" w:after="192" w:afterAutospacing="1" w:line="360"/>
        <w:ind w:left="0" w:right="0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000000"/>
          <w:sz w:val="32"/>
        </w:rPr>
        <w:t>二、分析人群</w:t>
      </w:r>
    </w:p>
    <w:tbl>
      <w:tblPr>
        <w:tblW w:w="8306" w:type="dxa"/>
        <w:shd w:color="000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0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分析集</w:t>
            </w:r>
          </w:p>
        </w:tc>
        <w:tc>
          <w:tcPr>
            <w:tcW w:w="2768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0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定义</w:t>
            </w:r>
          </w:p>
        </w:tc>
        <w:tc>
          <w:tcPr>
            <w:tcW w:w="2768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0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用途</w:t>
            </w:r>
          </w:p>
        </w:tc>
      </w:tr>
      <w:tr>
        <w:trPr/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1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完整病例分析集（主分析人群）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1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随机入组且主要结局（6 个月收缩压）与协变量（基线收缩压、年龄、社区）齐全者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1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主要结局的主分析</w:t>
            </w:r>
          </w:p>
        </w:tc>
      </w:tr>
      <w:tr>
        <w:trPr/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1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随机化人群描述集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1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全部随机入组者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1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基线特征描述表；脱落/失访流程图（筛查、入组、脱落例数与原因）</w:t>
            </w:r>
          </w:p>
        </w:tc>
      </w:tr>
      <w:tr>
        <w:trPr/>
        <w:tc>
          <w:tcPr>
            <w:tcW w:w="2768" w:type="dxa"/>
            <w:tcBorders>
              <w:left w:val="none" w:sz="8"/>
              <w:bottom w:val="single" w:color="000000" w:sz="12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1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达标描述集</w:t>
            </w:r>
          </w:p>
        </w:tc>
        <w:tc>
          <w:tcPr>
            <w:tcW w:w="2768" w:type="dxa"/>
            <w:tcBorders>
              <w:left w:val="none" w:sz="8"/>
              <w:bottom w:val="single" w:color="000000" w:sz="12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1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6 个月有诊室血压测量（即有达标结局记录）者</w:t>
            </w:r>
          </w:p>
        </w:tc>
        <w:tc>
          <w:tcPr>
            <w:tcW w:w="2768" w:type="dxa"/>
            <w:tcBorders>
              <w:left w:val="none" w:sz="8"/>
              <w:bottom w:val="single" w:color="000000" w:sz="12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1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达标比例的组间描述</w:t>
            </w:r>
          </w:p>
        </w:tc>
      </w:tr>
    </w:tbl>
    <w:p w14:paraId="00000019">
      <w:pPr>
        <w:spacing w:before="0" w:after="192" w:line="360"/>
        <w:ind w:left="0" w:right="0"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明确声明：主分析为结局与协变量齐全者的完整病例分析，缺失可能引入偏倚，</w:t>
      </w:r>
      <w:r>
        <w:rPr>
          <w:rFonts w:hint="eastAsia" w:ascii="宋体" w:hAnsi="宋体" w:eastAsia="宋体" w:cs="宋体"/>
          <w:b w:val="1"/>
          <w:color w:val="000000"/>
          <w:sz w:val="24"/>
        </w:rPr>
        <w:t>不称为完整 ITT</w:t>
      </w:r>
      <w:r>
        <w:rPr>
          <w:rFonts w:hint="eastAsia" w:ascii="宋体" w:hAnsi="宋体" w:eastAsia="宋体" w:cs="宋体"/>
          <w:color w:val="000000"/>
          <w:sz w:val="24"/>
        </w:rPr>
        <w:t>；对随机化人群的整体描述照常呈现，以保证透明。</w:t>
      </w:r>
    </w:p>
    <w:p w14:paraId="0000001A">
      <w:pPr>
        <w:pStyle w:val="000004"/>
        <w:keepNext w:val="1"/>
        <w:keepLines w:val="1"/>
        <w:spacing w:before="360" w:beforeAutospacing="1" w:after="192" w:afterAutospacing="1" w:line="360"/>
        <w:ind w:left="0" w:right="0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000000"/>
          <w:sz w:val="32"/>
        </w:rPr>
        <w:t>三、主模型与统计方法（预先规定）</w:t>
      </w:r>
    </w:p>
    <w:p w14:paraId="0000001B">
      <w:pPr>
        <w:pStyle w:val="000002"/>
        <w:keepNext w:val="1"/>
        <w:keepLines w:val="1"/>
        <w:spacing w:before="360" w:beforeAutospacing="1" w:after="192" w:afterAutospacing="1" w:line="360"/>
        <w:ind w:left="0" w:right="0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3.1 主要分析</w:t>
      </w:r>
    </w:p>
    <w:p w14:paraId="0000001C">
      <w:pPr>
        <w:numPr>
          <w:ilvl w:val="0"/>
          <w:numId w:val="2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模型：线性回归——6 个月收缩压 ~ 组别 + 基线收缩压 + 年龄 + 社区（A/B）。</w:t>
      </w:r>
    </w:p>
    <w:p w14:paraId="0000001D">
      <w:pPr>
        <w:numPr>
          <w:ilvl w:val="0"/>
          <w:numId w:val="2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报告：组别调整均数差、95% CI、P 值；显著性水平双侧 α=0.05。</w:t>
      </w:r>
    </w:p>
    <w:p w14:paraId="0000001E">
      <w:pPr>
        <w:numPr>
          <w:ilvl w:val="0"/>
          <w:numId w:val="2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模型诊断：残差图检查正态性与非线性；残差—拟合值图检查异方差；诊断图随报告留存。</w:t>
      </w:r>
    </w:p>
    <w:p w14:paraId="0000001F">
      <w:pPr>
        <w:numPr>
          <w:ilvl w:val="0"/>
          <w:numId w:val="2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样本量与主模型的关系：样本量按两独立样本均数比较计算（脚本 sample_size.py，先取整后按 15% 脱落膨胀），用于资源规划。在简化假设下（残差近似正态、方差齐、协变量与组别近似独立），若基线收缩压与结局的相关为 r，调整后的残差方差约为 SD²×(1−r²)、残差标准差约为 SD×√(1−r²)；按调整模型直接测算时，样本量近似乘以折减因子 (1−r²)（不是其倒数）。实际 r 未知，协变量与组别的实际相关也会改变有效方差的构成，故本计算</w:t>
      </w:r>
      <w:r>
        <w:rPr>
          <w:rFonts w:hint="eastAsia" w:ascii="宋体" w:hAnsi="宋体" w:eastAsia="宋体" w:cs="宋体"/>
          <w:b w:val="1"/>
          <w:color w:val="000000"/>
          <w:sz w:val="24"/>
        </w:rPr>
        <w:t>不能保证对所有实际情形都保守</w:t>
      </w:r>
      <w:r>
        <w:rPr>
          <w:rFonts w:hint="eastAsia" w:ascii="宋体" w:hAnsi="宋体" w:eastAsia="宋体" w:cs="宋体"/>
          <w:color w:val="000000"/>
          <w:sz w:val="24"/>
        </w:rPr>
        <w:t>；不得据此事后缩减已承诺规模。</w:t>
      </w:r>
    </w:p>
    <w:p w14:paraId="00000020">
      <w:pPr>
        <w:pStyle w:val="000002"/>
        <w:keepNext w:val="1"/>
        <w:keepLines w:val="1"/>
        <w:spacing w:before="360" w:beforeAutospacing="1" w:after="192" w:afterAutospacing="1" w:line="360"/>
        <w:ind w:left="0" w:right="0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3.2 次要结局与过程记录</w:t>
      </w:r>
    </w:p>
    <w:p w14:paraId="00000021">
      <w:pPr>
        <w:numPr>
          <w:ilvl w:val="0"/>
          <w:numId w:val="3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次要结局（预设）：达标比例按预设方法仅做描述（各组比例及 95% CI；组间差异及 CI），不临时挑选显著方法、不做假设检验驱动的结论。</w:t>
      </w:r>
    </w:p>
    <w:p w14:paraId="00000022">
      <w:pPr>
        <w:numPr>
          <w:ilvl w:val="0"/>
          <w:numId w:val="3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过程与可行性记录（单列描述）：干预组依从情况（指标与汇总方式待临床与统计确认后预设）、随访完成与失访原因、沾染指标（两组自购血压计比例）、不良事件描述。以上不作为确证性终点，不预设阈值。</w:t>
      </w:r>
    </w:p>
    <w:p w14:paraId="00000023">
      <w:pPr>
        <w:numPr>
          <w:ilvl w:val="0"/>
          <w:numId w:val="3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基线特征表：按随机化人群描述（连续变量均值/SD 或中位数/IQR，分类变量构成比），不做事后显著性筛选。</w:t>
      </w:r>
    </w:p>
    <w:p w14:paraId="00000024">
      <w:pPr>
        <w:pStyle w:val="000002"/>
        <w:keepNext w:val="1"/>
        <w:keepLines w:val="1"/>
        <w:spacing w:before="360" w:beforeAutospacing="1" w:after="192" w:afterAutospacing="1" w:line="360"/>
        <w:ind w:left="0" w:right="0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3.3 敏感性分析（预先规定，不事后增加）</w:t>
      </w:r>
    </w:p>
    <w:p w14:paraId="00000025">
      <w:pPr>
        <w:numPr>
          <w:ilvl w:val="0"/>
          <w:numId w:val="4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主模型改用 HC3 异方差稳健标准误重估，比较与主分析结论的一致性；</w:t>
      </w:r>
    </w:p>
    <w:p w14:paraId="00000026">
      <w:pPr>
        <w:numPr>
          <w:ilvl w:val="0"/>
          <w:numId w:val="4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比较纳入主分析者与缺失者的基线特征，讨论缺失可能引入的方向；</w:t>
      </w:r>
    </w:p>
    <w:p w14:paraId="00000027">
      <w:pPr>
        <w:numPr>
          <w:ilvl w:val="0"/>
          <w:numId w:val="4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沾染（对照组自购血压计）比例确认后，作为结果解释的敏感性讨论项。</w:t>
      </w:r>
    </w:p>
    <w:p w14:paraId="00000028">
      <w:pPr>
        <w:pStyle w:val="000002"/>
        <w:keepNext w:val="1"/>
        <w:keepLines w:val="1"/>
        <w:spacing w:before="360" w:beforeAutospacing="1" w:after="192" w:afterAutospacing="1" w:line="360"/>
        <w:ind w:left="0" w:right="0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3.4 亚组</w:t>
      </w:r>
    </w:p>
    <w:p w14:paraId="00000029">
      <w:pPr>
        <w:spacing w:before="0" w:after="192" w:line="360"/>
        <w:ind w:left="0" w:right="0"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无预设亚组分析，不生成事后森林图。如未来需要亚组，须在方案修订中预先声明。</w:t>
      </w:r>
    </w:p>
    <w:p w14:paraId="0000002A">
      <w:pPr>
        <w:pStyle w:val="000004"/>
        <w:keepNext w:val="1"/>
        <w:keepLines w:val="1"/>
        <w:spacing w:before="360" w:beforeAutospacing="1" w:after="192" w:afterAutospacing="1" w:line="360"/>
        <w:ind w:left="0" w:right="0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000000"/>
          <w:sz w:val="32"/>
        </w:rPr>
        <w:t>四、缺失处理与数据清洗（预先规定）</w:t>
      </w:r>
    </w:p>
    <w:p w14:paraId="0000002B">
      <w:pPr>
        <w:pStyle w:val="000002"/>
        <w:keepNext w:val="1"/>
        <w:keepLines w:val="1"/>
        <w:spacing w:before="360" w:beforeAutospacing="1" w:after="192" w:afterAutospacing="1" w:line="360"/>
        <w:ind w:left="0" w:right="0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4.1 通用原则（适用于未来真实研究）</w:t>
      </w:r>
    </w:p>
    <w:p w14:paraId="0000002C">
      <w:pPr>
        <w:numPr>
          <w:ilvl w:val="0"/>
          <w:numId w:val="5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不做均数填补（明确禁止）；</w:t>
      </w:r>
    </w:p>
    <w:p w14:paraId="0000002D">
      <w:pPr>
        <w:numPr>
          <w:ilvl w:val="0"/>
          <w:numId w:val="5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原始数据文件保持不变，任何修改在新分析数据集中完成；</w:t>
      </w:r>
    </w:p>
    <w:p w14:paraId="0000002E">
      <w:pPr>
        <w:numPr>
          <w:ilvl w:val="0"/>
          <w:numId w:val="5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超出预设合理范围的取值设为缺失并保留受试者——合理范围阈值在数据库设计时预设并写入数据字典，不得事后按结果挑选；</w:t>
      </w:r>
    </w:p>
    <w:p w14:paraId="0000002F">
      <w:pPr>
        <w:numPr>
          <w:ilvl w:val="0"/>
          <w:numId w:val="5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编码按数据字典归一（如性别混用编码）；</w:t>
      </w:r>
    </w:p>
    <w:p w14:paraId="00000030">
      <w:pPr>
        <w:numPr>
          <w:ilvl w:val="0"/>
          <w:numId w:val="5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完全一致的重复记录经逐字段核对后可移除；有冲突的重复记录列出待核，不自行取第一条；</w:t>
      </w:r>
    </w:p>
    <w:p w14:paraId="00000031">
      <w:pPr>
        <w:numPr>
          <w:ilvl w:val="0"/>
          <w:numId w:val="5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所有修改逐条留痕：编号、字段、原值、新值、规则依据。</w:t>
      </w:r>
    </w:p>
    <w:p w14:paraId="00000032">
      <w:pPr>
        <w:pStyle w:val="000002"/>
        <w:keepNext w:val="1"/>
        <w:keepLines w:val="1"/>
        <w:spacing w:before="360" w:beforeAutospacing="1" w:after="192" w:afterAutospacing="1" w:line="360"/>
        <w:ind w:left="0" w:right="0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4.2 数据适用说明（现有合成数据的具体情况）</w:t>
      </w:r>
    </w:p>
    <w:p w14:paraId="00000033">
      <w:pPr>
        <w:spacing w:before="0" w:after="192" w:line="360"/>
        <w:ind w:left="0" w:right="0"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下列为</w:t>
      </w:r>
      <w:r>
        <w:rPr>
          <w:rFonts w:hint="eastAsia" w:ascii="宋体" w:hAnsi="宋体" w:eastAsia="宋体" w:cs="宋体"/>
          <w:b w:val="1"/>
          <w:color w:val="000000"/>
          <w:sz w:val="24"/>
        </w:rPr>
        <w:t>现有合成 CSV 数据文件中的具体情况</w:t>
      </w:r>
      <w:r>
        <w:rPr>
          <w:rFonts w:hint="eastAsia" w:ascii="宋体" w:hAnsi="宋体" w:eastAsia="宋体" w:cs="宋体"/>
          <w:color w:val="000000"/>
          <w:sz w:val="24"/>
        </w:rPr>
        <w:t>，仅用于说明该数据文件的适用范围与已发现的问题，</w:t>
      </w:r>
      <w:r>
        <w:rPr>
          <w:rFonts w:hint="eastAsia" w:ascii="宋体" w:hAnsi="宋体" w:eastAsia="宋体" w:cs="宋体"/>
          <w:b w:val="1"/>
          <w:color w:val="000000"/>
          <w:sz w:val="24"/>
        </w:rPr>
        <w:t>不是未来研究的预设事实</w:t>
      </w:r>
      <w:r>
        <w:rPr>
          <w:rFonts w:hint="eastAsia" w:ascii="宋体" w:hAnsi="宋体" w:eastAsia="宋体" w:cs="宋体"/>
          <w:color w:val="000000"/>
          <w:sz w:val="24"/>
        </w:rPr>
        <w:t>：年龄 999、6 个月收缩压 18、BMI 99 等具体异常取值；"3 条完全一致的重复记录"这一条数。未来研究实际出现的异常取值与重复记录须按 4.1 通用原则重新核定，不得预设条数或取值。</w:t>
      </w:r>
    </w:p>
    <w:p w14:paraId="00000034">
      <w:pPr>
        <w:pStyle w:val="000002"/>
        <w:keepNext w:val="1"/>
        <w:keepLines w:val="1"/>
        <w:spacing w:before="360" w:beforeAutospacing="1" w:after="192" w:afterAutospacing="1" w:line="360"/>
        <w:ind w:left="0" w:right="0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4.3 主要结局缺失</w:t>
      </w:r>
    </w:p>
    <w:p w14:paraId="00000035">
      <w:pPr>
        <w:spacing w:before="0" w:after="192" w:line="360"/>
        <w:ind w:left="0" w:right="0"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不填补；以完整病例分析为主分析，按 3.3 第 2 条比较纳入与缺失者特征，并在报告中明确缺失可能引入偏倚及其可能方向；15% 脱落率为设计假设，实际脱落率如实报告。协变量缺失：基线收缩压/年龄/社区缺失者不进入主分析，计入流程图。</w:t>
      </w:r>
    </w:p>
    <w:p w14:paraId="00000036">
      <w:pPr>
        <w:pStyle w:val="000004"/>
        <w:keepNext w:val="1"/>
        <w:keepLines w:val="1"/>
        <w:spacing w:before="360" w:beforeAutospacing="1" w:after="192" w:afterAutospacing="1" w:line="360"/>
        <w:ind w:left="0" w:right="0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000000"/>
          <w:sz w:val="32"/>
        </w:rPr>
        <w:t>五、数据与变量定义（数据字典摘要）</w:t>
      </w:r>
    </w:p>
    <w:tbl>
      <w:tblPr>
        <w:tblW w:w="8306" w:type="dxa"/>
        <w:shd w:color="000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3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变量</w:t>
            </w:r>
          </w:p>
        </w:tc>
        <w:tc>
          <w:tcPr>
            <w:tcW w:w="2768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3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定义与单位</w:t>
            </w:r>
          </w:p>
        </w:tc>
        <w:tc>
          <w:tcPr>
            <w:tcW w:w="2768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3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备注</w:t>
            </w:r>
          </w:p>
        </w:tc>
      </w:tr>
      <w:tr>
        <w:trPr/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3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编号（ID）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3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受试者唯一标识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3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真实研究中按机构规则编制【待确认】</w:t>
            </w:r>
          </w:p>
        </w:tc>
      </w:tr>
      <w:tr>
        <w:trPr/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3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组别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3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干预 / 对照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3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按随机分配，不按实际接受情况重分组</w:t>
            </w:r>
          </w:p>
        </w:tc>
      </w:tr>
      <w:tr>
        <w:trPr/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4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社区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4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A / B（两家）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4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模型协变量；也是随机化分层因素</w:t>
            </w:r>
          </w:p>
        </w:tc>
      </w:tr>
      <w:tr>
        <w:trPr/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4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性别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4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男 / 女（统一编码）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4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混用编码须归一</w:t>
            </w:r>
          </w:p>
        </w:tc>
      </w:tr>
      <w:tr>
        <w:trPr/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4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年龄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4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岁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4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合理范围阈值待数据库设计时预设</w:t>
            </w:r>
          </w:p>
        </w:tc>
      </w:tr>
      <w:tr>
        <w:trPr/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4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BMI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4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kg/m²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4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合理范围阈值待数据库设计时预设</w:t>
            </w:r>
          </w:p>
        </w:tc>
      </w:tr>
      <w:tr>
        <w:trPr/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4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病程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4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年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4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—</w:t>
            </w:r>
          </w:p>
        </w:tc>
      </w:tr>
      <w:tr>
        <w:trPr/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4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糖尿病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5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1 有 / 0 无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5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—</w:t>
            </w:r>
          </w:p>
        </w:tc>
      </w:tr>
      <w:tr>
        <w:trPr/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5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基线/3 个月/6 个月收缩压、舒张压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5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mmHg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5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诊室标准化测量</w:t>
            </w:r>
          </w:p>
        </w:tc>
      </w:tr>
      <w:tr>
        <w:trPr/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5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依从情况（过程记录）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5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待定义（干预组）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5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指标与汇总方式待临床与统计确认</w:t>
            </w:r>
          </w:p>
        </w:tc>
      </w:tr>
      <w:tr>
        <w:trPr/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5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访视完成次数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5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次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5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—</w:t>
            </w:r>
          </w:p>
        </w:tc>
      </w:tr>
      <w:tr>
        <w:trPr/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5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达标（6 个月）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5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按现行指南阈值【待确认】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5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合成数据 &lt;140/90 定义不沿用</w:t>
            </w:r>
          </w:p>
        </w:tc>
      </w:tr>
      <w:tr>
        <w:trPr/>
        <w:tc>
          <w:tcPr>
            <w:tcW w:w="2768" w:type="dxa"/>
            <w:tcBorders>
              <w:left w:val="none" w:sz="8"/>
              <w:bottom w:val="single" w:color="000000" w:sz="12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5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沾染指标（过程记录）</w:t>
            </w:r>
          </w:p>
        </w:tc>
        <w:tc>
          <w:tcPr>
            <w:tcW w:w="2768" w:type="dxa"/>
            <w:tcBorders>
              <w:left w:val="none" w:sz="8"/>
              <w:bottom w:val="single" w:color="000000" w:sz="12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5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自购血压计（有/无）</w:t>
            </w:r>
          </w:p>
        </w:tc>
        <w:tc>
          <w:tcPr>
            <w:tcW w:w="2768" w:type="dxa"/>
            <w:tcBorders>
              <w:left w:val="none" w:sz="8"/>
              <w:bottom w:val="single" w:color="000000" w:sz="12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6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两组均采集</w:t>
            </w:r>
          </w:p>
        </w:tc>
      </w:tr>
    </w:tbl>
    <w:p w14:paraId="00000061">
      <w:pPr>
        <w:pStyle w:val="000004"/>
        <w:keepNext w:val="1"/>
        <w:keepLines w:val="1"/>
        <w:spacing w:before="360" w:beforeAutospacing="1" w:after="192" w:afterAutospacing="1" w:line="360"/>
        <w:ind w:left="0" w:right="0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000000"/>
          <w:sz w:val="32"/>
        </w:rPr>
        <w:t>六、输出与报告</w:t>
      </w:r>
    </w:p>
    <w:p w14:paraId="00000062">
      <w:pPr>
        <w:numPr>
          <w:ilvl w:val="0"/>
          <w:numId w:val="6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表格清单（预设）：① 基线特征表（随机化人群）；② 分析流程图（筛查—入组—脱落—纳入分析）；③ 主要结局主模型结果（调整均数差、95% CI、P）；④ 次要结局描述表（达标比例）；⑤ 过程与可行性记录描述表（依从情况、随访完成、沾染、不良事件，单列）；⑥ 敏感性分析对照表（HC3；纳入 vs 缺失者特征）；⑦ 清洗留痕表（编号、字段、原值、新值、规则）。</w:t>
      </w:r>
    </w:p>
    <w:p w14:paraId="00000063">
      <w:pPr>
        <w:numPr>
          <w:ilvl w:val="0"/>
          <w:numId w:val="6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图形清单（预设）：主要模型残差诊断图；脱落流程图。除预设清单外不产出事后图形。</w:t>
      </w:r>
    </w:p>
    <w:p w14:paraId="00000064">
      <w:pPr>
        <w:numPr>
          <w:ilvl w:val="0"/>
          <w:numId w:val="6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软件：R 或 Python（版本与关键包在数据锁定前固定并记录【待确认】）。</w:t>
      </w:r>
    </w:p>
    <w:p w14:paraId="00000065">
      <w:pPr>
        <w:numPr>
          <w:ilvl w:val="0"/>
          <w:numId w:val="6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报告口径：无论结果方向，按本计划报告；与方案的偏离须记录并说明。</w:t>
      </w:r>
    </w:p>
    <w:p w14:paraId="00000066">
      <w:pPr>
        <w:pStyle w:val="000004"/>
        <w:keepNext w:val="1"/>
        <w:keepLines w:val="1"/>
        <w:spacing w:before="360" w:beforeAutospacing="1" w:after="192" w:afterAutospacing="1" w:line="360"/>
        <w:ind w:left="0" w:right="0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000000"/>
          <w:sz w:val="32"/>
        </w:rPr>
        <w:t>七、质量控制（统计侧）</w:t>
      </w:r>
    </w:p>
    <w:p w14:paraId="00000067">
      <w:pPr>
        <w:numPr>
          <w:ilvl w:val="0"/>
          <w:numId w:val="7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双人独立核对清洗规则执行结果，逐条留痕（见四.1）；</w:t>
      </w:r>
    </w:p>
    <w:p w14:paraId="00000068">
      <w:pPr>
        <w:numPr>
          <w:ilvl w:val="0"/>
          <w:numId w:val="7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分析数据集与原始数据分离保存；标识符与个人信息分离、加密存储；</w:t>
      </w:r>
    </w:p>
    <w:p w14:paraId="00000069">
      <w:pPr>
        <w:numPr>
          <w:ilvl w:val="0"/>
          <w:numId w:val="7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揭盲前完成 SAP 定稿；分析代码与随机种子留存，保证可重跑；</w:t>
      </w:r>
    </w:p>
    <w:p w14:paraId="0000006A">
      <w:pPr>
        <w:numPr>
          <w:ilvl w:val="0"/>
          <w:numId w:val="7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关键结果（主要结局主模型）由第二统计师独立复核；</w:t>
      </w:r>
    </w:p>
    <w:p w14:paraId="0000006B">
      <w:pPr>
        <w:numPr>
          <w:ilvl w:val="0"/>
          <w:numId w:val="7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合成数据仅用于清洗与分析流程的测试，任何基于合成数据的计算结果不得进入结题报告或申报材料。</w:t>
      </w:r>
    </w:p>
    <w:p w14:paraId="0000006C">
      <w:pPr>
        <w:pStyle w:val="000004"/>
        <w:keepNext w:val="1"/>
        <w:keepLines w:val="1"/>
        <w:spacing w:before="360" w:beforeAutospacing="1" w:after="192" w:afterAutospacing="1" w:line="360"/>
        <w:ind w:left="0" w:right="0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000000"/>
          <w:sz w:val="32"/>
        </w:rPr>
        <w:t>八、SAP 与方案一致性声明</w:t>
      </w:r>
    </w:p>
    <w:p w14:paraId="0000006D">
      <w:pPr>
        <w:spacing w:before="0" w:after="192" w:line="360"/>
        <w:ind w:left="0" w:right="0"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本计划与《研究方案》v1.2 第七节（分析与统计摘要）一致：主要结局、主模型、分析人群、缺失与清洗原则、敏感性分析与"不做事后亚组"的约定以本计划为准；次要结局按预设仅保留达标比例（舒张压作为计算达标比例所需测量变量），依从情况、随访完成、沾染等单列为过程记录；任何修改须同时修订两份文档并记录版本。计划与已具备条件的区分：本计划所有规则为预设（计划），两社区机构信息、指南达标阈值、依从指标定义、软件与包版本等仍为【待确认】项，实施前落实。</w:t>
      </w:r>
    </w:p>
    <w:p w14:paraId="0000006E">
      <w:pPr/>
    </w:p>
    <w:sectPr>
      <w:footerReference r:id="rId5" w:type="default"/>
      <w:type w:val="nextPage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0000006F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3">
    <w:abstractNumId w:val="4"/>
  </w:num>
  <w:num w:numId="5">
    <w:abstractNumId w:val="5"/>
  </w:num>
  <w:num w:numId="6">
    <w:abstractNumId w:val="1"/>
  </w:num>
  <w:num w:numId="7">
    <w:abstractNumId w:val="2"/>
  </w:num>
  <w:num w:numId="2">
    <w:abstractNumId w:val="3"/>
  </w:num>
  <w:num w:numId="4">
    <w:abstractNumId w:val="0"/>
  </w:num>
  <w:num w:numId="1">
    <w:abstractNumId w:val="6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Bullet 3" w:semiHidden="1" w:unhideWhenUsed="1"/>
    <w:lsdException w:name="heading 7" w:uiPriority="9" w:semiHidden="1" w:unhideWhenUsed="1" w:qFormat="1"/>
    <w:lsdException w:name="List 5" w:semiHidden="1" w:unhideWhenUsed="1"/>
    <w:lsdException w:name="List" w:semiHidden="1" w:unhideWhenUsed="1"/>
    <w:lsdException w:name="Date" w:semiHidden="1" w:unhideWhenUsed="1"/>
    <w:lsdException w:name="index 7" w:semiHidden="1" w:unhideWhenUsed="1"/>
    <w:lsdException w:name="Block Text" w:semiHidden="1" w:unhideWhenUsed="1"/>
    <w:lsdException w:name="List Continue 3" w:semiHidden="1" w:unhideWhenUsed="1"/>
    <w:lsdException w:name="footer" w:semiHidden="1" w:unhideWhenUsed="1"/>
    <w:lsdException w:name="List Number 5" w:semiHidden="1" w:unhideWhenUsed="1"/>
    <w:lsdException w:name="heading 8" w:uiPriority="9" w:semiHidden="1" w:unhideWhenUsed="1" w:qFormat="1"/>
    <w:lsdException w:name="List Continue" w:semiHidden="1" w:unhideWhenUsed="1"/>
    <w:lsdException w:name="heading 6" w:uiPriority="9" w:semiHidden="1" w:unhideWhenUsed="1" w:qFormat="1"/>
    <w:lsdException w:name="Normal" w:uiPriority="0" w:qFormat="1"/>
    <w:lsdException w:name="caption" w:uiPriority="35" w:semiHidden="1" w:unhideWhenUsed="1" w:qFormat="1"/>
    <w:lsdException w:name="List Number 2" w:semiHidden="1" w:unhideWhenUsed="1"/>
    <w:lsdException w:name="Strong" w:uiPriority="22" w:qFormat="1"/>
    <w:lsdException w:name="toa heading" w:semiHidden="1" w:unhideWhenUsed="1"/>
    <w:lsdException w:name="List Continue 4" w:semiHidden="1" w:unhideWhenUsed="1"/>
    <w:lsdException w:name="index 9" w:semiHidden="1" w:unhideWhenUsed="1"/>
    <w:lsdException w:name="toc 3" w:uiPriority="39" w:semiHidden="1" w:unhideWhenUsed="1"/>
    <w:lsdException w:name="envelope address" w:semiHidden="1" w:unhideWhenUsed="1"/>
    <w:lsdException w:name="toc 4" w:uiPriority="39" w:semiHidden="1" w:unhideWhenUsed="1"/>
    <w:lsdException w:name="envelope return" w:semiHidden="1" w:unhideWhenUsed="1"/>
    <w:lsdException w:name="List Continue 5" w:semiHidden="1" w:unhideWhenUsed="1"/>
    <w:lsdException w:name="Body Text Indent 3" w:semiHidden="1" w:unhideWhenUsed="1"/>
    <w:lsdException w:name="Hyperlink" w:semiHidden="1" w:unhideWhenUsed="1"/>
    <w:lsdException w:name="endnote text" w:semiHidden="1" w:unhideWhenUsed="1"/>
    <w:lsdException w:name="Body Text First Indent 2" w:semiHidden="1" w:unhideWhenUsed="1"/>
    <w:lsdException w:name="macro" w:semiHidden="1" w:unhideWhenUsed="1"/>
    <w:lsdException w:name="Note Heading" w:semiHidden="1" w:unhideWhenUsed="1"/>
    <w:lsdException w:name="endnote reference" w:semiHidden="1" w:unhideWhenUsed="1"/>
    <w:lsdException w:name="Subtitle" w:uiPriority="11" w:qFormat="1"/>
    <w:lsdException w:name="List 4" w:semiHidden="1" w:unhideWhenUsed="1"/>
    <w:lsdException w:name="List Continue 2" w:semiHidden="1" w:unhideWhenUsed="1"/>
    <w:lsdException w:name="List Bullet 5" w:semiHidden="1" w:unhideWhenUsed="1"/>
    <w:lsdException w:name="toc 8" w:uiPriority="39" w:semiHidden="1" w:unhideWhenUsed="1"/>
    <w:lsdException w:name="FollowedHyperlink" w:semiHidden="1" w:unhideWhenUsed="1"/>
    <w:lsdException w:name="table of authorities" w:semiHidden="1" w:unhideWhenUsed="1"/>
    <w:lsdException w:name="Body Text 2" w:semiHidden="1" w:unhideWhenUsed="1"/>
    <w:lsdException w:name="heading 4" w:uiPriority="9" w:semiHidden="1" w:unhideWhenUsed="1" w:qFormat="1"/>
    <w:lsdException w:name="index 6" w:semiHidden="1" w:unhideWhenUsed="1"/>
    <w:lsdException w:name="index 8" w:semiHidden="1" w:unhideWhenUsed="1"/>
    <w:lsdException w:name="index 5" w:semiHidden="1" w:unhideWhenUsed="1"/>
    <w:lsdException w:name="footnote text" w:semiHidden="1" w:unhideWhenUsed="1"/>
    <w:lsdException w:name="Body Text Indent" w:semiHidden="1" w:unhideWhenUsed="1"/>
    <w:lsdException w:name="Body Text 3" w:semiHidden="1" w:unhideWhenUsed="1"/>
    <w:lsdException w:name="heading 3" w:uiPriority="9" w:semiHidden="1" w:unhideWhenUsed="1" w:qFormat="1"/>
    <w:lsdException w:name="List Bullet 2" w:semiHidden="1" w:unhideWhenUsed="1"/>
    <w:lsdException w:name="header" w:semiHidden="1" w:unhideWhenUsed="1"/>
    <w:lsdException w:name="heading 1" w:uiPriority="9" w:qFormat="1"/>
    <w:lsdException w:name="toc 6" w:uiPriority="39" w:semiHidden="1" w:unhideWhenUsed="1"/>
    <w:lsdException w:name="List Bullet 4" w:semiHidden="1" w:unhideWhenUsed="1"/>
    <w:lsdException w:name="List Number" w:semiHidden="1" w:unhideWhenUsed="1"/>
    <w:lsdException w:name="toc 9" w:uiPriority="39" w:semiHidden="1" w:unhideWhenUsed="1"/>
    <w:lsdException w:name="index heading" w:semiHidden="1" w:unhideWhenUsed="1"/>
    <w:lsdException w:name="index 1" w:semiHidden="1" w:unhideWhenUsed="1"/>
    <w:lsdException w:name="table of figures" w:semiHidden="1" w:unhideWhenUsed="1"/>
    <w:lsdException w:name="toc 1" w:uiPriority="39" w:semiHidden="1" w:unhideWhenUsed="1"/>
    <w:lsdException w:name="heading 2" w:uiPriority="9" w:semiHidden="1" w:unhideWhenUsed="1" w:qFormat="1"/>
    <w:lsdException w:name="List Number 4" w:semiHidden="1" w:unhideWhenUsed="1"/>
    <w:lsdException w:name="Salutation" w:semiHidden="1" w:unhideWhenUsed="1"/>
    <w:lsdException w:name="Default Paragraph Font" w:uiPriority="1" w:semiHidden="1" w:unhideWhenUsed="1"/>
    <w:lsdException w:name="toc 2" w:uiPriority="39" w:semiHidden="1" w:unhideWhenUsed="1"/>
    <w:lsdException w:name="heading 9" w:uiPriority="9" w:semiHidden="1" w:unhideWhenUsed="1" w:qFormat="1"/>
    <w:lsdException w:name="line number" w:semiHidden="1" w:unhideWhenUsed="1"/>
    <w:lsdException w:name="Signature" w:semiHidden="1" w:unhideWhenUsed="1"/>
    <w:lsdException w:name="List Number 3" w:semiHidden="1" w:unhideWhenUsed="1"/>
    <w:lsdException w:name="annotation reference" w:semiHidden="1" w:unhideWhenUsed="1"/>
    <w:lsdException w:name="Closing" w:semiHidden="1" w:unhideWhenUsed="1"/>
    <w:lsdException w:name="index 3" w:semiHidden="1" w:unhideWhenUsed="1"/>
    <w:lsdException w:name="footnote reference" w:semiHidden="1" w:unhideWhenUsed="1"/>
    <w:lsdException w:name="Message Header" w:semiHidden="1" w:unhideWhenUsed="1"/>
    <w:lsdException w:name="Title" w:uiPriority="10" w:qFormat="1"/>
    <w:lsdException w:name="Body Text" w:semiHidden="1" w:unhideWhenUsed="1"/>
    <w:lsdException w:name="Normal Indent" w:semiHidden="1" w:unhideWhenUsed="1"/>
    <w:lsdException w:name="Body Text Indent 2" w:semiHidden="1" w:unhideWhenUsed="1"/>
    <w:lsdException w:name="index 2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index 4" w:semiHidden="1" w:unhideWhenUsed="1"/>
    <w:lsdException w:name="toc 7" w:uiPriority="39" w:semiHidden="1" w:unhideWhenUsed="1"/>
    <w:lsdException w:name="heading 5" w:uiPriority="9" w:semiHidden="1" w:unhideWhenUsed="1" w:qFormat="1"/>
    <w:lsdException w:name="page number" w:semiHidden="1" w:unhideWhenUsed="1"/>
    <w:lsdException w:name="toc 5" w:uiPriority="39" w:semiHidden="1" w:unhideWhenUsed="1"/>
    <w:lsdException w:name="annotation text" w:semiHidden="1" w:unhideWhenUsed="1"/>
    <w:lsdException w:name="Body Text First Indent" w:semiHidden="1" w:unhideWhenUsed="1"/>
  </w:latentStyles>
  <w:style w:type="paragraph" w:styleId="000002">
    <w:name w:val="heading 2"/>
    <w:basedOn w:val="000003"/>
    <w:next w:val="000003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jb01q9" w:default="1">
    <w:name w:val="Normal"/>
    <w:qFormat w:val="1"/>
    <w:pPr>
      <w:widowControl w:val="0"/>
      <w:spacing w:before="60" w:after="60" w:line="240" w:lineRule="auto"/>
      <w:jc w:val="left"/>
    </w:pPr>
    <w:rPr>
      <w:color w:val="333333"/>
      <w:sz w:val="22"/>
    </w:rPr>
  </w:style>
  <w:style w:type="paragraph" w:styleId="000004">
    <w:name w:val="heading 1"/>
    <w:basedOn w:val="000003"/>
    <w:next w:val="000003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footer" Target="footer1.xml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2026-11-02T00:04:44Z</dcterms:created>
  <dcterms:modified xsi:type="dcterms:W3CDTF">2026-11-02T00:04:44Z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"01a197d2da5e704894f6d8d673f27b9e", "ReservedCode1": "", "ContentPropagator": "00119111010856365494821B355", "PropagateID": "01a197d2da5e704894f6d8d673f27b9e", "ReservedCode2": ""}}</vt:lpwstr>
  </property>
</Properties>
</file>