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pStyle w:val="000002"/>
        <w:keepNext w:val="0"/>
        <w:keepLines/>
        <w:pageBreakBefore w:val="0"/>
        <w:shd w:val="clear" w:fill="ffffff"/>
        <w:spacing w:before="0" w:beforeAutospacing="0" w:after="40" w:afterAutospacing="0" w:line="264" w:lineRule="auto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ongti SC" w:hAnsi="Songti SC" w:eastAsia="Songti SC" w:cs="Songti SC"/>
          <w:b w:val="1"/>
          <w:color w:val="000000"/>
          <w:sz w:val="40"/>
        </w:rPr>
        <w:t>家庭血压测量指导</w:t>
      </w:r>
    </w:p>
    <w:p w14:paraId="00000002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jc w:val="center"/>
        <w:rPr>
          <w:color w:val="333333"/>
        </w:rPr>
      </w:pPr>
      <w:r>
        <w:rPr>
          <w:rFonts w:hint="eastAsia" w:ascii="Songti SC" w:hAnsi="Songti SC" w:eastAsia="Songti SC" w:cs="Songti SC"/>
          <w:color w:val="333333"/>
          <w:sz w:val="22"/>
        </w:rPr>
        <w:t>患者与照护者用 · 请把这张纸放在血压计旁边</w:t>
      </w:r>
    </w:p>
    <w:p w14:paraId="00000003">
      <w:pPr>
        <w:pStyle w:val="000003"/>
        <w:keepNext/>
        <w:keepLines/>
        <w:pageBreakBefore w:val="0"/>
        <w:shd w:val="clear" w:fill="ffffff"/>
        <w:spacing w:before="100" w:beforeAutospacing="0" w:after="40" w:afterAutospacing="0" w:line="264" w:lineRule="auto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ongti SC" w:hAnsi="Songti SC" w:eastAsia="Songti SC" w:cs="Songti SC"/>
          <w:b w:val="1"/>
          <w:color w:val="000000"/>
          <w:sz w:val="30"/>
        </w:rPr>
        <w:t>一、测量前准备</w:t>
      </w:r>
    </w:p>
    <w:p w14:paraId="00000004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1. 用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经过验证的上臂式电子血压计</w:t>
      </w:r>
      <w:r>
        <w:rPr>
          <w:rFonts w:hint="eastAsia" w:ascii="Songti SC" w:hAnsi="Songti SC" w:eastAsia="Songti SC" w:cs="Songti SC"/>
          <w:color w:val="000000"/>
          <w:sz w:val="28"/>
        </w:rPr>
        <w:t>，袖带大小要合适；特殊人群先问医生这台血压计是否适合。</w:t>
      </w:r>
    </w:p>
    <w:p w14:paraId="00000005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 xml:space="preserve">2. 测量前 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30 分钟</w:t>
      </w:r>
      <w:r>
        <w:rPr>
          <w:rFonts w:hint="eastAsia" w:ascii="Songti SC" w:hAnsi="Songti SC" w:eastAsia="Songti SC" w:cs="Songti SC"/>
          <w:color w:val="000000"/>
          <w:sz w:val="28"/>
        </w:rPr>
        <w:t>内：不吸烟、不喝含咖啡因的饮料、不运动。</w:t>
      </w:r>
    </w:p>
    <w:p w14:paraId="00000006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3. 先去厕所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排空小便</w:t>
      </w:r>
      <w:r>
        <w:rPr>
          <w:rFonts w:hint="eastAsia" w:ascii="Songti SC" w:hAnsi="Songti SC" w:eastAsia="Songti SC" w:cs="Songti SC"/>
          <w:color w:val="000000"/>
          <w:sz w:val="28"/>
        </w:rPr>
        <w:t>，再坐下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安静休息至少 5 分钟</w:t>
      </w:r>
      <w:r>
        <w:rPr>
          <w:rFonts w:hint="eastAsia" w:ascii="Songti SC" w:hAnsi="Songti SC" w:eastAsia="Songti SC" w:cs="Songti SC"/>
          <w:color w:val="000000"/>
          <w:sz w:val="28"/>
        </w:rPr>
        <w:t>。</w:t>
      </w:r>
    </w:p>
    <w:p w14:paraId="00000007">
      <w:pPr>
        <w:pStyle w:val="000003"/>
        <w:keepNext/>
        <w:keepLines/>
        <w:pageBreakBefore w:val="0"/>
        <w:shd w:val="clear" w:fill="ffffff"/>
        <w:spacing w:before="100" w:beforeAutospacing="0" w:after="40" w:afterAutospacing="0" w:line="264" w:lineRule="auto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ongti SC" w:hAnsi="Songti SC" w:eastAsia="Songti SC" w:cs="Songti SC"/>
          <w:b w:val="1"/>
          <w:color w:val="000000"/>
          <w:sz w:val="30"/>
        </w:rPr>
        <w:t>二、测量时注意</w:t>
      </w:r>
    </w:p>
    <w:p w14:paraId="00000008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4. 按设备说明放好袖带，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直接贴在上臂皮肤</w:t>
      </w:r>
      <w:r>
        <w:rPr>
          <w:rFonts w:hint="eastAsia" w:ascii="Songti SC" w:hAnsi="Songti SC" w:eastAsia="Songti SC" w:cs="Songti SC"/>
          <w:color w:val="000000"/>
          <w:sz w:val="28"/>
        </w:rPr>
        <w:t>上，不隔着衣服量。</w:t>
      </w:r>
    </w:p>
    <w:p w14:paraId="00000009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5. 手臂放桌上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放稳</w:t>
      </w:r>
      <w:r>
        <w:rPr>
          <w:rFonts w:hint="eastAsia" w:ascii="Songti SC" w:hAnsi="Songti SC" w:eastAsia="Songti SC" w:cs="Songti SC"/>
          <w:color w:val="000000"/>
          <w:sz w:val="28"/>
        </w:rPr>
        <w:t>，袖带中间和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心脏同样高</w:t>
      </w:r>
      <w:r>
        <w:rPr>
          <w:rFonts w:hint="eastAsia" w:ascii="Songti SC" w:hAnsi="Songti SC" w:eastAsia="Songti SC" w:cs="Songti SC"/>
          <w:color w:val="000000"/>
          <w:sz w:val="28"/>
        </w:rPr>
        <w:t>。</w:t>
      </w:r>
    </w:p>
    <w:p w14:paraId="0000000A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6. 测量时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保持安静</w:t>
      </w:r>
      <w:r>
        <w:rPr>
          <w:rFonts w:hint="eastAsia" w:ascii="Songti SC" w:hAnsi="Songti SC" w:eastAsia="Songti SC" w:cs="Songti SC"/>
          <w:color w:val="000000"/>
          <w:sz w:val="28"/>
        </w:rPr>
        <w:t>：不说话，不看手机。</w:t>
      </w:r>
    </w:p>
    <w:p w14:paraId="0000000B">
      <w:pPr>
        <w:pStyle w:val="000003"/>
        <w:keepNext/>
        <w:keepLines/>
        <w:pageBreakBefore w:val="0"/>
        <w:shd w:val="clear" w:fill="ffffff"/>
        <w:spacing w:before="100" w:beforeAutospacing="0" w:after="40" w:afterAutospacing="0" w:line="264" w:lineRule="auto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ongti SC" w:hAnsi="Songti SC" w:eastAsia="Songti SC" w:cs="Songti SC"/>
          <w:b w:val="1"/>
          <w:color w:val="000000"/>
          <w:sz w:val="30"/>
        </w:rPr>
        <w:t>三、读数和记录</w:t>
      </w:r>
    </w:p>
    <w:p w14:paraId="0000000C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ascii="Songti SC" w:hAnsi="Songti SC" w:eastAsia="Songti SC" w:cs="Songti SC"/>
          <w:color w:val="000000"/>
          <w:sz w:val="28"/>
        </w:rPr>
        <w:t xml:space="preserve">7. 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量 1 次血压＝连着量 2 遍，两遍中间隔 1 分钟</w:t>
      </w:r>
      <w:r>
        <w:rPr>
          <w:rFonts w:hint="eastAsia" w:ascii="Songti SC" w:hAnsi="Songti SC" w:eastAsia="Songti SC" w:cs="Songti SC"/>
          <w:color w:val="000000"/>
          <w:sz w:val="28"/>
        </w:rPr>
        <w:t>，把 2 遍的数都记在记录本上。</w:t>
      </w:r>
    </w:p>
    <w:p w14:paraId="0000000D">
      <w:pPr>
        <w:keepNext w:val="0"/>
        <w:keepLines/>
        <w:pageBreakBefore w:val="0"/>
        <w:shd w:val="clear" w:fill="ffffff"/>
        <w:spacing w:before="0" w:after="40" w:line="264" w:lineRule="auto"/>
        <w:ind w:left="360" w:right="0"/>
        <w:rPr>
          <w:color w:val="000000"/>
        </w:rPr>
      </w:pPr>
      <w:r>
        <w:rPr>
          <w:rFonts w:hint="eastAsia" w:ascii="Songti SC" w:hAnsi="Songti SC" w:eastAsia="Songti SC" w:cs="Songti SC"/>
          <w:b w:val="1"/>
          <w:color w:val="000000"/>
          <w:sz w:val="28"/>
        </w:rPr>
        <w:t>这里的两遍不代表每天的测量次数；每天几次、什么时间测按医生安排，请医生帮您写在下面的空格里。</w:t>
      </w:r>
    </w:p>
    <w:p w14:paraId="0000000E">
      <w:pPr>
        <w:pStyle w:val="000003"/>
        <w:keepNext/>
        <w:keepLines/>
        <w:pageBreakBefore w:val="0"/>
        <w:shd w:val="clear" w:fill="ffffff"/>
        <w:spacing w:before="100" w:beforeAutospacing="0" w:after="40" w:afterAutospacing="0" w:line="264" w:lineRule="auto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ongti SC" w:hAnsi="Songti SC" w:eastAsia="Songti SC" w:cs="Songti SC"/>
          <w:b w:val="1"/>
          <w:color w:val="000000"/>
          <w:sz w:val="30"/>
        </w:rPr>
        <w:t>四、复诊时</w:t>
      </w:r>
    </w:p>
    <w:p w14:paraId="0000000F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8. 带上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血压记录本和血压计</w:t>
      </w:r>
      <w:r>
        <w:rPr>
          <w:rFonts w:hint="eastAsia" w:ascii="Songti SC" w:hAnsi="Songti SC" w:eastAsia="Songti SC" w:cs="Songti SC"/>
          <w:color w:val="000000"/>
          <w:sz w:val="28"/>
        </w:rPr>
        <w:t>，和医生一起核对。不要只凭一次读数自己下诊断。</w:t>
      </w:r>
    </w:p>
    <w:p w14:paraId="00000010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hint="eastAsia" w:ascii="Songti SC" w:hAnsi="Songti SC" w:eastAsia="Songti SC" w:cs="Songti SC"/>
          <w:color w:val="000000"/>
          <w:sz w:val="28"/>
        </w:rPr>
        <w:t>9. 在家量血压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不能代替</w:t>
      </w:r>
      <w:r>
        <w:rPr>
          <w:rFonts w:hint="eastAsia" w:ascii="Songti SC" w:hAnsi="Songti SC" w:eastAsia="Songti SC" w:cs="Songti SC"/>
          <w:color w:val="000000"/>
          <w:sz w:val="28"/>
        </w:rPr>
        <w:t>去医院随访。</w:t>
      </w:r>
    </w:p>
    <w:p w14:paraId="00000011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rFonts w:ascii="Songti SC" w:hAnsi="Songti SC" w:eastAsia="Songti SC" w:cs="Songti SC"/>
          <w:color w:val="000000"/>
          <w:sz w:val="28"/>
        </w:rPr>
        <w:t xml:space="preserve">10. </w:t>
      </w:r>
      <w:r>
        <w:rPr>
          <w:rFonts w:hint="eastAsia" w:ascii="Songti SC" w:hAnsi="Songti SC" w:eastAsia="Songti SC" w:cs="Songti SC"/>
          <w:b w:val="1"/>
          <w:color w:val="000000"/>
          <w:sz w:val="28"/>
        </w:rPr>
        <w:t>不要自己改药或停药</w:t>
      </w:r>
      <w:r>
        <w:rPr>
          <w:rFonts w:hint="eastAsia" w:ascii="Songti SC" w:hAnsi="Songti SC" w:eastAsia="Songti SC" w:cs="Songti SC"/>
          <w:color w:val="000000"/>
          <w:sz w:val="28"/>
        </w:rPr>
        <w:t>；用药调整先和医生商量。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</w:tblBorders>
        <w:tblW w:w="5000" w:type="pct"/>
      </w:tblPr>
      <w:tblGrid>
        <w:gridCol w:w="10318"/>
      </w:tblGrid>
      <w:tr>
        <w:tc>
          <w:tcPr>
            <w:tcW w:type="dxa" w:w="10318"/>
          </w:tcPr>
          <w:p>
            <w:pPr>
              <w:spacing w:after="40"/>
            </w:pPr>
            <w:r>
              <w:rPr>
                <w:rFonts w:ascii="Songti SC" w:hAnsi="Songti SC" w:eastAsia="Songti SC" w:cs="Songti SC"/>
                <w:b/>
                <w:sz w:val="28"/>
              </w:rPr>
              <w:t>出现以下情况，请立即就医或拨打 120</w:t>
            </w:r>
            <w:r>
              <w:rPr>
                <w:rFonts w:ascii="Songti SC" w:hAnsi="Songti SC" w:eastAsia="Songti SC" w:cs="Songti SC"/>
                <w:b w:val="0"/>
                <w:sz w:val="28"/>
              </w:rPr>
              <w:t>（由医生填写并签字）：</w:t>
            </w:r>
          </w:p>
          <w:p>
            <w:pPr>
              <w:spacing w:after="0"/>
              <w:pBdr>
                <w:bottom w:val="single" w:sz="6" w:color="000000"/>
              </w:pBdr>
            </w:pPr>
            <w:r>
              <w:rPr>
                <w:rFonts w:ascii="Songti SC" w:hAnsi="Songti SC" w:eastAsia="Songti SC" w:cs="Songti SC"/>
                <w:b w:val="0"/>
                <w:sz w:val="28"/>
              </w:rPr>
              <w:t xml:space="preserve"> </w:t>
            </w:r>
          </w:p>
          <w:p>
            <w:pPr>
              <w:spacing w:after="0"/>
              <w:pBdr>
                <w:bottom w:val="single" w:sz="6" w:color="000000"/>
              </w:pBdr>
            </w:pPr>
            <w:r>
              <w:rPr>
                <w:rFonts w:ascii="Songti SC" w:hAnsi="Songti SC" w:eastAsia="Songti SC" w:cs="Songti SC"/>
                <w:b w:val="0"/>
                <w:sz w:val="28"/>
              </w:rPr>
              <w:t xml:space="preserve"> </w:t>
            </w:r>
          </w:p>
        </w:tc>
      </w:tr>
    </w:tbl>
    <w:p/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1160"/>
        <w:gridCol w:w="666"/>
        <w:gridCol w:w="920"/>
        <w:gridCol w:w="666"/>
        <w:gridCol w:w="920"/>
        <w:gridCol w:w="666"/>
        <w:gridCol w:w="666"/>
      </w:tblGrid>
      <w:tr>
        <w:trPr/>
        <w:tc>
          <w:tcPr>
            <w:tcW w:w="2640" w:type="dxa"/>
            <w:tcMar>
              <w:top w:w="20" w:type="dxa"/>
              <w:left w:w="0" w:type="dxa"/>
              <w:bottom w:w="20" w:type="dxa"/>
              <w:right w:w="40" w:type="dxa"/>
            </w:tcMar>
            <w:vAlign w:val="bottom"/>
          </w:tcPr>
          <w:p w14:paraId="00000012">
            <w:pPr>
              <w:spacing w:before="0" w:after="20" w:line="264" w:lineRule="auto"/>
              <w:rPr>
                <w:color w:val="000000"/>
              </w:rPr>
            </w:pPr>
            <w:r>
              <w:rPr>
                <w:rFonts w:hint="eastAsia" w:ascii="Songti SC" w:hAnsi="Songti SC" w:eastAsia="Songti SC" w:cs="Songti SC"/>
                <w:color w:val="000000"/>
                <w:sz w:val="28"/>
              </w:rPr>
              <w:t>下次随访日期：</w:t>
            </w:r>
          </w:p>
        </w:tc>
        <w:tc>
          <w:tcPr>
            <w:tcW w:w="1160" w:type="dxa"/>
            <w:tcBorders>
              <w:bottom w:val="single" w:color="000000" w:sz="6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bottom"/>
          </w:tcPr>
          <w:p w14:paraId="00000013">
            <w:pPr>
              <w:spacing w:before="0" w:after="20" w:line="264" w:lineRule="auto"/>
              <w:rPr>
                <w:color w:val="000000"/>
              </w:rPr>
            </w:pPr>
          </w:p>
        </w:tc>
        <w:tc>
          <w:tcPr>
            <w:tcW w:w="666" w:type="dxa"/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00014">
            <w:pPr>
              <w:spacing w:before="0" w:after="20" w:line="264" w:lineRule="auto"/>
              <w:rPr>
                <w:color w:val="000000"/>
              </w:rPr>
            </w:pPr>
            <w:r>
              <w:rPr>
                <w:rFonts w:hint="eastAsia" w:ascii="Songti SC" w:hAnsi="Songti SC" w:eastAsia="Songti SC" w:cs="Songti SC"/>
                <w:color w:val="000000"/>
                <w:sz w:val="28"/>
              </w:rPr>
              <w:t>年</w:t>
            </w:r>
          </w:p>
        </w:tc>
        <w:tc>
          <w:tcPr>
            <w:tcW w:w="920" w:type="dxa"/>
            <w:tcBorders>
              <w:bottom w:val="single" w:color="000000" w:sz="6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bottom"/>
          </w:tcPr>
          <w:p w14:paraId="00000015">
            <w:pPr>
              <w:spacing w:before="0" w:after="20" w:line="264" w:lineRule="auto"/>
              <w:rPr>
                <w:color w:val="000000"/>
              </w:rPr>
            </w:pPr>
          </w:p>
        </w:tc>
        <w:tc>
          <w:tcPr>
            <w:tcW w:w="666" w:type="dxa"/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00016">
            <w:pPr>
              <w:spacing w:before="0" w:after="20" w:line="264" w:lineRule="auto"/>
              <w:rPr>
                <w:color w:val="000000"/>
              </w:rPr>
            </w:pPr>
            <w:r>
              <w:rPr>
                <w:rFonts w:hint="eastAsia" w:ascii="Songti SC" w:hAnsi="Songti SC" w:eastAsia="Songti SC" w:cs="Songti SC"/>
                <w:color w:val="000000"/>
                <w:sz w:val="28"/>
              </w:rPr>
              <w:t>月</w:t>
            </w:r>
          </w:p>
        </w:tc>
        <w:tc>
          <w:tcPr>
            <w:tcW w:w="920" w:type="dxa"/>
            <w:tcBorders>
              <w:bottom w:val="single" w:color="000000" w:sz="6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bottom"/>
          </w:tcPr>
          <w:p w14:paraId="00000017">
            <w:pPr>
              <w:spacing w:before="0" w:after="20" w:line="264" w:lineRule="auto"/>
              <w:rPr>
                <w:color w:val="000000"/>
              </w:rPr>
            </w:pPr>
          </w:p>
        </w:tc>
        <w:tc>
          <w:tcPr>
            <w:tcW w:w="666" w:type="dxa"/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00018">
            <w:pPr>
              <w:spacing w:before="0" w:after="20" w:line="264" w:lineRule="auto"/>
              <w:rPr>
                <w:color w:val="000000"/>
              </w:rPr>
            </w:pPr>
            <w:r>
              <w:rPr>
                <w:rFonts w:hint="eastAsia" w:ascii="Songti SC" w:hAnsi="Songti SC" w:eastAsia="Songti SC" w:cs="Songti SC"/>
                <w:color w:val="000000"/>
                <w:sz w:val="28"/>
              </w:rPr>
              <w:t>日</w:t>
            </w:r>
          </w:p>
        </w:tc>
        <w:tc>
          <w:tcPr>
            <w:tcW w:w="666" w:type="dxa"/>
            <w:tcBorders>
              <w:bottom w:val="single" w:color="000000" w:sz="6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bottom"/>
          </w:tcPr>
          <w:p w14:paraId="00000019">
            <w:pPr>
              <w:spacing w:before="0" w:after="20" w:line="264" w:lineRule="auto"/>
              <w:rPr>
                <w:color w:val="000000"/>
              </w:rPr>
            </w:pPr>
          </w:p>
        </w:tc>
      </w:tr>
    </w:tbl>
    <w:p w14:paraId="0000001A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sz w:val="4"/>
        </w:rPr>
        <w:t xml:space="preserve"> 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5666"/>
      </w:tblGrid>
      <w:tr>
        <w:trPr/>
        <w:tc>
          <w:tcPr>
            <w:tcW w:w="2640" w:type="dxa"/>
            <w:tcMar>
              <w:top w:w="20" w:type="dxa"/>
              <w:left w:w="0" w:type="dxa"/>
              <w:bottom w:w="20" w:type="dxa"/>
              <w:right w:w="40" w:type="dxa"/>
            </w:tcMar>
            <w:vAlign w:val="bottom"/>
          </w:tcPr>
          <w:p w14:paraId="0000001B">
            <w:pPr>
              <w:spacing w:before="0" w:after="20" w:line="264" w:lineRule="auto"/>
              <w:rPr>
                <w:color w:val="000000"/>
              </w:rPr>
            </w:pPr>
            <w:r>
              <w:rPr>
                <w:rFonts w:hint="eastAsia" w:ascii="Songti SC" w:hAnsi="Songti SC" w:eastAsia="Songti SC" w:cs="Songti SC"/>
                <w:color w:val="000000"/>
                <w:sz w:val="28"/>
              </w:rPr>
              <w:t>科室联系电话：</w:t>
            </w:r>
          </w:p>
        </w:tc>
        <w:tc>
          <w:tcPr>
            <w:tcW w:w="5666" w:type="dxa"/>
            <w:tcBorders>
              <w:bottom w:val="single" w:color="000000" w:sz="6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bottom"/>
          </w:tcPr>
          <w:p w14:paraId="0000001C">
            <w:pPr>
              <w:spacing w:before="0" w:after="20" w:line="264" w:lineRule="auto"/>
              <w:rPr>
                <w:color w:val="000000"/>
              </w:rPr>
            </w:pPr>
          </w:p>
        </w:tc>
      </w:tr>
    </w:tbl>
    <w:p w14:paraId="0000001D">
      <w:pPr>
        <w:keepNext w:val="0"/>
        <w:keepLines/>
        <w:pageBreakBefore w:val="0"/>
        <w:shd w:val="clear" w:fill="ffffff"/>
        <w:spacing w:before="0" w:after="40" w:line="264" w:lineRule="auto"/>
        <w:ind w:left="0" w:right="0"/>
        <w:rPr>
          <w:color w:val="000000"/>
        </w:rPr>
      </w:pPr>
      <w:r>
        <w:rPr>
          <w:sz w:val="4"/>
        </w:rPr>
        <w:t xml:space="preserve"> 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80"/>
        <w:gridCol w:w="3826"/>
      </w:tblGrid>
      <w:tr>
        <w:trPr/>
        <w:tc>
          <w:tcPr>
            <w:tcW w:w="4480" w:type="dxa"/>
            <w:tcMar>
              <w:top w:w="20" w:type="dxa"/>
              <w:left w:w="0" w:type="dxa"/>
              <w:bottom w:w="20" w:type="dxa"/>
              <w:right w:w="40" w:type="dxa"/>
            </w:tcMar>
            <w:vAlign w:val="bottom"/>
          </w:tcPr>
          <w:p w14:paraId="0000001E">
            <w:pPr>
              <w:spacing w:before="0" w:after="20" w:line="264" w:lineRule="auto"/>
              <w:rPr>
                <w:color w:val="000000"/>
              </w:rPr>
            </w:pPr>
            <w:r>
              <w:rPr>
                <w:rFonts w:hint="eastAsia" w:ascii="Songti SC" w:hAnsi="Songti SC" w:eastAsia="Songti SC" w:cs="Songti SC"/>
                <w:color w:val="000000"/>
                <w:sz w:val="28"/>
              </w:rPr>
              <w:t>每天测量几次、什么时间测：</w:t>
            </w:r>
          </w:p>
        </w:tc>
        <w:tc>
          <w:tcPr>
            <w:tcW w:w="3826" w:type="dxa"/>
            <w:tcBorders>
              <w:bottom w:val="single" w:color="000000" w:sz="6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bottom"/>
          </w:tcPr>
          <w:p w14:paraId="0000001F">
            <w:pPr>
              <w:spacing w:before="0" w:after="20" w:line="264" w:lineRule="auto"/>
              <w:rPr>
                <w:color w:val="000000"/>
              </w:rPr>
            </w:pPr>
          </w:p>
        </w:tc>
      </w:tr>
    </w:tbl>
    <w:p w14:paraId="00000020">
      <w:pPr>
        <w:keepNext w:val="0"/>
        <w:keepLines/>
        <w:pageBreakBefore w:val="0"/>
        <w:pBdr>
          <w:top w:val="single" w:color="999999" w:sz="6" w:space="2"/>
        </w:pBdr>
        <w:shd w:val="clear" w:fill="ffffff"/>
        <w:spacing w:before="0" w:after="40" w:line="264" w:lineRule="auto"/>
        <w:ind w:left="0" w:right="0"/>
        <w:rPr>
          <w:color w:val="444444"/>
        </w:rPr>
      </w:pPr>
      <w:r>
        <w:rPr>
          <w:rFonts w:hint="eastAsia" w:ascii="Songti SC" w:hAnsi="Songti SC" w:eastAsia="Songti SC" w:cs="Songti SC"/>
          <w:color w:val="444444"/>
          <w:sz w:val="20"/>
        </w:rPr>
        <w:t>来源：美国心脏协会（AHA）家庭血压监测页面（2026-10-30核对）；以医生意见为准。</w:t>
      </w:r>
    </w:p>
    <w:p>
      <w:pPr>
        <w:keepNext w:val="0"/>
        <w:keepLines/>
        <w:pageBreakBefore w:val="0"/>
        <w:spacing w:before="0" w:after="40" w:line="264" w:lineRule="auto"/>
        <w:rPr>
          <w:sz w:val="2"/>
          <w:szCs w:val="2"/>
        </w:rPr>
      </w:pPr>
    </w:p>
    <w:sectPr>
      <w:pgSz w:w="11906" w:h="16838"/>
      <w:pgMar w:top="737" w:right="794" w:bottom="680" w:left="794" w:header="227" w:footer="227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2" w:semiHidden="1" w:unhideWhenUsed="1"/>
    <w:lsdException w:name="Body Text First Indent" w:semiHidden="1" w:unhideWhenUsed="1"/>
    <w:lsdException w:name="heading 1" w:uiPriority="9" w:qFormat="1"/>
    <w:lsdException w:name="Date" w:semiHidden="1" w:unhideWhenUsed="1"/>
    <w:lsdException w:name="annotation reference" w:semiHidden="1" w:unhideWhenUsed="1"/>
    <w:lsdException w:name="toa heading" w:semiHidden="1" w:unhideWhenUsed="1"/>
    <w:lsdException w:name="Hyperlink" w:semiHidden="1" w:unhideWhenUsed="1"/>
    <w:lsdException w:name="index 2" w:semiHidden="1" w:unhideWhenUsed="1"/>
    <w:lsdException w:name="List Number" w:semiHidden="1" w:unhideWhenUsed="1"/>
    <w:lsdException w:name="toc 3" w:uiPriority="39" w:semiHidden="1" w:unhideWhenUsed="1"/>
    <w:lsdException w:name="Default Paragraph Font" w:uiPriority="1" w:semiHidden="1" w:unhideWhenUsed="1"/>
    <w:lsdException w:name="Body Text Indent 3" w:semiHidden="1" w:unhideWhenUsed="1"/>
    <w:lsdException w:name="table of figures" w:semiHidden="1" w:unhideWhenUsed="1"/>
    <w:lsdException w:name="heading 9" w:uiPriority="9" w:semiHidden="1" w:unhideWhenUsed="1" w:qFormat="1"/>
    <w:lsdException w:name="index 7" w:semiHidden="1" w:unhideWhenUsed="1"/>
    <w:lsdException w:name="List Bullet 3" w:semiHidden="1" w:unhideWhenUsed="1"/>
    <w:lsdException w:name="footnote text" w:semiHidden="1" w:unhideWhenUsed="1"/>
    <w:lsdException w:name="heading 3" w:uiPriority="9" w:semiHidden="1" w:unhideWhenUsed="1" w:qFormat="1"/>
    <w:lsdException w:name="Subtitle" w:uiPriority="11" w:qFormat="1"/>
    <w:lsdException w:name="List Continue 5" w:semiHidden="1" w:unhideWhenUsed="1"/>
    <w:lsdException w:name="Strong" w:uiPriority="22" w:qFormat="1"/>
    <w:lsdException w:name="Body Text Indent" w:semiHidden="1" w:unhideWhenUsed="1"/>
    <w:lsdException w:name="List Continue 2" w:semiHidden="1" w:unhideWhenUsed="1"/>
    <w:lsdException w:name="toc 8" w:uiPriority="39" w:semiHidden="1" w:unhideWhenUsed="1"/>
    <w:lsdException w:name="toc 2" w:uiPriority="39" w:semiHidden="1" w:unhideWhenUsed="1"/>
    <w:lsdException w:name="heading 7" w:uiPriority="9" w:semiHidden="1" w:unhideWhenUsed="1" w:qFormat="1"/>
    <w:lsdException w:name="FollowedHyperlink" w:semiHidden="1" w:unhideWhenUsed="1"/>
    <w:lsdException w:name="toc 9" w:uiPriority="39" w:semiHidden="1" w:unhideWhenUsed="1"/>
    <w:lsdException w:name="Body Text" w:semiHidden="1" w:unhideWhenUsed="1"/>
    <w:lsdException w:name="Note Heading" w:semiHidden="1" w:unhideWhenUsed="1"/>
    <w:lsdException w:name="endnote text" w:semiHidden="1" w:unhideWhenUsed="1"/>
    <w:lsdException w:name="index 3" w:semiHidden="1" w:unhideWhenUsed="1"/>
    <w:lsdException w:name="Body Text 3" w:semiHidden="1" w:unhideWhenUsed="1"/>
    <w:lsdException w:name="List 3" w:semiHidden="1" w:unhideWhenUsed="1"/>
    <w:lsdException w:name="heading 6" w:uiPriority="9" w:semiHidden="1" w:unhideWhenUsed="1" w:qFormat="1"/>
    <w:lsdException w:name="Closing" w:semiHidden="1" w:unhideWhenUsed="1"/>
    <w:lsdException w:name="Title" w:uiPriority="10" w:qFormat="1"/>
    <w:lsdException w:name="envelope address" w:semiHidden="1" w:unhideWhenUsed="1"/>
    <w:lsdException w:name="Normal Indent" w:semiHidden="1" w:unhideWhenUsed="1"/>
    <w:lsdException w:name="List 5" w:semiHidden="1" w:unhideWhenUsed="1"/>
    <w:lsdException w:name="footnote reference" w:semiHidden="1" w:unhideWhenUsed="1"/>
    <w:lsdException w:name="List Number 5" w:semiHidden="1" w:unhideWhenUsed="1"/>
    <w:lsdException w:name="table of authorities" w:semiHidden="1" w:unhideWhenUsed="1"/>
    <w:lsdException w:name="Block Text" w:semiHidden="1" w:unhideWhenUsed="1"/>
    <w:lsdException w:name="index 1" w:semiHidden="1" w:unhideWhenUsed="1"/>
    <w:lsdException w:name="index heading" w:semiHidden="1" w:unhideWhenUsed="1"/>
    <w:lsdException w:name="toc 4" w:uiPriority="39" w:semiHidden="1" w:unhideWhenUsed="1"/>
    <w:lsdException w:name="toc 6" w:uiPriority="39" w:semiHidden="1" w:unhideWhenUsed="1"/>
    <w:lsdException w:name="List Number 4" w:semiHidden="1" w:unhideWhenUsed="1"/>
    <w:lsdException w:name="heading 5" w:uiPriority="9" w:semiHidden="1" w:unhideWhenUsed="1" w:qFormat="1"/>
    <w:lsdException w:name="List Bullet 4" w:semiHidden="1" w:unhideWhenUsed="1"/>
    <w:lsdException w:name="index 9" w:semiHidden="1" w:unhideWhenUsed="1"/>
    <w:lsdException w:name="toc 5" w:uiPriority="39" w:semiHidden="1" w:unhideWhenUsed="1"/>
    <w:lsdException w:name="endnote reference" w:semiHidden="1" w:unhideWhenUsed="1"/>
    <w:lsdException w:name="header" w:semiHidden="1" w:unhideWhenUsed="1"/>
    <w:lsdException w:name="footer" w:semiHidden="1" w:unhideWhenUsed="1"/>
    <w:lsdException w:name="Body Text Indent 2" w:semiHidden="1" w:unhideWhenUsed="1"/>
    <w:lsdException w:name="toc 7" w:uiPriority="39" w:semiHidden="1" w:unhideWhenUsed="1"/>
    <w:lsdException w:name="List Number 3" w:semiHidden="1" w:unhideWhenUsed="1"/>
    <w:lsdException w:name="List" w:semiHidden="1" w:unhideWhenUsed="1"/>
    <w:lsdException w:name="Normal" w:uiPriority="0" w:qFormat="1"/>
    <w:lsdException w:name="List 4" w:semiHidden="1" w:unhideWhenUsed="1"/>
    <w:lsdException w:name="line number" w:semiHidden="1" w:unhideWhenUsed="1"/>
    <w:lsdException w:name="List 2" w:semiHidden="1" w:unhideWhenUsed="1"/>
    <w:lsdException w:name="index 6" w:semiHidden="1" w:unhideWhenUsed="1"/>
    <w:lsdException w:name="heading 8" w:uiPriority="9" w:semiHidden="1" w:unhideWhenUsed="1" w:qFormat="1"/>
    <w:lsdException w:name="caption" w:uiPriority="35" w:semiHidden="1" w:unhideWhenUsed="1" w:qFormat="1"/>
    <w:lsdException w:name="page number" w:semiHidden="1" w:unhideWhenUsed="1"/>
    <w:lsdException w:name="annotation text" w:semiHidden="1" w:unhideWhenUsed="1"/>
    <w:lsdException w:name="index 8" w:semiHidden="1" w:unhideWhenUsed="1"/>
    <w:lsdException w:name="Body Text First Indent 2" w:semiHidden="1" w:unhideWhenUsed="1"/>
    <w:lsdException w:name="Body Text 2" w:semiHidden="1" w:unhideWhenUsed="1"/>
    <w:lsdException w:name="Signature" w:semiHidden="1" w:unhideWhenUsed="1"/>
    <w:lsdException w:name="envelope return" w:semiHidden="1" w:unhideWhenUsed="1"/>
    <w:lsdException w:name="List Continue 4" w:semiHidden="1" w:unhideWhenUsed="1"/>
    <w:lsdException w:name="macro" w:semiHidden="1" w:unhideWhenUsed="1"/>
    <w:lsdException w:name="Message Header" w:semiHidden="1" w:unhideWhenUsed="1"/>
    <w:lsdException w:name="List Continue" w:semiHidden="1" w:unhideWhenUsed="1"/>
    <w:lsdException w:name="index 5" w:semiHidden="1" w:unhideWhenUsed="1"/>
    <w:lsdException w:name="heading 4" w:uiPriority="9" w:semiHidden="1" w:unhideWhenUsed="1" w:qFormat="1"/>
    <w:lsdException w:name="List Bullet 5" w:semiHidden="1" w:unhideWhenUsed="1"/>
    <w:lsdException w:name="index 4" w:semiHidden="1" w:unhideWhenUsed="1"/>
    <w:lsdException w:name="List Bullet" w:semiHidden="1" w:unhideWhenUsed="1"/>
    <w:lsdException w:name="List Continue 3" w:semiHidden="1" w:unhideWhenUsed="1"/>
    <w:lsdException w:name="Salutation" w:semiHidden="1" w:unhideWhenUsed="1"/>
    <w:lsdException w:name="List Number 2" w:semiHidden="1" w:unhideWhenUsed="1"/>
    <w:lsdException w:name="heading 2" w:uiPriority="9" w:semiHidden="1" w:unhideWhenUsed="1" w:qFormat="1"/>
    <w:lsdException w:name="toc 1" w:uiPriority="39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1" Type="http://schemas.openxmlformats.org/officeDocument/2006/relationships/settings" Target="settings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2026-11-02T01:27:10Z</dcterms:created>
  <dcterms:modified xsi:type="dcterms:W3CDTF">2026-11-02T01:27:10Z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"01a1981bf3ef7fdaa0a04cdcd0945155", "ReservedCode1": "", "ContentPropagator": "00119111010856365494821B355", "PropagateID": "01a1981bf3ef7fdaa0a04cdcd0945155", "ReservedCode2": ""}}</vt:lpwstr>
  </property>
</Properties>
</file>