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PingFang SC"/>
          <w:sz w:val="22"/>
        </w:rPr>
        <w:t xml:space="preserve">合成转诊摘要</w:t>
      </w:r>
    </w:p>
    <w:p>
      <w:r>
        <w:rPr>
          <w:rFonts w:eastAsia="PingFang SC"/>
          <w:sz w:val="22"/>
        </w:rPr>
        <w:t xml:space="preserve">姓名 SYNTH_V2_P015_8fd2a5ba5fee</w:t>
      </w:r>
    </w:p>
    <w:p>
      <w:r>
        <w:rPr>
          <w:rFonts w:eastAsia="PingFang SC"/>
          <w:sz w:val="22"/>
        </w:rPr>
        <w:t xml:space="preserve">男，1962年生</w:t>
      </w:r>
    </w:p>
    <w:p>
      <w:r>
        <w:rPr>
          <w:rFonts w:eastAsia="PingFang SC"/>
          <w:sz w:val="22"/>
        </w:rPr>
        <w:t xml:space="preserve">预约项目：甲状腺功能、电解质。此页尚未回报结果，无测量数值。</w:t>
      </w:r>
    </w:p>
    <w:sectPr>
      <w:pgSz w:w="11906" w:h="16838"/>
    </w:sectPr>
  </w:body>
</w:document>
</file>