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SYNTH_V2_P031_e1de48855b2f</w:t>
      </w:r>
    </w:p>
    <w:p>
      <w:r>
        <w:rPr>
          <w:rFonts w:eastAsia="PingFang SC"/>
          <w:sz w:val="22"/>
        </w:rPr>
        <w:t xml:space="preserve">男，1978年生</w:t>
      </w:r>
    </w:p>
    <w:p>
      <w:r>
        <w:rPr>
          <w:rFonts w:eastAsia="PingFang SC"/>
          <w:sz w:val="22"/>
        </w:rPr>
        <w:t xml:space="preserve">吸烟史：仍吸烟，累计33年。饮酒史：每月1次少量饮酒。职业接触史：曾在喷漆岗位接触粉尘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检验复核记录</w:t>
      </w:r>
    </w:p>
    <w:p>
      <w:r>
        <w:rPr>
          <w:rFonts w:eastAsia="PingFang SC"/>
          <w:sz w:val="22"/>
        </w:rPr>
        <w:t xml:space="preserve">2026/8/10 血糖 168 mg/dL；26-06-12 血红蛋白 150 g/L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2026年9月11日 营养随访</w:t>
      </w:r>
    </w:p>
    <w:p>
      <w:r>
        <w:rPr>
          <w:rFonts w:eastAsia="PingFang SC"/>
          <w:sz w:val="22"/>
        </w:rPr>
        <w:t xml:space="preserve">带来社区转诊单，检查伤口周围皮肤和活动范围，没有自行调整原来剂量。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临床印象</w:t>
      </w:r>
    </w:p>
    <w:p>
      <w:r>
        <w:rPr>
          <w:rFonts w:eastAsia="PingFang SC"/>
          <w:sz w:val="22"/>
        </w:rPr>
        <w:t xml:space="preserve">2026/8/10 确诊：COPD</w:t>
      </w:r>
    </w:p>
    <w:p>
      <w:r>
        <w:rPr>
          <w:rFonts w:eastAsia="PingFang SC"/>
          <w:sz w:val="22"/>
        </w:rPr>
        <w:t xml:space="preserve">2026/8/10 影像提示：肝囊肿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7月13日 术后换药</w:t>
      </w:r>
    </w:p>
    <w:p>
      <w:r>
        <w:rPr>
          <w:rFonts w:eastAsia="PingFang SC"/>
          <w:sz w:val="22"/>
        </w:rPr>
        <w:t xml:space="preserve">切口拆线后复诊，局部轻度牵拉感，无渗血及分泌物。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预约项目：甲状腺功能、电解质。此页尚未回报结果，无测量数值。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处方核对</w:t>
      </w:r>
    </w:p>
    <w:p>
      <w:r>
        <w:rPr>
          <w:rFonts w:eastAsia="PingFang SC"/>
          <w:sz w:val="22"/>
        </w:rPr>
        <w:t xml:space="preserve">二甲双胍 500mg，tid，正在服用</w:t>
      </w:r>
    </w:p>
    <w:sectPr>
      <w:pgSz w:w="11906" w:h="16838"/>
    </w:sectPr>
  </w:body>
</w:document>
</file>