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合成出院复诊资料</w:t>
      </w:r>
    </w:p>
    <w:p>
      <w:r>
        <w:rPr>
          <w:rFonts w:eastAsia="PingFang SC"/>
          <w:sz w:val="22"/>
        </w:rPr>
        <w:t xml:space="preserve">姓名 SYNTH_V2_P032_a5824c9ec63a</w:t>
      </w:r>
    </w:p>
    <w:p>
      <w:r>
        <w:rPr>
          <w:rFonts w:eastAsia="PingFang SC"/>
          <w:sz w:val="22"/>
        </w:rPr>
        <w:t xml:space="preserve">女，1979年生</w:t>
      </w:r>
    </w:p>
    <w:p>
      <w:r>
        <w:rPr>
          <w:rFonts w:eastAsia="PingFang SC"/>
          <w:sz w:val="22"/>
        </w:rPr>
        <w:t xml:space="preserve">2026-08-16 术后换药</w:t>
      </w:r>
    </w:p>
    <w:p>
      <w:r>
        <w:rPr>
          <w:rFonts w:eastAsia="PingFang SC"/>
          <w:sz w:val="22"/>
        </w:rPr>
        <w:t xml:space="preserve">术后步行距离逐渐延长，夜间伤口瘙痒，没有红肿扩散。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26-06-14 康复评估</w:t>
      </w:r>
    </w:p>
    <w:p>
      <w:r>
        <w:rPr>
          <w:rFonts w:eastAsia="PingFang SC"/>
          <w:sz w:val="22"/>
        </w:rPr>
        <w:t xml:space="preserve">带来随访登记册，检查伤口周围皮肤和活动范围，所有停药情况均已单独记录。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饮酒史：每月2次少量饮酒。职业接触史：曾在木材加工岗位接触粉尘</w:t>
      </w:r>
    </w:p>
    <w:sectPr>
      <w:pgSz w:w="11906" w:h="16838"/>
    </w:sectPr>
  </w:body>
</w:document>
</file>