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eastAsia="PingFang SC"/>
          <w:sz w:val="22"/>
        </w:rPr>
        <w:t xml:space="preserve">合成随访记录</w:t>
      </w:r>
    </w:p>
    <w:p>
      <w:r>
        <w:rPr>
          <w:rFonts w:eastAsia="PingFang SC"/>
          <w:sz w:val="22"/>
        </w:rPr>
        <w:t xml:space="preserve">姓名 SYNTH_V2_P022_8343fabe47c2</w:t>
      </w:r>
    </w:p>
    <w:p>
      <w:r>
        <w:rPr>
          <w:rFonts w:eastAsia="PingFang SC"/>
          <w:sz w:val="22"/>
        </w:rPr>
        <w:t xml:space="preserve">女，1969年生</w:t>
      </w:r>
    </w:p>
    <w:p>
      <w:r>
        <w:rPr>
          <w:rFonts w:eastAsia="PingFang SC"/>
          <w:sz w:val="22"/>
        </w:rPr>
        <w:t xml:space="preserve">预约项目：血脂、尿常规。此页尚未回报结果，无测量数值。</w:t>
      </w:r>
    </w:p>
    <w:p>
      <w:r>
        <w:rPr>
          <w:rFonts w:eastAsia="PingFang SC"/>
          <w:sz w:val="22"/>
        </w:rPr>
        <w:t xml:space="preserve"/>
      </w:r>
    </w:p>
    <w:p>
      <w:r>
        <w:rPr>
          <w:rFonts w:eastAsia="PingFang SC"/>
          <w:sz w:val="22"/>
        </w:rPr>
        <w:t xml:space="preserve">评估结论</w:t>
      </w:r>
    </w:p>
    <w:p>
      <w:r>
        <w:rPr>
          <w:rFonts w:eastAsia="PingFang SC"/>
          <w:sz w:val="22"/>
        </w:rPr>
        <w:t xml:space="preserve">2026年7月10日 慢性肾脏病 [confirmed]；2026年7月10日 甲状腺结节 [finding]；26-08-11 肾囊肿 [finding]</w:t>
      </w:r>
    </w:p>
    <w:p>
      <w:r>
        <w:rPr>
          <w:rFonts w:eastAsia="PingFang SC"/>
          <w:sz w:val="22"/>
        </w:rPr>
        <w:t xml:space="preserve"/>
      </w:r>
    </w:p>
    <w:p>
      <w:r>
        <w:rPr>
          <w:rFonts w:eastAsia="PingFang SC"/>
          <w:sz w:val="22"/>
        </w:rPr>
        <w:t xml:space="preserve">26-08-11 处方核对</w:t>
      </w:r>
    </w:p>
    <w:p>
      <w:r>
        <w:rPr>
          <w:rFonts w:eastAsia="PingFang SC"/>
          <w:sz w:val="22"/>
        </w:rPr>
        <w:t xml:space="preserve">带来出院处方，比较水肿程度及每日体重变化，近期未使用草药制剂。</w:t>
      </w:r>
    </w:p>
    <w:p>
      <w:r>
        <w:rPr>
          <w:rFonts w:eastAsia="PingFang SC"/>
          <w:sz w:val="22"/>
        </w:rPr>
        <w:t xml:space="preserve"/>
      </w:r>
    </w:p>
    <w:p>
      <w:r>
        <w:rPr>
          <w:rFonts w:eastAsia="PingFang SC"/>
          <w:sz w:val="22"/>
        </w:rPr>
        <w:t xml:space="preserve">吸烟史：已戒烟，累计24年。饮酒史：每月4次少量饮酒。职业接触史：曾在矿石加工岗位接触粉尘</w:t>
      </w:r>
    </w:p>
    <w:p>
      <w:r>
        <w:rPr>
          <w:rFonts w:eastAsia="PingFang SC"/>
          <w:sz w:val="22"/>
        </w:rPr>
        <w:t xml:space="preserve"/>
      </w:r>
    </w:p>
    <w:p>
      <w:r>
        <w:rPr>
          <w:rFonts w:eastAsia="PingFang SC"/>
          <w:sz w:val="22"/>
        </w:rPr>
        <w:t xml:space="preserve">2026-06-13 肾功能复核</w:t>
      </w:r>
    </w:p>
    <w:p>
      <w:r>
        <w:rPr>
          <w:rFonts w:eastAsia="PingFang SC"/>
          <w:sz w:val="22"/>
        </w:rPr>
        <w:t xml:space="preserve">泡沫尿持续存在，未见肉眼血尿，腰部没有叩击痛。</w:t>
      </w:r>
    </w:p>
    <w:p>
      <w:r>
        <w:rPr>
          <w:rFonts w:eastAsia="PingFang SC"/>
          <w:sz w:val="22"/>
        </w:rPr>
        <w:t xml:space="preserve"/>
      </w:r>
    </w:p>
    <w:p>
      <w:r>
        <w:rPr>
          <w:rFonts w:eastAsia="PingFang SC"/>
          <w:sz w:val="22"/>
        </w:rPr>
        <w:t xml:space="preserve">处方核对</w:t>
      </w:r>
    </w:p>
    <w:p>
      <w:r>
        <w:rPr>
          <w:rFonts w:eastAsia="PingFang SC"/>
          <w:sz w:val="22"/>
        </w:rPr>
        <w:t xml:space="preserve">氨氯地平 5mg，每日两次，active</w:t>
      </w:r>
    </w:p>
    <w:sectPr>
      <w:pgSz w:w="11906" w:h="16838"/>
    </w:sectPr>
  </w:body>
</w:document>
</file>