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合成转诊摘要</w:t>
      </w:r>
    </w:p>
    <w:p>
      <w:r>
        <w:rPr>
          <w:rFonts w:eastAsia="PingFang SC"/>
          <w:sz w:val="22"/>
        </w:rPr>
        <w:t xml:space="preserve">姓名 SYNTH_V2_P023_6980cf775fec</w:t>
      </w:r>
    </w:p>
    <w:p>
      <w:r>
        <w:rPr>
          <w:rFonts w:eastAsia="PingFang SC"/>
          <w:sz w:val="22"/>
        </w:rPr>
        <w:t xml:space="preserve">男，1970年生</w:t>
      </w:r>
    </w:p>
    <w:p>
      <w:r>
        <w:rPr>
          <w:rFonts w:eastAsia="PingFang SC"/>
          <w:sz w:val="22"/>
        </w:rPr>
        <w:t xml:space="preserve">9月14日 营养随访</w:t>
      </w:r>
    </w:p>
    <w:p>
      <w:r>
        <w:rPr>
          <w:rFonts w:eastAsia="PingFang SC"/>
          <w:sz w:val="22"/>
        </w:rPr>
        <w:t xml:space="preserve">带来社区转诊单，比较水肿程度及每日体重变化，没有自行调整原来剂量。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预约项目：甲状腺功能、电解质。此页尚未回报结果，无测量数值。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饮酒史：每月5次少量饮酒。职业接触史：曾在喷漆岗位接触粉尘</w:t>
      </w:r>
    </w:p>
    <w:sectPr>
      <w:pgSz w:w="11906" w:h="16838"/>
    </w:sectPr>
  </w:body>
</w:document>
</file>