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3D91"/>
          <w:sz w:val="44"/>
          <w:szCs w:val="44"/>
        </w:rPr>
        <w:t xml:space="preserve">Project Requirements Specification</w:t>
      </w:r>
    </w:p>
    <w:p>
      <w:pPr>
        <w:spacing w:after="60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SplitStack 1.0.0 — Shared Expense Management System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As-built specification for the final project submission</w:t>
      </w:r>
    </w:p>
    <w:p>
      <w:pPr>
        <w:spacing w:after="80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Version: 1.0 FINAL  ·  Date: May 12, 2026  ·  Supersedes: 2026-02 Project Requirements Specification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Revision Note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document is the as-built v1.0 requirements specification for the final SplitStack submission. It supersedes the February 2026 three-phase requirements specification. Phase 2 and Phase 3 items from the original document that were not implemented are recorded in the "Out of Scope" table below and tracked separately as future work; they are not part of v1.0 functional requirements.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1. Functional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functional requirements describe behavior implemented in SplitStack 1.0.0.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580"/>
      </w:tblGrid>
      <w:tr>
        <w:trPr>
          <w:tblHeader/>
        </w:trP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Feature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register with name, email, and password, log in to a persistent session, log out, and select a profile avatar.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Management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Authenticated users create shared groups, set a group type and voting threshold, edit group settings, leave groups, and (as owner) delete groups.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Email Invitations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owners invite members by email. Invitees see pending invites in their workspace and can accept or decline.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Expense Entry (Shared)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members add expenses with amount, description, category, date, merchant, and an optional reason or receipt image.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Expense Splits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Expenses support equal, percent, and custom split methods. Percent and custom splits are validated before save.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Personal Expenses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record personal (non-group) expenses under a "self" workspace flow.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Receipt Upload and OCR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upload receipt images (JPEG, PNG, WebP, GIF, HEIC, HEIF). The Flutter client extracts merchant, date, and total via on-device or web OCR.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FR-8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Threshold-Based Voting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Expenses above the group threshold create a pending vote. Members can approve, decline, or undo their vote. Status is tracked.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FR-9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Balance Calculation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The system computes per-member balances and outstanding payment relationships from approved expenses only.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FR-10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Members record settlements against expenses with payment status (open, paid, payer). Payers and payees receive notifications.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FR-11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Personal Budgeting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set a monthly budget and per-category limits, and view progress on the dashboard.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FR-12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Analytics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review total spending, average monthly spend, expense counts, per-group and per-category totals, top expenses, and monthly trends with drill-down.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FR-13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Challenges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Members create group savings/spending challenges with a goal, end date, and contribution log. Progress rings update as members contribute.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FR-14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Users receive notifications for invites, vote requests, vote outcomes, settlements, and challenge updates.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FR-15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SplitStack Assistant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 workspace-aware AI assistant answers questions over live workspace data. Powered by Gemini when GEMINI_API_KEY is configured, with a deterministic local fallback otherwise.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FR-16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Assistant Action Proposals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The assistant can propose budget updates, expense logs, challenge creation/contributions, settlement recording, and vote responses. All write actions require explicit user confirmation.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FR-17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All users, groups, invites, expenses, votes, settlements, notifications, settings, budgets, and challenges persist in SQLite across restarts.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FR-18</w:t>
            </w:r>
          </w:p>
        </w:tc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Cross-Platform Clients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Functionality is delivered through a React/Vite web client and a Flutter mobile client. The mobile client targets iOS, Android, web, and desktop with auto-selected API base URLs.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2. Non-Functional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Non-functional requirements describe quality attributes of the delivered system, each with an objective verification criterion.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40"/>
        <w:gridCol w:w="4540"/>
      </w:tblGrid>
      <w:tr>
        <w:trPr>
          <w:tblHeader/>
        </w:trP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ID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NFR-1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Performance — primary read/write actions feel responsive on local backend.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p95 expense-create and dashboard-read responses ≤ 500 ms in local test runs.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NFR-2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Availability — the backend stays reachable during a demo session.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Health check endpoint returns 200 for the duration of the demo window.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NFR-3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Security — users only access their own and accepted-group data.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Automated tests attempt cross-user access and expect 401/403 on every protected route.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NFR-4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Integrity — balances reflect only approved expenses.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Test suite compares computed balances against expected values for representative split scenarios.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NFR-5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Validation — splits and amounts cannot persist in invalid states.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Backend rejects negative amounts, mismatched percent/custom totals, and unknown category strings with 400 responses.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NFR-6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Receipt Safety — uploaded receipts are size- and type-checked.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Backend rejects non-image uploads and oversized files; valid types (JPEG, PNG, WebP, GIF, HEIC, HEIF) succeed.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NFR-7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Assistant Safety — assistant cannot silently change account data.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Every assistant-proposed write action surfaces a confirmation step before persisting.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NFR-8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Usability — primary workflows complete without training.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Three reviewers complete the demo flow (register → add expense → split → vote → settle) without external help.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NFR-9</w:t>
            </w:r>
          </w:p>
        </w:tc>
        <w:tc>
          <w:tcPr>
            <w:tcW w:type="dxa" w:w="40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Portability — clients run on common student hardware.</w:t>
            </w:r>
          </w:p>
        </w:tc>
        <w:tc>
          <w:tcPr>
            <w:tcW w:type="dxa" w:w="454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Web client runs in current Chrome/Edge/Safari; mobile client builds for iOS Simulator and Android Emulator with documented setup.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3. Domain-Specific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Domain rules unique to shared-expense management as implemented in v1.0.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ID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Domain rule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DSR-1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Shared-expense ledger is deterministic. Re-computing balances from the recorded expenses produces the same outcome every time.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DSR-2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 single source of truth per group. Every accepted member sees the same expenses, votes, balances, and settlements.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DSR-3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Threshold-based governance. Expenses above the group threshold are excluded from balances until a vote resolves them as approved.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DSR-4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Personal vs. shared separation. Personal expenses never appear on shared dashboards and never affect group balances.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DSR-5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Settlement traceability. Each settlement points to a specific expense and updates payment status for the payer and payee.</w:t>
            </w:r>
          </w:p>
        </w:tc>
      </w:tr>
      <w:tr>
        <w:tc>
          <w:tcPr>
            <w:tcW w:type="dxa" w:w="1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DSR-6</w:t>
            </w:r>
          </w:p>
        </w:tc>
        <w:tc>
          <w:tcPr>
            <w:tcW w:type="dxa" w:w="8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Assistant write actions are user-confirmed. Account-changing assistant suggestions never persist without an explicit user confirmation step.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4. Scope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Items in the left column are present in v1.0. Items in the right column are deliberate deferrals.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80"/>
      </w:tblGrid>
      <w:tr>
        <w:trPr>
          <w:tblHeader/>
        </w:trP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In scope (delivered)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Out of scope (deferred / future work)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React/Vite web app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Production cloud deployment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Flutter mobile app (iOS, Android, web, desktop)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Real payment-rail transfers (Stripe, Plaid)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Express REST API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Subscription tiers and billing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SQLite persistence with bootstrap schema/migrations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Premium gating, priority support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Receipt OCR (on-device and web)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Blockchain audit trail / on-chain verification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SplitStack AI assistant (Gemini + local fallback)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Gamification badges and streaks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Push notifications and email/SMS delivery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Personal budgets and analytics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Anomaly detection and subscription detection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challenges with progress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Data export (CSV/Excel) and custom expense categories</w:t>
            </w:r>
          </w:p>
        </w:tc>
      </w:tr>
      <w:tr>
        <w:tc>
          <w:tcPr>
            <w:tcW w:type="dxa" w:w="45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Functional, technical, and QA documentation</w:t>
            </w:r>
          </w:p>
        </w:tc>
        <w:tc>
          <w:tcPr>
            <w:tcW w:type="dxa" w:w="55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Production observability, backups, and incident response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5. Actors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Actor</w:t>
            </w:r>
          </w:p>
        </w:tc>
        <w:tc>
          <w:tcPr>
            <w:tcW w:type="dxa" w:w="70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DCE5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Member</w:t>
            </w:r>
          </w:p>
        </w:tc>
        <w:tc>
          <w:tcPr>
            <w:tcW w:type="dxa" w:w="70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 standard authenticated user. Adds expenses, votes, settles, sets budgets, tracks challenges, chats with the assistant, and views their workspace dashboard.</w:t>
            </w:r>
          </w:p>
        </w:tc>
      </w:tr>
      <w:tr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Group Owner</w:t>
            </w:r>
          </w:p>
        </w:tc>
        <w:tc>
          <w:tcPr>
            <w:tcW w:type="dxa" w:w="70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A Group Member with elevated privileges for the groups they own. Configures the voting threshold, invites and removes members, edits group settings, and deletes the group.</w:t>
            </w:r>
          </w:p>
        </w:tc>
      </w:tr>
      <w:tr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SplitStack Assistant</w:t>
            </w:r>
          </w:p>
        </w:tc>
        <w:tc>
          <w:tcPr>
            <w:tcW w:type="dxa" w:w="70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Internal Gemini-backed (or local-fallback) service that answers workspace questions and proposes confirmable write actions.</w:t>
            </w:r>
          </w:p>
        </w:tc>
      </w:tr>
      <w:tr>
        <w:tc>
          <w:tcPr>
            <w:tcW w:type="dxa" w:w="300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OCR Service (on-device)</w:t>
            </w:r>
          </w:p>
        </w:tc>
        <w:tc>
          <w:tcPr>
            <w:tcW w:type="dxa" w:w="7080"/>
            <w:tcBorders>
              <w:top w:val="single" w:color="C0C7D6" w:sz="4"/>
              <w:left w:val="single" w:color="C0C7D6" w:sz="4"/>
              <w:bottom w:val="single" w:color="C0C7D6" w:sz="4"/>
              <w:right w:val="single" w:color="C0C7D6" w:sz="4"/>
            </w:tcBorders>
            <w:shd w:fill="F4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02020"/>
                <w:sz w:val="20"/>
                <w:szCs w:val="20"/>
              </w:rPr>
              <w:t xml:space="preserve">Mobile/web OCR pathway used to autofill expense fields from receipt images.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6. Implemented Use Cases (Summary)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 the companion document SplitStack_Use_Cases_v1.0_FINAL.docx for full use-case detail. Implemented use cases include: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Register account and authenticate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group; edit group; delete group; leave group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Invite member by email; accept/decline invite; remove member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shared expense with equal/percent/custom split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personal expense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Upload receipt and autofill via OCR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Cast vote on threshold-exceeding expense (approve/decline/undo)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group dashboard and member balances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Record settlement against an expense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Set monthly budget and per-category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analytics (trends, top expenses, category totals, drill-down)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 group challenge and contribute progress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notifications (invites, votes, settlements, challenges)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Chat with the SplitStack assistant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Confirm assistant-proposed action before it persists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7. Traceability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functional requirement above maps to one or more test cases in docs/splitstack_test_case_specification.md, and to source files manifested in docs/project_source_code_manifest.md. The traceability matrix in the Test Case Specification is the authoritative cross-reference.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B3D91"/>
          <w:sz w:val="28"/>
          <w:szCs w:val="28"/>
        </w:rPr>
        <w:t xml:space="preserve">8. Acceptance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SplitStack 1.0.0 is considered accepted when: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reviewer can register, log in, create or join a group, add an expense, split it, and view updated balances.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 above-threshold expense triggers a vote and only impacts balances after the vote resolves to approved.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 reviewer can record a settlement, set a budget, contribute to a challenge, upload a receipt, and chat with the assistant.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Source code builds on a documented developer machine and every deliverable in the assignment list maps to a file in this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SplitStack 1.0.0 — Project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Requirements Specification</dc:title>
  <dc:creator>SplitStack Project Team</dc:creator>
  <dc:description>SplitStack 1.0.0 — Shared Expense Management System</dc:description>
  <cp:lastModifiedBy>Un-named</cp:lastModifiedBy>
  <cp:revision>1</cp:revision>
  <dcterms:created xsi:type="dcterms:W3CDTF">2026-05-13T01:50:01.820Z</dcterms:created>
  <dcterms:modified xsi:type="dcterms:W3CDTF">2026-05-13T01:50:01.821Z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