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740"/>
        <w:gridCol w:w="9232"/>
      </w:tblGrid>
      <w:tr>
        <w:trPr/>
        <w:tc>
          <w:tcPr>
            <w:tcW w:w="740" w:type="dxa"/>
            <w:tcBorders/>
            <w:shd w:fill="FFFFFF" w:val="clear"/>
          </w:tcPr>
          <w:p>
            <w:pPr>
              <w:pStyle w:val="TableContents"/>
              <w:bidi w:val="0"/>
              <w:spacing w:before="0" w:after="0"/>
              <w:ind w:left="0" w:right="0" w:hanging="0"/>
              <w:jc w:val="left"/>
              <w:rPr/>
            </w:pPr>
            <w:r>
              <w:rPr/>
              <w:t>17.1.1</w:t>
            </w:r>
          </w:p>
        </w:tc>
        <w:tc>
          <w:tcPr>
            <w:tcW w:w="9232" w:type="dxa"/>
            <w:tcBorders/>
            <w:shd w:fill="FFFFFF" w:val="clear"/>
          </w:tcPr>
          <w:p>
            <w:pPr>
              <w:pStyle w:val="TableContents"/>
              <w:bidi w:val="0"/>
              <w:spacing w:before="0" w:after="0"/>
              <w:ind w:left="0" w:right="0" w:hanging="0"/>
              <w:jc w:val="left"/>
              <w:rPr/>
            </w:pPr>
            <w:r>
              <w:rPr/>
              <w:br/>
              <w:t>I/We agree to discontinue the Physical Statements being sent to me.</w:t>
            </w:r>
          </w:p>
        </w:tc>
      </w:tr>
      <w:tr>
        <w:trPr/>
        <w:tc>
          <w:tcPr>
            <w:tcW w:w="740" w:type="dxa"/>
            <w:tcBorders/>
            <w:shd w:fill="FFFFFF" w:val="clear"/>
          </w:tcPr>
          <w:p>
            <w:pPr>
              <w:pStyle w:val="TableContents"/>
              <w:bidi w:val="0"/>
              <w:spacing w:before="0" w:after="0"/>
              <w:ind w:left="0" w:right="0" w:hanging="0"/>
              <w:jc w:val="left"/>
              <w:rPr/>
            </w:pPr>
            <w:r>
              <w:rPr/>
              <w:t>17.1.2</w:t>
            </w:r>
          </w:p>
        </w:tc>
        <w:tc>
          <w:tcPr>
            <w:tcW w:w="9232" w:type="dxa"/>
            <w:tcBorders/>
            <w:shd w:fill="FFFFFF" w:val="clear"/>
          </w:tcPr>
          <w:p>
            <w:pPr>
              <w:pStyle w:val="TableContents"/>
              <w:bidi w:val="0"/>
              <w:spacing w:before="0" w:after="0"/>
              <w:ind w:left="0" w:right="0" w:hanging="0"/>
              <w:jc w:val="left"/>
              <w:rPr/>
            </w:pPr>
            <w:r>
              <w:rPr/>
              <w:t>I/We understand that the email statements are for my/our convenience. HDFC Bank shall not be liable or responsible for any breach of secrecy because the statements are being sent to the registered email ID.</w:t>
            </w:r>
          </w:p>
        </w:tc>
      </w:tr>
      <w:tr>
        <w:trPr/>
        <w:tc>
          <w:tcPr>
            <w:tcW w:w="740" w:type="dxa"/>
            <w:tcBorders/>
            <w:shd w:fill="FFFFFF" w:val="clear"/>
          </w:tcPr>
          <w:p>
            <w:pPr>
              <w:pStyle w:val="TableContents"/>
              <w:bidi w:val="0"/>
              <w:spacing w:before="0" w:after="0"/>
              <w:ind w:left="0" w:right="0" w:hanging="0"/>
              <w:jc w:val="left"/>
              <w:rPr/>
            </w:pPr>
            <w:r>
              <w:rPr/>
              <w:t>17.1.3</w:t>
            </w:r>
          </w:p>
        </w:tc>
        <w:tc>
          <w:tcPr>
            <w:tcW w:w="9232" w:type="dxa"/>
            <w:tcBorders/>
            <w:shd w:fill="FFFFFF" w:val="clear"/>
          </w:tcPr>
          <w:p>
            <w:pPr>
              <w:pStyle w:val="TableContents"/>
              <w:bidi w:val="0"/>
              <w:spacing w:before="0" w:after="0"/>
              <w:ind w:left="0" w:right="0" w:hanging="0"/>
              <w:jc w:val="left"/>
              <w:rPr/>
            </w:pPr>
            <w:r>
              <w:rPr/>
              <w:t>I/We shall verify the authenticity of the emails I/We receive.I/We shall not hold the Bank responsible for any statement received from frauds/imposters.I/We shall not hold the Bank liable if any problem arises with my/our computer network because of me/ us receiving statements from the Bank.</w:t>
            </w:r>
          </w:p>
        </w:tc>
      </w:tr>
      <w:tr>
        <w:trPr/>
        <w:tc>
          <w:tcPr>
            <w:tcW w:w="740" w:type="dxa"/>
            <w:tcBorders/>
            <w:shd w:fill="FFFFFF" w:val="clear"/>
          </w:tcPr>
          <w:p>
            <w:pPr>
              <w:pStyle w:val="TableContents"/>
              <w:bidi w:val="0"/>
              <w:spacing w:before="0" w:after="0"/>
              <w:ind w:left="0" w:right="0" w:hanging="0"/>
              <w:jc w:val="left"/>
              <w:rPr/>
            </w:pPr>
            <w:r>
              <w:rPr/>
              <w:t>17.1.4</w:t>
            </w:r>
          </w:p>
        </w:tc>
        <w:tc>
          <w:tcPr>
            <w:tcW w:w="9232" w:type="dxa"/>
            <w:tcBorders/>
            <w:shd w:fill="FFFFFF" w:val="clear"/>
          </w:tcPr>
          <w:p>
            <w:pPr>
              <w:pStyle w:val="TableContents"/>
              <w:bidi w:val="0"/>
              <w:spacing w:before="0" w:after="0"/>
              <w:ind w:left="0" w:right="0" w:hanging="0"/>
              <w:jc w:val="left"/>
              <w:rPr/>
            </w:pPr>
            <w:r>
              <w:rPr/>
              <w:t>I/We are authorised by the other holders to receive the Statements in the registered email address.</w:t>
            </w:r>
          </w:p>
        </w:tc>
      </w:tr>
      <w:tr>
        <w:trPr/>
        <w:tc>
          <w:tcPr>
            <w:tcW w:w="740" w:type="dxa"/>
            <w:tcBorders/>
            <w:shd w:fill="FFFFFF" w:val="clear"/>
          </w:tcPr>
          <w:p>
            <w:pPr>
              <w:pStyle w:val="TableContents"/>
              <w:bidi w:val="0"/>
              <w:spacing w:before="0" w:after="0"/>
              <w:ind w:left="0" w:right="0" w:hanging="0"/>
              <w:jc w:val="left"/>
              <w:rPr/>
            </w:pPr>
            <w:r>
              <w:rPr/>
              <w:t>17.1.5</w:t>
            </w:r>
          </w:p>
        </w:tc>
        <w:tc>
          <w:tcPr>
            <w:tcW w:w="9232" w:type="dxa"/>
            <w:tcBorders/>
            <w:shd w:fill="FFFFFF" w:val="clear"/>
          </w:tcPr>
          <w:p>
            <w:pPr>
              <w:pStyle w:val="TableContents"/>
              <w:bidi w:val="0"/>
              <w:spacing w:before="0" w:after="0"/>
              <w:ind w:left="0" w:right="0" w:hanging="0"/>
              <w:jc w:val="left"/>
              <w:rPr/>
            </w:pPr>
            <w:r>
              <w:rPr/>
              <w:t>I/We shall inform the Bank in writing if there is any change in the information given .</w:t>
            </w:r>
          </w:p>
        </w:tc>
      </w:tr>
      <w:tr>
        <w:trPr/>
        <w:tc>
          <w:tcPr>
            <w:tcW w:w="740" w:type="dxa"/>
            <w:tcBorders/>
            <w:shd w:fill="FFFFFF" w:val="clear"/>
          </w:tcPr>
          <w:p>
            <w:pPr>
              <w:pStyle w:val="TableContents"/>
              <w:bidi w:val="0"/>
              <w:spacing w:before="0" w:after="0"/>
              <w:ind w:left="0" w:right="0" w:hanging="0"/>
              <w:jc w:val="left"/>
              <w:rPr/>
            </w:pPr>
            <w:r>
              <w:rPr/>
              <w:t>17.1.6</w:t>
            </w:r>
          </w:p>
        </w:tc>
        <w:tc>
          <w:tcPr>
            <w:tcW w:w="9232" w:type="dxa"/>
            <w:tcBorders/>
            <w:shd w:fill="FFFFFF" w:val="clear"/>
          </w:tcPr>
          <w:p>
            <w:pPr>
              <w:pStyle w:val="TableContents"/>
              <w:bidi w:val="0"/>
              <w:spacing w:before="0" w:after="0"/>
              <w:ind w:left="0" w:right="0" w:hanging="0"/>
              <w:jc w:val="left"/>
              <w:rPr/>
            </w:pPr>
            <w:r>
              <w:rPr/>
              <w:t>The Bank shall not be responsible if I/we do not receive statement due to incorrect email address and technical reasons.</w:t>
            </w:r>
          </w:p>
        </w:tc>
      </w:tr>
      <w:tr>
        <w:trPr/>
        <w:tc>
          <w:tcPr>
            <w:tcW w:w="740" w:type="dxa"/>
            <w:tcBorders/>
            <w:shd w:fill="FFFFFF" w:val="clear"/>
          </w:tcPr>
          <w:p>
            <w:pPr>
              <w:pStyle w:val="TableContents"/>
              <w:bidi w:val="0"/>
              <w:spacing w:before="0" w:after="0"/>
              <w:ind w:left="0" w:right="0" w:hanging="0"/>
              <w:jc w:val="left"/>
              <w:rPr/>
            </w:pPr>
            <w:r>
              <w:rPr/>
              <w:t>17.1.7</w:t>
            </w:r>
          </w:p>
        </w:tc>
        <w:tc>
          <w:tcPr>
            <w:tcW w:w="9232" w:type="dxa"/>
            <w:tcBorders/>
            <w:shd w:fill="FFFFFF" w:val="clear"/>
          </w:tcPr>
          <w:p>
            <w:pPr>
              <w:pStyle w:val="TableContents"/>
              <w:bidi w:val="0"/>
              <w:spacing w:before="0" w:after="0"/>
              <w:ind w:left="0" w:right="0" w:hanging="0"/>
              <w:jc w:val="left"/>
              <w:rPr/>
            </w:pPr>
            <w:r>
              <w:rPr/>
              <w:t>I/We confirm to have read and understood the Terms &amp; Conditions.</w:t>
            </w:r>
          </w:p>
        </w:tc>
      </w:tr>
      <w:tr>
        <w:trPr/>
        <w:tc>
          <w:tcPr>
            <w:tcW w:w="740" w:type="dxa"/>
            <w:tcBorders/>
            <w:shd w:fill="FFFFFF" w:val="clear"/>
          </w:tcPr>
          <w:p>
            <w:pPr>
              <w:pStyle w:val="TableContents"/>
              <w:bidi w:val="0"/>
              <w:spacing w:before="0" w:after="0"/>
              <w:ind w:left="0" w:right="0" w:hanging="0"/>
              <w:jc w:val="left"/>
              <w:rPr/>
            </w:pPr>
            <w:r>
              <w:rPr/>
              <w:t>17.1.8</w:t>
            </w:r>
          </w:p>
        </w:tc>
        <w:tc>
          <w:tcPr>
            <w:tcW w:w="9232" w:type="dxa"/>
            <w:tcBorders/>
            <w:shd w:fill="FFFFFF" w:val="clear"/>
          </w:tcPr>
          <w:p>
            <w:pPr>
              <w:pStyle w:val="TableContents"/>
              <w:bidi w:val="0"/>
              <w:spacing w:before="0" w:after="0"/>
              <w:ind w:left="0" w:right="0" w:hanging="0"/>
              <w:jc w:val="left"/>
              <w:rPr/>
            </w:pPr>
            <w:r>
              <w:rPr/>
              <w:t>This registration will override any "Hold Statement" facility availed in the past</w:t>
            </w:r>
          </w:p>
        </w:tc>
      </w:tr>
      <w:tr>
        <w:trPr/>
        <w:tc>
          <w:tcPr>
            <w:tcW w:w="740" w:type="dxa"/>
            <w:tcBorders/>
            <w:shd w:fill="FFFFFF" w:val="clear"/>
          </w:tcPr>
          <w:p>
            <w:pPr>
              <w:pStyle w:val="TableContents"/>
              <w:bidi w:val="0"/>
              <w:spacing w:before="0" w:after="0"/>
              <w:ind w:left="0" w:right="0" w:hanging="0"/>
              <w:jc w:val="left"/>
              <w:rPr/>
            </w:pPr>
            <w:r>
              <w:rPr/>
              <w:t>17.1.9</w:t>
            </w:r>
          </w:p>
        </w:tc>
        <w:tc>
          <w:tcPr>
            <w:tcW w:w="9232" w:type="dxa"/>
            <w:tcBorders/>
            <w:shd w:fill="FFFFFF" w:val="clear"/>
          </w:tcPr>
          <w:p>
            <w:pPr>
              <w:pStyle w:val="TableContents"/>
              <w:bidi w:val="0"/>
              <w:spacing w:before="0" w:after="0"/>
              <w:ind w:left="0" w:right="0" w:hanging="0"/>
              <w:jc w:val="left"/>
              <w:rPr/>
            </w:pPr>
            <w:r>
              <w:rPr/>
              <w:t>I / We authorize the Bank to send the monthly statement of account to our email id as mentioned in the account opening form. I / We understand that all accounts linked to the Customer ID of the 1st applicant will be registered for Free Email Statements.</w:t>
            </w:r>
          </w:p>
        </w:tc>
      </w:tr>
      <w:tr>
        <w:trPr/>
        <w:tc>
          <w:tcPr>
            <w:tcW w:w="740" w:type="dxa"/>
            <w:tcBorders/>
            <w:shd w:fill="FFFFFF" w:val="clear"/>
          </w:tcPr>
          <w:p>
            <w:pPr>
              <w:pStyle w:val="TableContents"/>
              <w:bidi w:val="0"/>
              <w:spacing w:before="0" w:after="0"/>
              <w:ind w:left="0" w:right="0" w:hanging="0"/>
              <w:jc w:val="left"/>
              <w:rPr/>
            </w:pPr>
            <w:r>
              <w:rPr/>
              <w:br/>
              <w:t>17.2.</w:t>
            </w:r>
          </w:p>
        </w:tc>
        <w:tc>
          <w:tcPr>
            <w:tcW w:w="9232" w:type="dxa"/>
            <w:tcBorders/>
            <w:shd w:fill="FFFFFF" w:val="clear"/>
          </w:tcPr>
          <w:p>
            <w:pPr>
              <w:pStyle w:val="TableContents"/>
              <w:bidi w:val="0"/>
              <w:spacing w:before="0" w:after="0"/>
              <w:ind w:left="0" w:right="0" w:hanging="0"/>
              <w:jc w:val="left"/>
              <w:rPr/>
            </w:pPr>
            <w:r>
              <w:rPr/>
              <w:br/>
            </w:r>
            <w:r>
              <w:rPr>
                <w:rStyle w:val="StrongEmphasis"/>
                <w:b/>
                <w:sz w:val="21"/>
              </w:rPr>
              <w:t>Important Note</w:t>
            </w:r>
          </w:p>
        </w:tc>
      </w:tr>
      <w:tr>
        <w:trPr/>
        <w:tc>
          <w:tcPr>
            <w:tcW w:w="740" w:type="dxa"/>
            <w:tcBorders/>
            <w:shd w:fill="FFFFFF" w:val="clear"/>
          </w:tcPr>
          <w:p>
            <w:pPr>
              <w:pStyle w:val="TableContents"/>
              <w:bidi w:val="0"/>
              <w:spacing w:before="0" w:after="0"/>
              <w:ind w:left="0" w:right="0" w:hanging="0"/>
              <w:jc w:val="left"/>
              <w:rPr/>
            </w:pPr>
            <w:r>
              <w:rPr/>
              <w:t>17.2.1</w:t>
            </w:r>
          </w:p>
        </w:tc>
        <w:tc>
          <w:tcPr>
            <w:tcW w:w="9232" w:type="dxa"/>
            <w:tcBorders/>
            <w:shd w:fill="FFFFFF" w:val="clear"/>
          </w:tcPr>
          <w:p>
            <w:pPr>
              <w:pStyle w:val="TableContents"/>
              <w:bidi w:val="0"/>
              <w:spacing w:before="0" w:after="0"/>
              <w:ind w:left="0" w:right="0" w:hanging="0"/>
              <w:jc w:val="left"/>
              <w:rPr/>
            </w:pPr>
            <w:r>
              <w:rPr/>
              <w:t>The Customer ID registered should be of the primary account holder only.</w:t>
            </w:r>
          </w:p>
        </w:tc>
      </w:tr>
      <w:tr>
        <w:trPr/>
        <w:tc>
          <w:tcPr>
            <w:tcW w:w="740" w:type="dxa"/>
            <w:tcBorders/>
            <w:shd w:fill="FFFFFF" w:val="clear"/>
          </w:tcPr>
          <w:p>
            <w:pPr>
              <w:pStyle w:val="TableContents"/>
              <w:bidi w:val="0"/>
              <w:spacing w:before="0" w:after="0"/>
              <w:ind w:left="0" w:right="0" w:hanging="0"/>
              <w:jc w:val="left"/>
              <w:rPr/>
            </w:pPr>
            <w:r>
              <w:rPr/>
              <w:t>17.2.2</w:t>
            </w:r>
          </w:p>
        </w:tc>
        <w:tc>
          <w:tcPr>
            <w:tcW w:w="9232" w:type="dxa"/>
            <w:tcBorders/>
            <w:shd w:fill="FFFFFF" w:val="clear"/>
          </w:tcPr>
          <w:p>
            <w:pPr>
              <w:pStyle w:val="TableContents"/>
              <w:bidi w:val="0"/>
              <w:spacing w:before="0" w:after="0"/>
              <w:ind w:left="0" w:right="0" w:hanging="0"/>
              <w:jc w:val="left"/>
              <w:rPr/>
            </w:pPr>
            <w:r>
              <w:rPr/>
              <w:t>Email Statements will not be dispatched incase a secondary account holder registers for the facility.</w:t>
            </w:r>
          </w:p>
        </w:tc>
      </w:tr>
      <w:tr>
        <w:trPr/>
        <w:tc>
          <w:tcPr>
            <w:tcW w:w="740" w:type="dxa"/>
            <w:tcBorders/>
            <w:shd w:fill="FFFFFF" w:val="clear"/>
          </w:tcPr>
          <w:p>
            <w:pPr>
              <w:pStyle w:val="TableContents"/>
              <w:bidi w:val="0"/>
              <w:spacing w:before="0" w:after="0"/>
              <w:ind w:left="0" w:right="0" w:hanging="0"/>
              <w:jc w:val="left"/>
              <w:rPr/>
            </w:pPr>
            <w:r>
              <w:rPr/>
              <w:t>17.2.3</w:t>
            </w:r>
          </w:p>
        </w:tc>
        <w:tc>
          <w:tcPr>
            <w:tcW w:w="9232" w:type="dxa"/>
            <w:tcBorders/>
            <w:shd w:fill="FFFFFF" w:val="clear"/>
          </w:tcPr>
          <w:p>
            <w:pPr>
              <w:pStyle w:val="TableContents"/>
              <w:bidi w:val="0"/>
              <w:spacing w:before="0" w:after="0"/>
              <w:ind w:left="0" w:right="0" w:hanging="0"/>
              <w:jc w:val="left"/>
              <w:rPr/>
            </w:pPr>
            <w:r>
              <w:rPr/>
              <w:t>For NRI /NRI Preferred Banking customers, who are currently availing combined monthly statement facility (across Savings, Current and Fixed Deposits), the combined statements would be discontinued and he / she shall receive separate email statements for only Savings and Current Accounts, where he / she is the first holder.</w:t>
              <w:br/>
              <w:t>Customers covered under Imperia, Preferred and Classic programmes will receive combined email statement for all accounts (across Savings, Current and Fixed Deposits) linked to the primary customer id. Combined Email Statement facility is available with monthly frequency only.</w:t>
            </w:r>
          </w:p>
        </w:tc>
      </w:tr>
      <w:tr>
        <w:trPr/>
        <w:tc>
          <w:tcPr>
            <w:tcW w:w="740" w:type="dxa"/>
            <w:tcBorders/>
            <w:shd w:fill="FFFFFF" w:val="clear"/>
          </w:tcPr>
          <w:p>
            <w:pPr>
              <w:pStyle w:val="TableContents"/>
              <w:bidi w:val="0"/>
              <w:spacing w:before="0" w:after="0"/>
              <w:ind w:left="0" w:right="0" w:hanging="0"/>
              <w:jc w:val="left"/>
              <w:rPr/>
            </w:pPr>
            <w:r>
              <w:rPr/>
              <w:t>17.2.4</w:t>
            </w:r>
          </w:p>
        </w:tc>
        <w:tc>
          <w:tcPr>
            <w:tcW w:w="9232" w:type="dxa"/>
            <w:tcBorders/>
            <w:shd w:fill="FFFFFF" w:val="clear"/>
          </w:tcPr>
          <w:p>
            <w:pPr>
              <w:pStyle w:val="TableContents"/>
              <w:bidi w:val="0"/>
              <w:spacing w:before="0" w:after="0"/>
              <w:ind w:left="0" w:right="0" w:hanging="0"/>
              <w:jc w:val="left"/>
              <w:rPr/>
            </w:pPr>
            <w:r>
              <w:rPr/>
              <w:t>For Email Statement registered customers, FD advice will be sent through email. Physical advice will be discontinued. Incase you wish to have a physical advice, you are requested to visit the nearest HDFC branch.</w:t>
            </w:r>
          </w:p>
        </w:tc>
      </w:tr>
      <w:tr>
        <w:trPr/>
        <w:tc>
          <w:tcPr>
            <w:tcW w:w="740" w:type="dxa"/>
            <w:tcBorders/>
            <w:shd w:fill="FFFFFF" w:val="clear"/>
          </w:tcPr>
          <w:p>
            <w:pPr>
              <w:pStyle w:val="TableContents"/>
              <w:bidi w:val="0"/>
              <w:spacing w:before="0" w:after="0"/>
              <w:ind w:left="0" w:right="0" w:hanging="0"/>
              <w:jc w:val="left"/>
              <w:rPr/>
            </w:pPr>
            <w:r>
              <w:rPr/>
              <w:t>17.2.5</w:t>
            </w:r>
          </w:p>
        </w:tc>
        <w:tc>
          <w:tcPr>
            <w:tcW w:w="9232" w:type="dxa"/>
            <w:tcBorders/>
            <w:shd w:fill="FFFFFF" w:val="clear"/>
          </w:tcPr>
          <w:p>
            <w:pPr>
              <w:pStyle w:val="TableContents"/>
              <w:bidi w:val="0"/>
              <w:spacing w:before="0" w:after="0"/>
              <w:ind w:left="0" w:right="0" w:hanging="0"/>
              <w:jc w:val="left"/>
              <w:rPr/>
            </w:pPr>
            <w:r>
              <w:rPr/>
              <w:t>For Current Accounts the Customer ID of the Company should to be registered.</w:t>
            </w:r>
          </w:p>
        </w:tc>
      </w:tr>
      <w:tr>
        <w:trPr/>
        <w:tc>
          <w:tcPr>
            <w:tcW w:w="740" w:type="dxa"/>
            <w:tcBorders/>
            <w:shd w:fill="FFFFFF" w:val="clear"/>
          </w:tcPr>
          <w:p>
            <w:pPr>
              <w:pStyle w:val="TableContents"/>
              <w:bidi w:val="0"/>
              <w:spacing w:before="0" w:after="0"/>
              <w:ind w:left="0" w:right="0" w:hanging="0"/>
              <w:jc w:val="left"/>
              <w:rPr/>
            </w:pPr>
            <w:r>
              <w:rPr/>
              <w:t>17.2.6</w:t>
            </w:r>
          </w:p>
        </w:tc>
        <w:tc>
          <w:tcPr>
            <w:tcW w:w="9232" w:type="dxa"/>
            <w:tcBorders/>
            <w:shd w:fill="FFFFFF" w:val="clear"/>
          </w:tcPr>
          <w:p>
            <w:pPr>
              <w:pStyle w:val="TableContents"/>
              <w:bidi w:val="0"/>
              <w:spacing w:before="0" w:after="0"/>
              <w:ind w:left="0" w:right="0" w:hanging="0"/>
              <w:jc w:val="left"/>
              <w:rPr/>
            </w:pPr>
            <w:r>
              <w:rPr/>
              <w:t>The facility is applicable for Savings Account, Current Account and Fixed deposits only.</w:t>
            </w:r>
          </w:p>
        </w:tc>
      </w:tr>
      <w:tr>
        <w:trPr/>
        <w:tc>
          <w:tcPr>
            <w:tcW w:w="740" w:type="dxa"/>
            <w:tcBorders/>
            <w:shd w:fill="FFFFFF" w:val="clear"/>
          </w:tcPr>
          <w:p>
            <w:pPr>
              <w:pStyle w:val="TableContents"/>
              <w:bidi w:val="0"/>
              <w:spacing w:before="0" w:after="0"/>
              <w:ind w:left="0" w:right="0" w:hanging="0"/>
              <w:jc w:val="left"/>
              <w:rPr/>
            </w:pPr>
            <w:r>
              <w:rPr/>
              <w:t>17.2.7</w:t>
            </w:r>
          </w:p>
        </w:tc>
        <w:tc>
          <w:tcPr>
            <w:tcW w:w="9232" w:type="dxa"/>
            <w:tcBorders/>
            <w:shd w:fill="FFFFFF" w:val="clear"/>
          </w:tcPr>
          <w:p>
            <w:pPr>
              <w:pStyle w:val="TableContents"/>
              <w:bidi w:val="0"/>
              <w:spacing w:before="0" w:after="0"/>
              <w:jc w:val="left"/>
              <w:rPr/>
            </w:pPr>
            <w:r>
              <w:rPr/>
              <w:t>The facility is available with monthly frequency only.</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414</Words>
  <Characters>2208</Characters>
  <CharactersWithSpaces>2591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2021-09-28T19:14:57Z</dcterms:created>
  <dc:creator/>
  <dc:description/>
  <dc:language>en-US</dc:language>
  <cp:lastModifiedBy/>
  <dcterms:modified xsi:type="dcterms:W3CDTF">2021-09-28T19:15:20Z</dcterms:modified>
  <cp:revision>1</cp:revision>
  <dc:subject/>
  <dc:title/>
</cp:coreProperties>
</file>