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B5E3" w14:textId="189C7EB5" w:rsidR="00617802" w:rsidRDefault="00617802" w:rsidP="00617802">
      <w:pPr>
        <w:pStyle w:val="1"/>
      </w:pPr>
      <w:r>
        <w:rPr>
          <w:rFonts w:hint="eastAsia"/>
        </w:rPr>
        <w:t>同余关系</w:t>
      </w:r>
    </w:p>
    <w:p w14:paraId="46B5B1CE" w14:textId="7AC91F5E" w:rsidR="00617802" w:rsidRDefault="00617802" w:rsidP="00617802">
      <w:r>
        <w:rPr>
          <w:rFonts w:hint="eastAsia"/>
        </w:rPr>
        <w:t>集合</w:t>
      </w:r>
      <w:r w:rsidRPr="00617802">
        <w:rPr>
          <w:position w:val="-4"/>
        </w:rPr>
        <w:object w:dxaOrig="240" w:dyaOrig="260" w14:anchorId="1F670E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2.1pt;height:12.95pt" o:ole="">
            <v:imagedata r:id="rId4" o:title=""/>
          </v:shape>
          <o:OLEObject Type="Embed" ProgID="Equation.DSMT4" ShapeID="_x0000_i1042" DrawAspect="Content" ObjectID="_1681921081" r:id="rId5"/>
        </w:object>
      </w:r>
      <w:r>
        <w:rPr>
          <w:rFonts w:hint="eastAsia"/>
        </w:rPr>
        <w:t>中有二元运算</w:t>
      </w:r>
      <w:r w:rsidRPr="00617802">
        <w:rPr>
          <w:position w:val="-4"/>
        </w:rPr>
        <w:object w:dxaOrig="160" w:dyaOrig="180" w14:anchorId="5F803CC6">
          <v:shape id="_x0000_i1048" type="#_x0000_t75" style="width:8.05pt;height:8.95pt" o:ole="">
            <v:imagedata r:id="rId6" o:title=""/>
          </v:shape>
          <o:OLEObject Type="Embed" ProgID="Equation.DSMT4" ShapeID="_x0000_i1048" DrawAspect="Content" ObjectID="_1681921082" r:id="rId7"/>
        </w:object>
      </w:r>
      <w:r>
        <w:rPr>
          <w:rFonts w:hint="eastAsia"/>
        </w:rPr>
        <w:t>，如果</w:t>
      </w:r>
      <w:r w:rsidRPr="00617802">
        <w:rPr>
          <w:position w:val="-4"/>
        </w:rPr>
        <w:object w:dxaOrig="240" w:dyaOrig="260" w14:anchorId="2AA01F5A">
          <v:shape id="_x0000_i1049" type="#_x0000_t75" style="width:12.1pt;height:12.95pt" o:ole="">
            <v:imagedata r:id="rId4" o:title=""/>
          </v:shape>
          <o:OLEObject Type="Embed" ProgID="Equation.DSMT4" ShapeID="_x0000_i1049" DrawAspect="Content" ObjectID="_1681921083" r:id="rId8"/>
        </w:object>
      </w:r>
      <w:r>
        <w:rPr>
          <w:rFonts w:hint="eastAsia"/>
        </w:rPr>
        <w:t>的一个等价关系</w:t>
      </w:r>
      <w:r w:rsidRPr="00617802">
        <w:rPr>
          <w:position w:val="-4"/>
        </w:rPr>
        <w:object w:dxaOrig="240" w:dyaOrig="260" w14:anchorId="6DDC8D05">
          <v:shape id="_x0000_i1045" type="#_x0000_t75" style="width:12.1pt;height:12.95pt" o:ole="">
            <v:imagedata r:id="rId9" o:title=""/>
          </v:shape>
          <o:OLEObject Type="Embed" ProgID="Equation.DSMT4" ShapeID="_x0000_i1045" DrawAspect="Content" ObjectID="_1681921084" r:id="rId10"/>
        </w:object>
      </w:r>
      <w:r>
        <w:rPr>
          <w:rFonts w:hint="eastAsia"/>
        </w:rPr>
        <w:t>在</w:t>
      </w:r>
      <w:r w:rsidR="0090213C">
        <w:rPr>
          <w:rFonts w:hint="eastAsia"/>
        </w:rPr>
        <w:t>该运算下仍然保持，即</w:t>
      </w:r>
    </w:p>
    <w:p w14:paraId="3FA0D873" w14:textId="076E742D" w:rsidR="00617802" w:rsidRDefault="0090213C" w:rsidP="0090213C">
      <w:pPr>
        <w:pStyle w:val="MTDisplayEquation"/>
      </w:pPr>
      <w:r>
        <w:tab/>
      </w:r>
      <w:r w:rsidRPr="0090213C">
        <w:rPr>
          <w:position w:val="-14"/>
        </w:rPr>
        <w:object w:dxaOrig="2700" w:dyaOrig="400" w14:anchorId="0B1AED7D">
          <v:shape id="_x0000_i1056" type="#_x0000_t75" style="width:135.05pt;height:19.85pt" o:ole="">
            <v:imagedata r:id="rId11" o:title=""/>
          </v:shape>
          <o:OLEObject Type="Embed" ProgID="Equation.DSMT4" ShapeID="_x0000_i1056" DrawAspect="Content" ObjectID="_1681921085" r:id="rId12"/>
        </w:object>
      </w:r>
      <w:r>
        <w:t xml:space="preserve"> </w:t>
      </w:r>
    </w:p>
    <w:p w14:paraId="336B9620" w14:textId="20882113" w:rsidR="0090213C" w:rsidRDefault="0090213C" w:rsidP="0090213C">
      <w:r>
        <w:rPr>
          <w:rFonts w:hint="eastAsia"/>
        </w:rPr>
        <w:t>同余关系等价类</w:t>
      </w:r>
      <w:r w:rsidR="00D75E7D">
        <w:rPr>
          <w:rFonts w:hint="eastAsia"/>
        </w:rPr>
        <w:t>定义</w:t>
      </w:r>
      <w:r>
        <w:rPr>
          <w:rFonts w:hint="eastAsia"/>
        </w:rPr>
        <w:t>运算</w:t>
      </w:r>
    </w:p>
    <w:p w14:paraId="02021A9F" w14:textId="3A3FF6F6" w:rsidR="0090213C" w:rsidRDefault="0090213C" w:rsidP="0090213C">
      <w:pPr>
        <w:pStyle w:val="MTDisplayEquation"/>
      </w:pPr>
      <w:r>
        <w:tab/>
      </w:r>
      <w:r w:rsidRPr="0090213C">
        <w:rPr>
          <w:position w:val="-18"/>
        </w:rPr>
        <w:object w:dxaOrig="2240" w:dyaOrig="480" w14:anchorId="11E7519F">
          <v:shape id="_x0000_i1060" type="#_x0000_t75" style="width:112.05pt;height:23.9pt" o:ole="">
            <v:imagedata r:id="rId13" o:title=""/>
          </v:shape>
          <o:OLEObject Type="Embed" ProgID="Equation.DSMT4" ShapeID="_x0000_i1060" DrawAspect="Content" ObjectID="_1681921086" r:id="rId14"/>
        </w:object>
      </w:r>
      <w:r>
        <w:t xml:space="preserve"> </w:t>
      </w:r>
    </w:p>
    <w:p w14:paraId="18B4305D" w14:textId="77777777" w:rsidR="00D75E7D" w:rsidRDefault="00D75E7D" w:rsidP="0090213C">
      <w:pPr>
        <w:pStyle w:val="MTDisplayEquation"/>
      </w:pPr>
      <w:r>
        <w:rPr>
          <w:rFonts w:hint="eastAsia"/>
        </w:rPr>
        <w:t>上式成立当且仅当等价关系是同余关系。</w:t>
      </w:r>
    </w:p>
    <w:p w14:paraId="701289C6" w14:textId="77777777" w:rsidR="00D75E7D" w:rsidRDefault="00D75E7D" w:rsidP="0090213C">
      <w:pPr>
        <w:pStyle w:val="MTDisplayEquation"/>
      </w:pPr>
      <w:r>
        <w:rPr>
          <w:rFonts w:hint="eastAsia"/>
        </w:rPr>
        <w:t>证明：</w:t>
      </w:r>
    </w:p>
    <w:p w14:paraId="2F606A0E" w14:textId="035E7F0C" w:rsidR="00D75E7D" w:rsidRDefault="00D75E7D" w:rsidP="00D75E7D">
      <w:pPr>
        <w:pStyle w:val="MTDisplayEquation"/>
      </w:pPr>
      <w:r>
        <w:tab/>
      </w:r>
      <w:r w:rsidRPr="00D75E7D">
        <w:rPr>
          <w:position w:val="-124"/>
        </w:rPr>
        <w:object w:dxaOrig="2060" w:dyaOrig="2840" w14:anchorId="23ED190D">
          <v:shape id="_x0000_i1070" type="#_x0000_t75" style="width:103.1pt;height:142pt" o:ole="">
            <v:imagedata r:id="rId15" o:title=""/>
          </v:shape>
          <o:OLEObject Type="Embed" ProgID="Equation.DSMT4" ShapeID="_x0000_i1070" DrawAspect="Content" ObjectID="_1681921087" r:id="rId16"/>
        </w:object>
      </w:r>
      <w:r>
        <w:t xml:space="preserve"> </w:t>
      </w:r>
    </w:p>
    <w:p w14:paraId="1A3D8280" w14:textId="77777777" w:rsidR="00D75E7D" w:rsidRDefault="00D75E7D" w:rsidP="0090213C">
      <w:pPr>
        <w:pStyle w:val="MTDisplayEquation"/>
      </w:pPr>
      <w:r>
        <w:rPr>
          <w:rFonts w:hint="eastAsia"/>
        </w:rPr>
        <w:t>得证。</w:t>
      </w:r>
    </w:p>
    <w:p w14:paraId="1D64AABC" w14:textId="2B05D808" w:rsidR="0090213C" w:rsidRPr="0090213C" w:rsidRDefault="0090213C" w:rsidP="0090213C">
      <w:pPr>
        <w:pStyle w:val="MTDisplayEquation"/>
        <w:rPr>
          <w:rFonts w:hint="eastAsia"/>
        </w:rPr>
      </w:pPr>
      <w:r>
        <w:tab/>
        <w:t xml:space="preserve"> </w:t>
      </w:r>
    </w:p>
    <w:p w14:paraId="52FAE1B4" w14:textId="165594CA" w:rsidR="00554A65" w:rsidRDefault="003438E6">
      <w:r>
        <w:rPr>
          <w:rFonts w:hint="eastAsia"/>
        </w:rPr>
        <w:t>左陪集和左商集一一对应</w:t>
      </w:r>
    </w:p>
    <w:p w14:paraId="1D15512E" w14:textId="63CB77C6" w:rsidR="003438E6" w:rsidRDefault="003438E6" w:rsidP="003438E6">
      <w:pPr>
        <w:pStyle w:val="MTDisplayEquation"/>
      </w:pPr>
      <w:r>
        <w:tab/>
      </w:r>
      <w:r w:rsidRPr="003438E6">
        <w:rPr>
          <w:position w:val="-6"/>
        </w:rPr>
        <w:object w:dxaOrig="1939" w:dyaOrig="320" w14:anchorId="74EB8B79">
          <v:shape id="_x0000_i1025" type="#_x0000_t75" style="width:97.05pt;height:16.15pt" o:ole="">
            <v:imagedata r:id="rId17" o:title=""/>
          </v:shape>
          <o:OLEObject Type="Embed" ProgID="Equation.DSMT4" ShapeID="_x0000_i1025" DrawAspect="Content" ObjectID="_1681921088" r:id="rId18"/>
        </w:object>
      </w:r>
      <w:r>
        <w:t xml:space="preserve"> </w:t>
      </w:r>
    </w:p>
    <w:p w14:paraId="5EE96A77" w14:textId="7EB9E9E5" w:rsidR="003438E6" w:rsidRDefault="003438E6">
      <w:r>
        <w:rPr>
          <w:rFonts w:hint="eastAsia"/>
        </w:rPr>
        <w:t>因此左商集个数和左陪集个数一样，都是</w:t>
      </w:r>
      <w:r w:rsidRPr="003438E6">
        <w:rPr>
          <w:position w:val="-14"/>
        </w:rPr>
        <w:object w:dxaOrig="760" w:dyaOrig="400" w14:anchorId="34F923B7">
          <v:shape id="_x0000_i1026" type="#_x0000_t75" style="width:38pt;height:19.85pt" o:ole="">
            <v:imagedata r:id="rId19" o:title=""/>
          </v:shape>
          <o:OLEObject Type="Embed" ProgID="Equation.DSMT4" ShapeID="_x0000_i1026" DrawAspect="Content" ObjectID="_1681921089" r:id="rId20"/>
        </w:object>
      </w:r>
      <w:r w:rsidR="002D578C">
        <w:rPr>
          <w:rFonts w:hint="eastAsia"/>
        </w:rPr>
        <w:t>。</w:t>
      </w:r>
      <w:r>
        <w:t xml:space="preserve"> </w:t>
      </w:r>
    </w:p>
    <w:p w14:paraId="3D4EE28A" w14:textId="77777777" w:rsidR="00617802" w:rsidRDefault="00617802"/>
    <w:p w14:paraId="78535E47" w14:textId="27E6286C" w:rsidR="00964C2C" w:rsidRDefault="00964C2C" w:rsidP="00964C2C">
      <w:pPr>
        <w:pStyle w:val="1"/>
      </w:pPr>
      <w:r>
        <w:rPr>
          <w:rFonts w:hint="eastAsia"/>
        </w:rPr>
        <w:t>群的同态基本定理</w:t>
      </w:r>
    </w:p>
    <w:p w14:paraId="43A97041" w14:textId="1F0D2E34" w:rsidR="00964C2C" w:rsidRDefault="00964C2C" w:rsidP="00964C2C">
      <w:r>
        <w:rPr>
          <w:rFonts w:hint="eastAsia"/>
        </w:rPr>
        <w:t>记</w:t>
      </w:r>
    </w:p>
    <w:p w14:paraId="57B251F6" w14:textId="4448B205" w:rsidR="00964C2C" w:rsidRDefault="00964C2C" w:rsidP="00964C2C">
      <w:pPr>
        <w:pStyle w:val="MTDisplayEquation"/>
        <w:rPr>
          <w:rFonts w:hint="eastAsia"/>
        </w:rPr>
      </w:pPr>
      <w:r>
        <w:tab/>
      </w:r>
      <w:r w:rsidRPr="00964C2C">
        <w:rPr>
          <w:position w:val="-28"/>
        </w:rPr>
        <w:object w:dxaOrig="1660" w:dyaOrig="680" w14:anchorId="4DE690CA">
          <v:shape id="_x0000_i1030" type="#_x0000_t75" style="width:82.95pt;height:34pt" o:ole="">
            <v:imagedata r:id="rId21" o:title=""/>
          </v:shape>
          <o:OLEObject Type="Embed" ProgID="Equation.DSMT4" ShapeID="_x0000_i1030" DrawAspect="Content" ObjectID="_1681921090" r:id="rId22"/>
        </w:object>
      </w:r>
      <w:r>
        <w:t xml:space="preserve"> </w:t>
      </w:r>
    </w:p>
    <w:p w14:paraId="09E898AE" w14:textId="77777777" w:rsidR="00964C2C" w:rsidRDefault="00964C2C" w:rsidP="00964C2C">
      <w:r>
        <w:rPr>
          <w:rFonts w:hint="eastAsia"/>
        </w:rPr>
        <w:t>证明上述关系</w:t>
      </w:r>
      <w:r w:rsidRPr="00964C2C">
        <w:rPr>
          <w:position w:val="-4"/>
        </w:rPr>
        <w:object w:dxaOrig="240" w:dyaOrig="260" w14:anchorId="1D4FED9F">
          <v:shape id="_x0000_i1033" type="#_x0000_t75" style="width:12.1pt;height:12.95pt" o:ole="">
            <v:imagedata r:id="rId23" o:title=""/>
          </v:shape>
          <o:OLEObject Type="Embed" ProgID="Equation.DSMT4" ShapeID="_x0000_i1033" DrawAspect="Content" ObjectID="_1681921091" r:id="rId24"/>
        </w:object>
      </w:r>
      <w:r>
        <w:rPr>
          <w:rFonts w:hint="eastAsia"/>
        </w:rPr>
        <w:t>是同余关系</w:t>
      </w:r>
    </w:p>
    <w:p w14:paraId="20648407" w14:textId="581D7FBA" w:rsidR="00964C2C" w:rsidRDefault="00964C2C" w:rsidP="00964C2C">
      <w:pPr>
        <w:pStyle w:val="MTDisplayEquation"/>
      </w:pPr>
      <w:r>
        <w:lastRenderedPageBreak/>
        <w:tab/>
      </w:r>
      <w:r w:rsidR="00617802" w:rsidRPr="00617802">
        <w:rPr>
          <w:position w:val="-200"/>
        </w:rPr>
        <w:object w:dxaOrig="4020" w:dyaOrig="4680" w14:anchorId="1A31EB93">
          <v:shape id="_x0000_i1038" type="#_x0000_t75" style="width:201pt;height:234.15pt" o:ole="">
            <v:imagedata r:id="rId25" o:title=""/>
          </v:shape>
          <o:OLEObject Type="Embed" ProgID="Equation.DSMT4" ShapeID="_x0000_i1038" DrawAspect="Content" ObjectID="_1681921092" r:id="rId26"/>
        </w:object>
      </w:r>
      <w:r>
        <w:t xml:space="preserve"> </w:t>
      </w:r>
    </w:p>
    <w:p w14:paraId="5030737D" w14:textId="3B35F77F" w:rsidR="00964C2C" w:rsidRPr="00964C2C" w:rsidRDefault="00964C2C" w:rsidP="00964C2C">
      <w:pPr>
        <w:rPr>
          <w:rFonts w:hint="eastAsia"/>
        </w:rPr>
      </w:pPr>
      <w:r>
        <w:t xml:space="preserve"> </w:t>
      </w:r>
    </w:p>
    <w:sectPr w:rsidR="00964C2C" w:rsidRPr="0096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A2"/>
    <w:rsid w:val="0019577C"/>
    <w:rsid w:val="002D578C"/>
    <w:rsid w:val="003438E6"/>
    <w:rsid w:val="00554A65"/>
    <w:rsid w:val="00617802"/>
    <w:rsid w:val="007306AF"/>
    <w:rsid w:val="0090213C"/>
    <w:rsid w:val="00964C2C"/>
    <w:rsid w:val="00B022A2"/>
    <w:rsid w:val="00BD76B5"/>
    <w:rsid w:val="00D7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74BB2C5"/>
  <w15:chartTrackingRefBased/>
  <w15:docId w15:val="{BCA81552-A8AA-4F7B-A1FA-BCA89319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4C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3438E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438E6"/>
  </w:style>
  <w:style w:type="character" w:customStyle="1" w:styleId="10">
    <w:name w:val="标题 1 字符"/>
    <w:basedOn w:val="a0"/>
    <w:link w:val="1"/>
    <w:uiPriority w:val="9"/>
    <w:rsid w:val="00964C2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4.bin"/><Relationship Id="rId19" Type="http://schemas.openxmlformats.org/officeDocument/2006/relationships/image" Target="media/image8.wmf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2021-05-07T07:15:00Z</dcterms:created>
  <dcterms:modified xsi:type="dcterms:W3CDTF">2021-05-07T11:31:00Z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