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Data structure(10 columns) : year(2015~2023) - manually input, country, region,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happiness_score, gdp_per_capita, social_support, healthy_life_expectancy,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freedom_to_make_life_choices, generosity, perceptions_of_corruption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1. Random Forest!!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572510" cy="667385"/>
            <wp:effectExtent l="0" t="0" r="0" b="0"/>
            <wp:docPr id="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35172_13789560/fImage440527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66802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 making plots!!!!!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670" cy="4175760"/>
            <wp:effectExtent l="0" t="0" r="0" b="0"/>
            <wp:docPr id="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35172_13789560/fImage172712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1763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#### heatmap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175125"/>
            <wp:effectExtent l="0" t="0" r="0" b="0"/>
            <wp:docPr id="1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zxcvz/AppData/Roaming/PolarisOffice8/ETemp/35172_13789560/fImage3368828846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757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28"/>
          <w:szCs w:val="28"/>
          <w:rFonts w:ascii="Lucida Console" w:eastAsia="Lucida Console" w:hAnsi="Lucida Console" w:cs="Lucida Console"/>
        </w:rPr>
        <w:t xml:space="preserve"># cross-validation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5163185" cy="3096260"/>
            <wp:effectExtent l="0" t="0" r="0" b="0"/>
            <wp:docPr id="1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35172_13789560/fImage1730430633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30968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This means that the model has learned the **noise** or specific patterns in the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training data too precisely, failing to predict general patterns in new data. It’s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 xml:space="preserve">like memorizing test questions and answers but being unable to handle new types of </w:t>
      </w:r>
      <w: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  <w:t>problems.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</w:p>
    <w:p>
      <w:pPr>
        <w:rPr>
          <w:spacing w:val="0"/>
          <w:i w:val="0"/>
          <w:b w:val="1"/>
          <w:color w:val="auto"/>
          <w:sz w:val="32"/>
          <w:szCs w:val="32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32"/>
          <w:szCs w:val="32"/>
          <w:rFonts w:ascii="Lucida Console" w:eastAsia="Lucida Console" w:hAnsi="Lucida Console" w:cs="Lucida Console"/>
        </w:rPr>
        <w:t xml:space="preserve"># SHAP !!!</w:t>
      </w:r>
    </w:p>
    <w:p>
      <w:pPr>
        <w:rPr>
          <w:spacing w:val="0"/>
          <w:i w:val="0"/>
          <w:b w:val="0"/>
          <w:color w:val="auto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6630035" cy="4198620"/>
            <wp:effectExtent l="0" t="0" r="0" b="0"/>
            <wp:docPr id="1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zxcvz/AppData/Roaming/PolarisOffice8/ETemp/35172_13789560/fImage2033031650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41992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</w:p>
    <w:p>
      <w:pPr>
        <w:pStyle w:val="PO1"/>
        <w:rPr>
          <w:rStyle w:val="PO1"/>
        </w:rPr>
      </w:pPr>
      <w:r>
        <w:rPr>
          <w:rStyle w:val="PO1"/>
        </w:rPr>
        <w:t xml:space="preserve">############## four advanced models#########</w:t>
      </w: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XGBOOST #####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087370" cy="706120"/>
            <wp:effectExtent l="0" t="0" r="0" b="0"/>
            <wp:docPr id="2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zxcvz/AppData/Roaming/PolarisOffice8/ETemp/35172_13789560/fImage399421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7067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Linear regrssion 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658870" cy="601345"/>
            <wp:effectExtent l="0" t="0" r="0" b="0"/>
            <wp:docPr id="2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zxcvz/AppData/Roaming/PolarisOffice8/ETemp/35172_13789560/fImage470622846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0198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LightGBM##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2982595" cy="582295"/>
            <wp:effectExtent l="0" t="0" r="0" b="0"/>
            <wp:docPr id="23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zxcvz/AppData/Roaming/PolarisOffice8/ETemp/35172_13789560/fImage38912363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58293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40"/>
          <w:szCs w:val="40"/>
          <w:rFonts w:ascii="Lucida Console" w:eastAsia="Lucida Console" w:hAnsi="Lucida Console" w:cs="Lucida Console"/>
        </w:rPr>
        <w:t xml:space="preserve">## SVR ###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4478020" cy="744220"/>
            <wp:effectExtent l="0" t="0" r="0" b="0"/>
            <wp:docPr id="2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zxcvz/AppData/Roaming/PolarisOffice8/ETemp/35172_13789560/fImage582624650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7448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  <w:t xml:space="preserve">### summary ####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411220" cy="1049020"/>
            <wp:effectExtent l="0" t="0" r="0" b="0"/>
            <wp:docPr id="2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zxcvz/AppData/Roaming/PolarisOffice8/ETemp/35172_13789560/fImage556625916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1049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36"/>
          <w:szCs w:val="36"/>
          <w:rFonts w:ascii="Lucida Console" w:eastAsia="Lucida Console" w:hAnsi="Lucida Console" w:cs="Lucida Console"/>
        </w:rPr>
        <w:t xml:space="preserve">### time regression ####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1"/>
          <w:color w:val="000000" w:themeColor="text1"/>
          <w:sz w:val="28"/>
          <w:szCs w:val="28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000000" w:themeColor="text1"/>
          <w:sz w:val="28"/>
          <w:szCs w:val="28"/>
          <w:rFonts w:ascii="Lucida Console" w:eastAsia="Lucida Console" w:hAnsi="Lucida Console" w:cs="Lucida Console"/>
        </w:rPr>
        <w:t xml:space="preserve">★★★★★ There are some duplicates in our dataset ★★★★★</w:t>
      </w: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spacing w:lineRule="auto" w:line="278" w:after="160"/>
        <w:rPr>
          <w:spacing w:val="0"/>
          <w:i w:val="0"/>
          <w:b w:val="0"/>
          <w:color w:val="000000" w:themeColor="text1"/>
          <w:sz w:val="20"/>
          <w:szCs w:val="20"/>
          <w:rFonts w:ascii="Lucida Console" w:eastAsia="Lucida Console" w:hAnsi="Lucida Console" w:cs="Lucida Console"/>
        </w:rPr>
      </w:pPr>
    </w:p>
    <w:p>
      <w:pPr>
        <w:pStyle w:val="PO1"/>
        <w:spacing w:lineRule="auto" w:line="278" w:after="160"/>
        <w:rPr>
          <w:rStyle w:val="PO1"/>
          <w:b w:val="1"/>
          <w:sz w:val="36"/>
          <w:szCs w:val="36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b w:val="1"/>
          <w:sz w:val="36"/>
          <w:szCs w:val="36"/>
          <w:rFonts w:ascii="Aptos" w:eastAsia="맑은 고딕" w:hAnsi="맑은 고딕" w:cs="맑은 고딕" w:asciiTheme="minorHAnsi" w:eastAsiaTheme="minorHAnsi" w:hAnsiTheme="minorHAnsi" w:cstheme="minorBidi"/>
        </w:rPr>
        <w:t xml:space="preserve">########## plm - Timeregression ###########</w:t>
      </w: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 The all countries’ time-regression.</w:t>
      </w: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rStyle w:val="PO1"/>
          <w:b w:val="1"/>
          <w:sz w:val="36"/>
          <w:szCs w:val="36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b w:val="1"/>
          <w:sz w:val="36"/>
          <w:szCs w:val="36"/>
          <w:rFonts w:ascii="Aptos" w:eastAsia="맑은 고딕" w:hAnsi="맑은 고딕" w:cs="맑은 고딕" w:asciiTheme="minorHAnsi" w:eastAsiaTheme="minorHAnsi" w:hAnsiTheme="minorHAnsi" w:cstheme="minorBidi"/>
        </w:rPr>
        <w:t xml:space="preserve">############ making graphs #############</w:t>
      </w: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0"/>
          <w:szCs w:val="20"/>
          <w:rFonts w:ascii="맑은 고딕" w:eastAsia="맑은 고딕" w:hAnsi="맑은 고딕" w:cs="맑은 고딕"/>
        </w:rPr>
      </w:pPr>
    </w:p>
    <w:p>
      <w:pPr>
        <w:pStyle w:val="PO1"/>
        <w:spacing w:lineRule="auto" w:line="278" w:after="160"/>
        <w:rPr>
          <w:sz w:val="20"/>
          <w:szCs w:val="20"/>
          <w:rFonts w:ascii="맑은 고딕" w:eastAsia="맑은 고딕" w:hAnsi="맑은 고딕" w:cs="맑은 고딕"/>
        </w:rPr>
      </w:pPr>
    </w:p>
    <w:p>
      <w:pPr>
        <w:pStyle w:val="PO1"/>
        <w:spacing w:lineRule="auto" w:line="278" w:after="160"/>
        <w:rPr>
          <w:rStyle w:val="PO1"/>
        </w:rPr>
      </w:pPr>
      <w:r>
        <w:rPr>
          <w:sz w:val="20"/>
        </w:rPr>
        <w:drawing>
          <wp:inline distT="0" distB="0" distL="0" distR="0">
            <wp:extent cx="6630670" cy="4166870"/>
            <wp:effectExtent l="0" t="0" r="0" b="0"/>
            <wp:docPr id="3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zxcvz/AppData/Roaming/PolarisOffice8/ETemp/35172_13789560/fImage431133157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16750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78" w:after="160"/>
        <w:rPr>
          <w:rStyle w:val="PO1"/>
        </w:rPr>
      </w:pPr>
    </w:p>
    <w:p>
      <w:pPr>
        <w:pStyle w:val="PO1"/>
        <w:spacing w:lineRule="auto" w:line="278" w:after="160"/>
        <w:rPr>
          <w:rStyle w:val="PO1"/>
        </w:rPr>
      </w:pPr>
    </w:p>
    <w:p>
      <w:pPr>
        <w:pStyle w:val="PO1"/>
        <w:spacing w:lineRule="auto" w:line="278" w:after="160"/>
        <w:rPr>
          <w:rStyle w:val="PO1"/>
        </w:rPr>
      </w:pPr>
    </w:p>
    <w:p>
      <w:pPr>
        <w:pStyle w:val="PO1"/>
        <w:spacing w:lineRule="auto" w:line="278" w:after="160"/>
        <w:rPr>
          <w:rStyle w:val="PO1"/>
          <w:b w:val="1"/>
          <w:sz w:val="56"/>
          <w:szCs w:val="56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b w:val="1"/>
          <w:sz w:val="56"/>
          <w:szCs w:val="56"/>
          <w:rFonts w:ascii="Aptos" w:eastAsia="맑은 고딕" w:hAnsi="맑은 고딕" w:cs="맑은 고딕" w:asciiTheme="minorHAnsi" w:eastAsiaTheme="minorHAnsi" w:hAnsiTheme="minorHAnsi" w:cstheme="minorBidi"/>
        </w:rPr>
        <w:t xml:space="preserve">## Diagonosis###</w:t>
      </w:r>
    </w:p>
    <w:p>
      <w:pPr>
        <w:pStyle w:val="PO1"/>
        <w:spacing w:lineRule="auto" w:line="278" w:after="160"/>
        <w:rPr>
          <w:rStyle w:val="PO1"/>
        </w:rPr>
      </w:pP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## summarize problematic values</w:t>
      </w: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>print(problematic_obs)</w:t>
      </w:r>
    </w:p>
    <w:p>
      <w:pPr>
        <w:pStyle w:val="PO1"/>
        <w:spacing w:lineRule="auto" w:line="278" w:after="160"/>
        <w:rPr>
          <w:rStyle w:val="PO1"/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10440" w:type="dxa"/>
        <w:tblLook w:val="000600" w:firstRow="0" w:lastRow="0" w:firstColumn="0" w:lastColumn="0" w:noHBand="1" w:noVBand="1"/>
        <w:tblLayout w:type="fixed"/>
      </w:tblPr>
      <w:tblGrid>
        <w:gridCol w:w="1305"/>
        <w:gridCol w:w="1305"/>
        <w:gridCol w:w="1305"/>
        <w:gridCol w:w="1305"/>
        <w:gridCol w:w="1305"/>
        <w:gridCol w:w="1305"/>
        <w:gridCol w:w="1305"/>
        <w:gridCol w:w="1305"/>
      </w:tblGrid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year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country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std_residua</w:t>
            </w: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l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hat_value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cooks_d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is_outlier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is_leverage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is_influenti</w:t>
            </w:r>
            <w:r>
              <w:rPr>
                <w:b w:val="1"/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al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Rwanda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-2.7636593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0.14904759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1.911132e-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Syria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-2.5716115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0.10703475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1.132408e-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Pakistan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2.56565317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0.07256301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7.357474e-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Central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African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Republic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1.71703406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0.14396812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7.083309e-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Botswana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-1.5452878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0.15075853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6.055799e-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Cambodia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-1.9168163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0.07747792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4.408229e-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4"/>
                <w:szCs w:val="24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Hong Kong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S.A.R. of </w:t>
            </w:r>
          </w:p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China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-2.4110613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0.04578958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3.985116e-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Gabon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-2.0705390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0.04630848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2.973866e-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Mexico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2.75703526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0.02350341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2.613646e-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Qatar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-0.7540258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0.11203030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1.024735e-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Myanmar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-0.5952176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0.15321175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9.157370e-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Georgia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-0.6186154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0.12088846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7.517688e-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Swaziland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0.58058046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0.09208687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4.884051e-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Somaliland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region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0.26045464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0.10172450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1.097444e-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Rwanda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-2.9162693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0.13994380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1.976897e-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Somalia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2.91330712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0.10144311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1.368836e-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Syria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-2.1799224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8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0.13489574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1.058556e-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01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Botswana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-2.6473477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0.04578032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4.803462e-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Hong Kong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S.A.R. of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China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-2.5630760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0.04612233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4.537780e-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Pakistan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2.19461289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0.05290499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3.843447e-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Sri Lanka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-2.5241824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0.03890395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3.684431e-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Cambodia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-1.8947060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0.06078644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3.319159e-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Nigeria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1.53763283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0.08636003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3.192603e-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Qatar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-1.1782843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0.11592837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2.600785e-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Myanmar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-0.8816312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9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0.14350584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1.860463e-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Georgia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-0.9777486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5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0.11193197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1.721331e-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 xml:space="preserve">Somaliland 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Region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0.51287198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0.09931802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4.143587e-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03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  <w:tr>
        <w:trPr>
          <w:trHeight w:hRule="atleast" w:val="277"/>
        </w:trPr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2016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Angola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0.14210052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0.13464226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4.488270e-</w:t>
            </w: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04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TRUE</w:t>
            </w:r>
          </w:p>
        </w:tc>
        <w:tc>
          <w:tcPr>
            <w:tcW w:type="dxa" w:w="1305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240" w:after="0"/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z w:val="20"/>
                <w:szCs w:val="20"/>
                <w:rFonts w:ascii="맑은 고딕" w:eastAsia="맑은 고딕" w:hAnsi="맑은 고딕" w:cs="맑은 고딕" w:eastAsiaTheme="minorHAnsi" w:hAnsiTheme="minorHAnsi" w:cstheme="minorBidi"/>
              </w:rPr>
              <w:t>FALSE</w:t>
            </w:r>
          </w:p>
        </w:tc>
      </w:tr>
    </w:tbl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##### create report #####</w:t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0"/>
        </w:rPr>
        <w:drawing>
          <wp:inline distT="0" distB="0" distL="0" distR="0">
            <wp:extent cx="6630670" cy="4140200"/>
            <wp:effectExtent l="0" t="0" r="0" b="0"/>
            <wp:docPr id="39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zxcvz/AppData/Roaming/PolarisOffice8/ETemp/35172_13789560/fImage3250739147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1408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 Dive into Botswana and Rwanda.</w:t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0"/>
        </w:rPr>
        <w:drawing>
          <wp:inline distT="0" distB="0" distL="0" distR="0">
            <wp:extent cx="6630670" cy="4213860"/>
            <wp:effectExtent l="0" t="0" r="0" b="0"/>
            <wp:docPr id="4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zxcvz/AppData/Roaming/PolarisOffice8/ETemp/35172_13789560/fImage2296740935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2144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############ analyze Rwanda ###############</w:t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0"/>
          <w:szCs w:val="20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0"/>
          <w:szCs w:val="20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0"/>
          <w:szCs w:val="20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0"/>
        </w:rPr>
        <w:drawing>
          <wp:inline distT="0" distB="0" distL="0" distR="0">
            <wp:extent cx="6630670" cy="4213860"/>
            <wp:effectExtent l="0" t="0" r="0" b="0"/>
            <wp:docPr id="4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zxcvz/AppData/Roaming/PolarisOffice8/ETemp/35172_13789560/fImage4363341696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21449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10440" w:type="dxa"/>
        <w:tblLook w:val="0004A0" w:firstRow="1" w:lastRow="0" w:firstColumn="1" w:lastColumn="0" w:noHBand="0" w:noVBand="1"/>
        <w:tblLayout w:type="fixed"/>
      </w:tblPr>
      <w:tblGrid>
        <w:gridCol w:w="10440"/>
      </w:tblGrid>
      <w:tr>
        <w:trPr/>
        <w:tc>
          <w:tcPr>
            <w:tcW w:type="dxa" w:w="1044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pStyle w:val="PO1"/>
              <w:spacing w:lineRule="auto" w:line="240" w:after="0"/>
              <w:ind w:right="0" w:firstLine="0"/>
              <w:rPr>
                <w:sz w:val="24"/>
                <w:szCs w:val="24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Rwanda is classified as a pure Y-value Outlier because its X variables are near the global average (low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Leverage), but its Happiness Score is exceptionally low (high Residual). The data shows the std_residual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persistently around -3 for most years. This suggests powerful unmeasured negative factors are at play, likely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stemming from the lasting historical trauma of the 1994 genocide and the impact of the authoritarian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governance model. The strict control, while promoting growth, suppresses individual psychological freedom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and trust, driving the perceived happiness down despite moderate economic indicators.</w:t>
            </w:r>
          </w:p>
        </w:tc>
      </w:tr>
    </w:tbl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  <w:t xml:space="preserve">### Analyze Botswana ###################</w:t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0"/>
          <w:szCs w:val="20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  <w:r>
        <w:rPr>
          <w:sz w:val="20"/>
        </w:rPr>
        <w:drawing>
          <wp:inline distT="0" distB="0" distL="0" distR="0">
            <wp:extent cx="6630670" cy="4131310"/>
            <wp:effectExtent l="0" t="0" r="0" b="0"/>
            <wp:docPr id="4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zxcvz/AppData/Roaming/PolarisOffice8/ETemp/35172_13789560/fImage4370643446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413194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p>
      <w:pPr>
        <w:pStyle w:val="PO1"/>
        <w:spacing w:lineRule="auto" w:line="278" w:after="160"/>
        <w:rPr>
          <w:sz w:val="24"/>
          <w:szCs w:val="24"/>
          <w:rFonts w:ascii="Aptos" w:eastAsia="맑은 고딕" w:hAnsi="맑은 고딕" w:cs="맑은 고딕" w:asciiTheme="minorHAnsi" w:eastAsiaTheme="minorHAnsi" w:hAnsiTheme="minorHAnsi" w:cstheme="minorBidi"/>
        </w:rPr>
      </w:pP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10440" w:type="dxa"/>
        <w:tblLook w:val="0004A0" w:firstRow="1" w:lastRow="0" w:firstColumn="1" w:lastColumn="0" w:noHBand="0" w:noVBand="1"/>
        <w:tblLayout w:type="fixed"/>
      </w:tblPr>
      <w:tblGrid>
        <w:gridCol w:w="10440"/>
      </w:tblGrid>
      <w:tr>
        <w:trPr/>
        <w:tc>
          <w:tcPr>
            <w:tcW w:type="dxa" w:w="10440"/>
            <w:vAlign w:val="top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pStyle w:val="PO1"/>
              <w:spacing w:lineRule="auto" w:line="240" w:after="0"/>
              <w:ind w:right="0" w:firstLine="0"/>
              <w:rPr>
                <w:sz w:val="24"/>
                <w:szCs w:val="24"/>
                <w:rFonts w:ascii="맑은 고딕" w:eastAsia="맑은 고딕" w:hAnsi="맑은 고딕" w:cs="맑은 고딕" w:eastAsiaTheme="minorHAnsi" w:hAnsiTheme="minorHAnsi" w:cstheme="minorBidi"/>
              </w:rPr>
            </w:pP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Botswana's anomaly is driven by Leverage (extreme X values) that distorts the general regression line. Its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economy's heavy reliance on diamond wealth creates a non-typical X profile: very high GDP (high Z-Score)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combined with very low Healthy Life Expectancy (low Z-Score) due to the persistent HIV/AIDS crisis. This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unusual pairing violates the positive correlation seen in most countries, causing the regression coefficients to 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be pulled/biased toward Botswana's position. While its std_residual is also high (around -3), the unique X-</w:t>
            </w:r>
            <w:r>
              <w:rPr>
                <w:spacing w:val="1"/>
                <w:i w:val="0"/>
                <w:b w:val="0"/>
                <w:color w:val="4D4D4C"/>
                <w:sz w:val="21"/>
                <w:szCs w:val="21"/>
                <w:highlight w:val="none"/>
                <w:rFonts w:ascii="Segoe UI" w:eastAsia="fkGroteskNeue" w:hAnsi="fkGroteskNeue" w:cs="fkGroteskNeue"/>
              </w:rPr>
              <w:t xml:space="preserve">combination makes it a critical Leverage point, as removing it would significantly change the model's slopes.</w:t>
            </w:r>
          </w:p>
        </w:tc>
      </w:tr>
    </w:tbl>
    <w:p>
      <w:pPr>
        <w:pStyle w:val="PO1"/>
        <w:spacing w:lineRule="auto" w:line="278" w:after="160"/>
        <w:rPr>
          <w:rStyle w:val="PO1"/>
        </w:rPr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220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248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268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26D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0AA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2A6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1C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168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03A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styleId="PO37" w:type="table">
    <w:name w:val="Table Grid"/>
    <w:basedOn w:val="PO3"/>
    <w:uiPriority w:val="37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4052741.png"></Relationship><Relationship Id="rId6" Type="http://schemas.openxmlformats.org/officeDocument/2006/relationships/image" Target="media/fImage17271248467.png"></Relationship><Relationship Id="rId7" Type="http://schemas.openxmlformats.org/officeDocument/2006/relationships/image" Target="media/fImage33688288467.png"></Relationship><Relationship Id="rId8" Type="http://schemas.openxmlformats.org/officeDocument/2006/relationships/image" Target="media/fImage17304306334.png"></Relationship><Relationship Id="rId9" Type="http://schemas.openxmlformats.org/officeDocument/2006/relationships/image" Target="media/fImage20330316500.png"></Relationship><Relationship Id="rId10" Type="http://schemas.openxmlformats.org/officeDocument/2006/relationships/image" Target="media/fImage39942141.png"></Relationship><Relationship Id="rId11" Type="http://schemas.openxmlformats.org/officeDocument/2006/relationships/image" Target="media/fImage4706228467.png"></Relationship><Relationship Id="rId12" Type="http://schemas.openxmlformats.org/officeDocument/2006/relationships/image" Target="media/fImage3891236334.png"></Relationship><Relationship Id="rId13" Type="http://schemas.openxmlformats.org/officeDocument/2006/relationships/image" Target="media/fImage5826246500.png"></Relationship><Relationship Id="rId14" Type="http://schemas.openxmlformats.org/officeDocument/2006/relationships/image" Target="media/fImage5566259169.png"></Relationship><Relationship Id="rId15" Type="http://schemas.openxmlformats.org/officeDocument/2006/relationships/image" Target="media/fImage43113315724.png"></Relationship><Relationship Id="rId16" Type="http://schemas.openxmlformats.org/officeDocument/2006/relationships/image" Target="media/fImage32507391478.png"></Relationship><Relationship Id="rId17" Type="http://schemas.openxmlformats.org/officeDocument/2006/relationships/image" Target="media/fImage22967409358.png"></Relationship><Relationship Id="rId18" Type="http://schemas.openxmlformats.org/officeDocument/2006/relationships/image" Target="media/fImage43633416962.png"></Relationship><Relationship Id="rId19" Type="http://schemas.openxmlformats.org/officeDocument/2006/relationships/image" Target="media/fImage43706434464.png"></Relationship><Relationship Id="rId20" Type="http://schemas.openxmlformats.org/officeDocument/2006/relationships/numbering" Target="numbering.xml"></Relationship><Relationship Id="rId21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12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