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SafeWay Kids 판례·AI기본법·정통망법 보강 자문 자료편</w:t>
      </w:r>
    </w:p>
    <w:p>
      <w:pPr>
        <w:pStyle w:val="Heading1"/>
      </w:pPr>
      <w:r>
        <w:rPr>
          <w:b/>
        </w:rPr>
        <w:t>SafeWay Kids — 판례·AI 기본법·정통망법 보강 자문 자료편</w:t>
      </w:r>
    </w:p>
    <w:p>
      <w:r>
        <w:rPr>
          <w:b/>
        </w:rPr>
        <w:t>작성 목적</w:t>
      </w:r>
      <w:r>
        <w:t>: K-Startup 원스톱 심화상담(법률(국내) · 규제·인허가 대응) Build 3 첨부자료</w:t>
      </w:r>
    </w:p>
    <w:p>
      <w:r>
        <w:rPr>
          <w:b/>
        </w:rPr>
        <w:t>작성일</w:t>
      </w:r>
      <w:r>
        <w:t>: 2026-04-19</w:t>
      </w:r>
    </w:p>
    <w:p>
      <w:r>
        <w:rPr>
          <w:b/>
        </w:rPr>
        <w:t>신청 주체</w:t>
      </w:r>
      <w:r>
        <w:t>: SafeWay Kids 팀 (법인 설립 준비 중, 기술창업 예비창업자)</w:t>
      </w:r>
    </w:p>
    <w:p>
      <w:pPr>
        <w:ind w:left="432"/>
      </w:pPr>
      <w:r>
        <w:rPr>
          <w:i/>
          <w:color w:val="444444"/>
        </w:rPr>
        <w:t>본 자료에는 개인 연락처·성명 등 개인정보를 포함하지 않습니다.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1. 서비스·법적 구조 개요</w:t>
      </w:r>
    </w:p>
    <w:p>
      <w:r>
        <w:t xml:space="preserve">SafeWay Kids는 학원·유치원 등 어린이 교육시설(A)과 여객자동차운수사업법상 전세버스 면허를 보유한 전세버스운송사업자(B)를 </w:t>
      </w:r>
      <w:r>
        <w:rPr>
          <w:b/>
        </w:rPr>
        <w:t>N:N</w:t>
      </w:r>
      <w:r>
        <w:t>으로 중개하는 플랫폼입니다.</w:t>
      </w:r>
    </w:p>
    <w:p>
      <w:pPr>
        <w:pStyle w:val="ListBullet"/>
      </w:pPr>
      <w:r>
        <w:rPr>
          <w:b/>
        </w:rPr>
        <w:t>차량 소유</w:t>
      </w:r>
      <w:r>
        <w:t>: 전세버스사업자(B) — 플랫폼 미소유</w:t>
      </w:r>
    </w:p>
    <w:p>
      <w:pPr>
        <w:pStyle w:val="ListBullet"/>
      </w:pPr>
      <w:r>
        <w:rPr>
          <w:b/>
        </w:rPr>
        <w:t>운전자 고용</w:t>
      </w:r>
      <w:r>
        <w:t>: 전세버스사업자(B) — 플랫폼 미고용</w:t>
      </w:r>
    </w:p>
    <w:p>
      <w:pPr>
        <w:pStyle w:val="ListBullet"/>
      </w:pPr>
      <w:r>
        <w:rPr>
          <w:b/>
        </w:rPr>
        <w:t>법적 포지션</w:t>
      </w:r>
      <w:r>
        <w:t>: 여객자동차법 §49조의2 제3호 "여객자동차운수사업자 운송중개업"</w:t>
      </w:r>
    </w:p>
    <w:p>
      <w:pPr>
        <w:pStyle w:val="ListBullet"/>
      </w:pPr>
      <w:r>
        <w:rPr>
          <w:b/>
        </w:rPr>
        <w:t>부가 기능</w:t>
      </w:r>
      <w:r>
        <w:t>: 동적 배차, 엣지 AI 안전 모니터링, 학부모-기사 양방향 메시징, 빌링</w:t>
      </w:r>
    </w:p>
    <w:p>
      <w:pPr>
        <w:pStyle w:val="Heading3"/>
      </w:pPr>
      <w:r>
        <w:rPr>
          <w:b/>
        </w:rPr>
        <w:t>선례</w:t>
      </w:r>
    </w:p>
    <w:p>
      <w:pPr>
        <w:pStyle w:val="ListBullet"/>
      </w:pPr>
      <w:r>
        <w:t>㈜스쿨버스 RIDE 플랫폼 — ICT 규제샌드박스 동일 카테고리 통과 (safeschoolbus.net)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2. 대법원 판례 2008두21294와 본 사업 계약 구조</w:t>
      </w:r>
    </w:p>
    <w:p>
      <w:pPr>
        <w:pStyle w:val="Heading3"/>
      </w:pPr>
      <w:r>
        <w:rPr>
          <w:b/>
        </w:rPr>
        <w:t>2.1 판례 개요 (인용 확인 필요)</w:t>
      </w:r>
    </w:p>
    <w:p>
      <w:pPr>
        <w:pStyle w:val="ListBullet"/>
      </w:pPr>
      <w:r>
        <w:t>판시 방향: 전세버스사업자가 정해진 노선에 따라 지속적으로 승객을 태우고 대가를 받는 경우 "노선여객자동차운송사업"으로 간주</w:t>
      </w:r>
    </w:p>
    <w:p>
      <w:pPr>
        <w:pStyle w:val="ListBullet"/>
      </w:pPr>
      <w:r>
        <w:t>판례 핵심 기준: (a) 운행계통 고정 여부, (b) 운송 대상의 특정·단일성</w:t>
      </w:r>
    </w:p>
    <w:p>
      <w:pPr>
        <w:pStyle w:val="Heading3"/>
      </w:pPr>
      <w:r>
        <w:rPr>
          <w:b/>
        </w:rPr>
        <w:t>2.2 본 사업 계약 관계도</w:t>
      </w:r>
    </w:p>
    <w:p>
      <w:pPr>
        <w:ind w:left="288"/>
      </w:pPr>
      <w:r>
        <w:rPr>
          <w:rFonts w:ascii="Consolas" w:hAnsi="Consolas" w:eastAsia="Consolas"/>
          <w:sz w:val="18"/>
        </w:rPr>
        <w:t>[교육시설 A] ──── 운송계약 A ──┐</w:t>
        <w:br/>
        <w:t xml:space="preserve">                               │</w:t>
        <w:br/>
        <w:t xml:space="preserve">                               ├─&gt; [전세버스사업자 X]</w:t>
        <w:br/>
        <w:t xml:space="preserve">                               │        │</w:t>
        <w:br/>
        <w:t>[교육시설 B] ──── 운송계약 B ──┘        │</w:t>
        <w:br/>
        <w:t xml:space="preserve">                                         │</w:t>
        <w:br/>
        <w:t>[플랫폼 SafeWay Kids] ─ 중개·배차 ──────┘</w:t>
        <w:br/>
        <w:t xml:space="preserve">                                         │</w:t>
        <w:br/>
        <w:t xml:space="preserve">                                         ▼</w:t>
        <w:br/>
        <w:t xml:space="preserve">                                    [동일 차량]</w:t>
        <w:br/>
        <w:t xml:space="preserve">                               (유휴 시간대 분할 이용)</w:t>
      </w:r>
    </w:p>
    <w:p>
      <w:r>
        <w:rPr>
          <w:b/>
        </w:rPr>
        <w:t>특징</w:t>
      </w:r>
    </w:p>
    <w:p>
      <w:pPr>
        <w:pStyle w:val="ListBullet"/>
      </w:pPr>
      <w:r>
        <w:t xml:space="preserve">각 교육시설은 전세버스사업자와 </w:t>
      </w:r>
      <w:r>
        <w:rPr>
          <w:b/>
        </w:rPr>
        <w:t>별개</w:t>
      </w:r>
      <w:r>
        <w:t xml:space="preserve"> 계약 체결</w:t>
      </w:r>
    </w:p>
    <w:p>
      <w:pPr>
        <w:pStyle w:val="ListBullet"/>
      </w:pPr>
      <w:r>
        <w:t>플랫폼은 두 계약을 매칭하지만 자체 운송계약 체결 없음</w:t>
      </w:r>
    </w:p>
    <w:p>
      <w:pPr>
        <w:pStyle w:val="ListBullet"/>
      </w:pPr>
      <w:r>
        <w:t>동적 배차(DRT)로 매일 경로 재계산 → "정해진 노선" 반복성 회피 설계</w:t>
      </w:r>
    </w:p>
    <w:p>
      <w:pPr>
        <w:pStyle w:val="Heading3"/>
      </w:pPr>
      <w:r>
        <w:rPr>
          <w:b/>
        </w:rPr>
        <w:t>2.3 법적 쟁점</w:t>
      </w:r>
    </w:p>
    <w:p>
      <w:r>
        <w:t>판례의 "1개 운송계약" 기준이 "사업자-단체 간 단일 계약"만을 전제하는지, 아니면 "복수 독립 계약의 병렬"도 포섭하는지 공개 해석 부재. 후자 해석이면 본 사업 구조가 판례 불리 방향으로 재분류될 위험.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3. AI 기본법 §33 이행 체계 (2026-01 시행)</w:t>
      </w:r>
    </w:p>
    <w:p>
      <w:pPr>
        <w:pStyle w:val="Heading3"/>
      </w:pPr>
      <w:r>
        <w:rPr>
          <w:b/>
        </w:rPr>
        <w:t>3.1 조문 구분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조항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성격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§33 ①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의무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 xml:space="preserve">고영향 AI 사업자는 사전 내부 검토를 </w:t>
            </w:r>
            <w:r>
              <w:rPr>
                <w:rFonts w:ascii="Calibri" w:hAnsi="Calibri" w:eastAsia="맑은 고딕"/>
                <w:b w:val="0"/>
                <w:sz w:val="18"/>
              </w:rPr>
              <w:t>하여야 한다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§33 ②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권리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 xml:space="preserve">고영향 AI 사업자는 과기정통부 장관에게 확인을 </w:t>
            </w:r>
            <w:r>
              <w:rPr>
                <w:rFonts w:ascii="Calibri" w:hAnsi="Calibri" w:eastAsia="맑은 고딕"/>
                <w:b w:val="0"/>
                <w:sz w:val="18"/>
              </w:rPr>
              <w:t>요청할 수 있다</w:t>
            </w:r>
          </w:p>
        </w:tc>
      </w:tr>
    </w:tbl>
    <w:p/>
    <w:p>
      <w:pPr>
        <w:pStyle w:val="Heading3"/>
      </w:pPr>
      <w:r>
        <w:rPr>
          <w:b/>
        </w:rPr>
        <w:t>3.2 당사 §33 ① 이행 구조 초안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구성 요소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계획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/>
                <w:sz w:val="18"/>
              </w:rPr>
            </w:r>
            <w:r>
              <w:rPr>
                <w:rFonts w:ascii="Calibri" w:hAnsi="Calibri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사내 AI 위원회 결정문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분기 개최, 위원 외부 포함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구조 설계 중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PIA(개인정보영향평가) 보고서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엣지 AI 추론 파이프라인 대상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초안 작성 중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기술 리스크 평가서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VRP-TW·안면 임베딩·양방향 메시징 각 모듈별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초안 작성 중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위험관리 매뉴얼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실증 개시 전 확정 + 분기 갱신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설계 중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이의제기 창구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이용약관 명시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맑은 고딕"/>
                <w:b w:val="0"/>
                <w:sz w:val="18"/>
              </w:rPr>
            </w:r>
            <w:r>
              <w:rPr>
                <w:rFonts w:ascii="Calibri" w:hAnsi="Calibri" w:eastAsia="맑은 고딕"/>
                <w:b w:val="0"/>
                <w:sz w:val="18"/>
              </w:rPr>
              <w:t>구조 설계 중</w:t>
            </w:r>
          </w:p>
        </w:tc>
      </w:tr>
    </w:tbl>
    <w:p/>
    <w:p>
      <w:pPr>
        <w:pStyle w:val="Heading3"/>
      </w:pPr>
      <w:r>
        <w:rPr>
          <w:b/>
        </w:rPr>
        <w:t>3.3 §33 ② 장관 확인 요청 신청 시점 불확실성</w:t>
      </w:r>
    </w:p>
    <w:p>
      <w:pPr>
        <w:pStyle w:val="ListBullet"/>
      </w:pPr>
      <w:r>
        <w:t xml:space="preserve">옵션 A: 실증특례 신청과 </w:t>
      </w:r>
      <w:r>
        <w:rPr>
          <w:b/>
        </w:rPr>
        <w:t>동시 제출</w:t>
      </w:r>
      <w:r>
        <w:t xml:space="preserve"> (과기정통부 단일 창구)</w:t>
      </w:r>
    </w:p>
    <w:p>
      <w:pPr>
        <w:pStyle w:val="ListBullet"/>
      </w:pPr>
      <w:r>
        <w:t xml:space="preserve">옵션 B: 실증 개시 전 </w:t>
      </w:r>
      <w:r>
        <w:rPr>
          <w:b/>
        </w:rPr>
        <w:t>별도 절차</w:t>
      </w:r>
    </w:p>
    <w:p>
      <w:pPr>
        <w:pStyle w:val="ListBullet"/>
      </w:pPr>
      <w:r>
        <w:t xml:space="preserve">옵션 C: 실증 승인 후 </w:t>
      </w:r>
      <w:r>
        <w:rPr>
          <w:b/>
        </w:rPr>
        <w:t>운영 중 임의 시점</w:t>
      </w:r>
    </w:p>
    <w:p>
      <w:r>
        <w:t>시행령 확정 전이라 공식 가이드 부재. "부(否)" 결정 시 실증 신청에 미치는 영향도 미확인.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4. 정보통신망법 §44의2 — 학부모-기사 메시징 구조</w:t>
      </w:r>
    </w:p>
    <w:p>
      <w:pPr>
        <w:pStyle w:val="Heading3"/>
      </w:pPr>
      <w:r>
        <w:rPr>
          <w:b/>
        </w:rPr>
        <w:t>4.1 메시징 설계</w:t>
      </w:r>
    </w:p>
    <w:p>
      <w:pPr>
        <w:pStyle w:val="ListBullet"/>
      </w:pPr>
      <w:r>
        <w:rPr>
          <w:b/>
        </w:rPr>
        <w:t>대상</w:t>
      </w:r>
      <w:r>
        <w:t>: 학부모(보호자) ↔ 전세버스 기사</w:t>
      </w:r>
    </w:p>
    <w:p>
      <w:pPr>
        <w:pStyle w:val="ListBullet"/>
      </w:pPr>
      <w:r>
        <w:rPr>
          <w:b/>
        </w:rPr>
        <w:t>용도</w:t>
      </w:r>
      <w:r>
        <w:t>: 등·하원 시각 조정, 긴급 연락, 탑승 확인</w:t>
      </w:r>
    </w:p>
    <w:p>
      <w:pPr>
        <w:pStyle w:val="ListBullet"/>
      </w:pPr>
      <w:r>
        <w:rPr>
          <w:b/>
        </w:rPr>
        <w:t>구조</w:t>
      </w:r>
      <w:r>
        <w:t>: 애플리케이션 내부 채널 (플랫폼 서버 경유)</w:t>
      </w:r>
    </w:p>
    <w:p>
      <w:pPr>
        <w:pStyle w:val="ListBullet"/>
      </w:pPr>
      <w:r>
        <w:rPr>
          <w:b/>
        </w:rPr>
        <w:t>보관</w:t>
      </w:r>
      <w:r>
        <w:t>: 메시지 본문 6개월 보관 후 자동 파기</w:t>
      </w:r>
    </w:p>
    <w:p>
      <w:pPr>
        <w:pStyle w:val="ListBullet"/>
      </w:pPr>
      <w:r>
        <w:rPr>
          <w:b/>
        </w:rPr>
        <w:t>공개 범위</w:t>
      </w:r>
      <w:r>
        <w:t>: 양자 간 사적 채널, 제3자 조회 불가</w:t>
      </w:r>
    </w:p>
    <w:p>
      <w:pPr>
        <w:pStyle w:val="Heading3"/>
      </w:pPr>
      <w:r>
        <w:rPr>
          <w:b/>
        </w:rPr>
        <w:t>4.2 §44의2 적용 여부 쟁점</w:t>
      </w:r>
    </w:p>
    <w:p>
      <w:pPr>
        <w:pStyle w:val="ListBullet"/>
      </w:pPr>
      <w:r>
        <w:t>"정보통신망을 통하여 일반에게 공개된 정보" 정의에 학부모-기사 사적 채널이 해당하는가</w:t>
      </w:r>
    </w:p>
    <w:p>
      <w:pPr>
        <w:pStyle w:val="ListBullet"/>
      </w:pPr>
      <w:r>
        <w:t>양자 간 사적 통신이면 §44의2 적용 제외 (임시조치 의무 없음)</w:t>
      </w:r>
    </w:p>
    <w:p>
      <w:pPr>
        <w:pStyle w:val="ListBullet"/>
      </w:pPr>
      <w:r>
        <w:t>일반 공개에 해당하면 임시조치 의무(게시 삭제·차단)가 발생</w:t>
      </w:r>
    </w:p>
    <w:p>
      <w:pPr>
        <w:pStyle w:val="Heading3"/>
      </w:pPr>
      <w:r>
        <w:rPr>
          <w:b/>
        </w:rPr>
        <w:t>4.3 1인 창업가 24~48시간 이행 가능성</w:t>
      </w:r>
    </w:p>
    <w:p>
      <w:r>
        <w:t>임시조치 의무 발생 시 요구되는 대응:</w:t>
      </w:r>
    </w:p>
    <w:p>
      <w:pPr>
        <w:pStyle w:val="ListBullet"/>
      </w:pPr>
      <w:r>
        <w:t>신고 접수 → 검토 → 게시물 접근 제한 또는 삭제 → 게시자 소명 기회 부여</w:t>
      </w:r>
    </w:p>
    <w:p>
      <w:pPr>
        <w:pStyle w:val="ListBullet"/>
      </w:pPr>
      <w:r>
        <w:t>24~48시간 내 1인 창업가가 이행 가능한 자동화·수동 혼합 구조 필요</w:t>
      </w:r>
    </w:p>
    <w:p>
      <w:pPr>
        <w:pStyle w:val="ListBullet"/>
      </w:pPr>
      <w:r>
        <w:t>§44의3 명예훼손 분쟁조정 절차도 중복 발생 가능</w:t>
      </w:r>
    </w:p>
    <w:p>
      <w:pPr>
        <w:pStyle w:val="Heading3"/>
      </w:pPr>
      <w:r>
        <w:rPr>
          <w:b/>
        </w:rPr>
        <w:t>4.4 6개월 보관과 증거 보존 의무 충돌 가능성</w:t>
      </w:r>
    </w:p>
    <w:p>
      <w:r>
        <w:t>본 설계의 6개월 자동 파기가 §44의2 분쟁 발생 시 증거 보존 요건과 충돌하는지, 또는 보관 기간을 선택적으로 연장해야 하는지 확인 필요.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5. 핵심 조문</w:t>
      </w:r>
    </w:p>
    <w:p>
      <w:pPr>
        <w:pStyle w:val="ListBullet"/>
      </w:pPr>
      <w:r>
        <w:t>여객자동차법 §2 제3호(여객자동차운송사업 정의), §3(구역 여객자동차운송사업·전세버스), §49조의2(여객자동차운수사업자 운송중개업)</w:t>
      </w:r>
    </w:p>
    <w:p>
      <w:pPr>
        <w:pStyle w:val="ListBullet"/>
      </w:pPr>
      <w:r>
        <w:t>대법원 2008두21294(전세버스사업자 노선여객자동차운송사업 재분류 판례)</w:t>
      </w:r>
    </w:p>
    <w:p>
      <w:pPr>
        <w:pStyle w:val="ListBullet"/>
      </w:pPr>
      <w:r>
        <w:t>AI 기본법 §33(고영향 AI 사업자의 사전 검토 및 확인 요청) — 2026-01 시행</w:t>
      </w:r>
    </w:p>
    <w:p>
      <w:pPr>
        <w:pStyle w:val="ListBullet"/>
      </w:pPr>
      <w:r>
        <w:t>정보통신망법 §44의2(임시조치 의무), §44의3(명예훼손 분쟁조정), §32(정보통신서비스 제공자의 손해배상)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</w:rPr>
        <w:t>6. 자문 요청 범위 요약</w:t>
      </w:r>
    </w:p>
    <w:p>
      <w:r>
        <w:t>본 자료와 함께 별도 신청 본문에 기재된 3개 질문에 대한 전문 변호사 자문을 요청합니다.</w:t>
      </w:r>
    </w:p>
    <w:p>
      <w:pPr>
        <w:pStyle w:val="ListNumber"/>
      </w:pPr>
      <w:r>
        <w:rPr>
          <w:b/>
        </w:rPr>
        <w:t>대법원 2008두21294 적용 방향</w:t>
      </w:r>
      <w:r>
        <w:t xml:space="preserve"> — 본 사업 계약 구조(N:N 별개 계약)에서 판례 유리·불리·중립 판정</w:t>
      </w:r>
    </w:p>
    <w:p>
      <w:pPr>
        <w:pStyle w:val="ListNumber"/>
      </w:pPr>
      <w:r>
        <w:rPr>
          <w:b/>
        </w:rPr>
        <w:t>AI 기본법 §33 ①·② 이행</w:t>
      </w:r>
      <w:r>
        <w:t xml:space="preserve"> — ① 의무 증빙 요건 + ② 확인 요청 신청 시점 + 부(否) 결정 영향</w:t>
      </w:r>
    </w:p>
    <w:p>
      <w:pPr>
        <w:pStyle w:val="ListNumber"/>
      </w:pPr>
      <w:r>
        <w:rPr>
          <w:b/>
        </w:rPr>
        <w:t>정보통신망법 §44의2 임시조치 의무</w:t>
      </w:r>
      <w:r>
        <w:t xml:space="preserve"> — 학부모-기사 메시징 적용 여부 + 1인 창업가 이행 구조 + 6개월 파기 vs 증거 보존 충돌</w:t>
      </w:r>
    </w:p>
    <w:p>
      <w:r>
        <w:rPr>
          <w:b/>
        </w:rPr>
        <w:t>답변은 향후 ICT 실증특례 신청서의 법리 체계 보강 자료로 활용될 예정이며, 구속력 있는 최종 결정은 면허 변호사 서면 의견서 수령 후에 내립니다.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맑은 고딕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