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SafeWay Kids 동적 배차 책임 구조 및 샌드박스 약정 자료편</w:t>
      </w:r>
    </w:p>
    <w:p>
      <w:pPr>
        <w:pStyle w:val="Heading1"/>
      </w:pPr>
      <w:r>
        <w:rPr>
          <w:b/>
        </w:rPr>
        <w:t>SafeWay Kids — 플랫폼 동적 배차 책임 구조 및 샌드박스 약정 법적 지위 자료편</w:t>
      </w:r>
    </w:p>
    <w:p>
      <w:r>
        <w:rPr>
          <w:b/>
        </w:rPr>
        <w:t>작성 목적</w:t>
      </w:r>
      <w:r>
        <w:t>: K-Startup 원스톱 심화상담(법률(국내) · 규제·인허가 대응) 신청 첨부자료</w:t>
      </w:r>
    </w:p>
    <w:p>
      <w:r>
        <w:rPr>
          <w:b/>
        </w:rPr>
        <w:t>작성일</w:t>
      </w:r>
      <w:r>
        <w:t>: 2026-04-19</w:t>
      </w:r>
    </w:p>
    <w:p>
      <w:r>
        <w:rPr>
          <w:b/>
        </w:rPr>
        <w:t>신청 주체</w:t>
      </w:r>
      <w:r>
        <w:t>: SafeWay Kids 팀 (법인 설립 준비 중, 기술창업 예비창업자)</w:t>
      </w:r>
    </w:p>
    <w:p>
      <w:pPr>
        <w:ind w:left="432"/>
      </w:pPr>
      <w:r>
        <w:rPr>
          <w:i/>
          <w:color w:val="444444"/>
        </w:rPr>
        <w:t>본 자료에는 개인 연락처·성명 등 개인정보를 포함하지 않습니다.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1. 서비스·법적 구조 개요</w:t>
      </w:r>
    </w:p>
    <w:p>
      <w:r>
        <w:t xml:space="preserve">SafeWay Kids는 학원·유치원 등 어린이 교육시설(A)과 여객자동차운수사업법상 전세버스 면허를 보유한 전세버스운송사업자(B)를 </w:t>
      </w:r>
      <w:r>
        <w:rPr>
          <w:b/>
        </w:rPr>
        <w:t>N:N</w:t>
      </w:r>
      <w:r>
        <w:t>으로 중개하는 플랫폼입니다.</w:t>
      </w:r>
    </w:p>
    <w:p>
      <w:pPr>
        <w:pStyle w:val="ListBullet"/>
      </w:pPr>
      <w:r>
        <w:rPr>
          <w:b/>
        </w:rPr>
        <w:t>차량 소유</w:t>
      </w:r>
      <w:r>
        <w:t>: 전세버스사업자(B) — 플랫폼 미소유</w:t>
      </w:r>
    </w:p>
    <w:p>
      <w:pPr>
        <w:pStyle w:val="ListBullet"/>
      </w:pPr>
      <w:r>
        <w:rPr>
          <w:b/>
        </w:rPr>
        <w:t>운전자 고용</w:t>
      </w:r>
      <w:r>
        <w:t>: 전세버스사업자(B) — 플랫폼 미고용</w:t>
      </w:r>
    </w:p>
    <w:p>
      <w:pPr>
        <w:pStyle w:val="ListBullet"/>
      </w:pPr>
      <w:r>
        <w:rPr>
          <w:b/>
        </w:rPr>
        <w:t>계약 구조</w:t>
      </w:r>
      <w:r>
        <w:t>: 교육시설 A 각각과 전세버스사업자 B 각각이 별개 운송계약 체결</w:t>
      </w:r>
    </w:p>
    <w:p>
      <w:pPr>
        <w:pStyle w:val="ListBullet"/>
      </w:pPr>
      <w:r>
        <w:rPr>
          <w:b/>
        </w:rPr>
        <w:t>플랫폼 역할</w:t>
      </w:r>
      <w:r>
        <w:t>: 계약 중개 + 동적 배차(VRP-TW) + 안전 모니터링</w:t>
      </w:r>
    </w:p>
    <w:p>
      <w:pPr>
        <w:pStyle w:val="ListBullet"/>
      </w:pPr>
      <w:r>
        <w:rPr>
          <w:b/>
        </w:rPr>
        <w:t>법적 포지션</w:t>
      </w:r>
      <w:r>
        <w:t>: 여객자동차법 §49조의2 제3호 "여객자동차운수사업자 운송중개업"</w:t>
      </w:r>
    </w:p>
    <w:p>
      <w:pPr>
        <w:pStyle w:val="Heading3"/>
      </w:pPr>
      <w:r>
        <w:rPr>
          <w:b/>
        </w:rPr>
        <w:t>선례</w:t>
      </w:r>
    </w:p>
    <w:p>
      <w:pPr>
        <w:pStyle w:val="ListBullet"/>
      </w:pPr>
      <w:r>
        <w:rPr>
          <w:b/>
        </w:rPr>
        <w:t>㈜스쿨버스 RIDE 플랫폼</w:t>
      </w:r>
      <w:r>
        <w:t xml:space="preserve"> — ICT 규제샌드박스 동일 카테고리 통과 (safeschoolbus.net)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2. 규제 공백 #6 — 플랫폼 동적 배차 알고리즘 책임 귀속 (§2.8)</w:t>
      </w:r>
    </w:p>
    <w:p>
      <w:pPr>
        <w:pStyle w:val="Heading3"/>
      </w:pPr>
      <w:r>
        <w:rPr>
          <w:b/>
        </w:rPr>
        <w:t>2.1 문제 정의</w:t>
      </w:r>
    </w:p>
    <w:p>
      <w:r>
        <w:t>본 사업은 VRP-TW (Vehicle Routing Problem with Time Windows) 알고리즘으로 복수 교육시설의 복수 학생을 복수 차량에 동적으로 배차합니다. 배차 결정(경로·시각·매칭)은 플랫폼 알고리즘이 산출합니다.</w:t>
      </w:r>
    </w:p>
    <w:p>
      <w:r>
        <w:t>사고 발생 또는 알고리즘 오류(미매칭·경로 오류)로 손해가 발생한 경우, 책임 귀속 주체가 다음 중 무엇인지 현행법 체계에서 명확하지 않습니다.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후보 주체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근거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한계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전세버스사업자(B)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여객자동차법 §24(지휘·감독), 자배법 §3(운행자)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배차 결정을 직접 하지 않음 — 플랫폼 결정 수용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플랫폼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여객자동차법 §49조의2 제3호 중개업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중개업 책임 범위가 배차 알고리즘까지 포섭하는지 명문 규정 없음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교육시설(A)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아동복지법·위탁 운송 사용자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배차 결정에 관여하지 않음</w:t>
            </w:r>
          </w:p>
        </w:tc>
      </w:tr>
    </w:tbl>
    <w:p/>
    <w:p>
      <w:pPr>
        <w:pStyle w:val="Heading3"/>
      </w:pPr>
      <w:r>
        <w:rPr>
          <w:b/>
        </w:rPr>
        <w:t>2.2 보조 법리 후보 3경로 (v2.0.3 신설)</w:t>
      </w:r>
    </w:p>
    <w:p>
      <w:r>
        <w:t>공백 #6이 실정법상 자립적으로 성립하는지 또는 기존 법리로 해석 가능한지 검증하기 위해 다음 3경로를 병렬 주장합니다.</w:t>
      </w:r>
    </w:p>
    <w:p>
      <w:pPr>
        <w:pStyle w:val="ListNumber"/>
      </w:pPr>
      <w:r>
        <w:rPr>
          <w:b/>
        </w:rPr>
        <w:t>민법 §750 불법행위</w:t>
      </w:r>
      <w:r>
        <w:t xml:space="preserve"> — VRP-TW 파라미터 설정·검증 소홀이 과실 불법행위로 인정되는 기준</w:t>
      </w:r>
    </w:p>
    <w:p>
      <w:pPr>
        <w:pStyle w:val="ListNumber"/>
      </w:pPr>
      <w:r>
        <w:rPr>
          <w:b/>
        </w:rPr>
        <w:t>상법 §152 운송주선인 경계</w:t>
      </w:r>
      <w:r>
        <w:t xml:space="preserve"> — 배차 알고리즘이 운송 실행 방식을 지정할 때 운송주선인을 넘어 운송인에 가까워지는가</w:t>
      </w:r>
    </w:p>
    <w:p>
      <w:pPr>
        <w:pStyle w:val="ListNumber"/>
      </w:pPr>
      <w:r>
        <w:rPr>
          <w:b/>
        </w:rPr>
        <w:t>정보통신망법 §32 정보통신서비스 제공자의 손해배상</w:t>
      </w:r>
      <w:r>
        <w:t xml:space="preserve"> — 플랫폼 알고리즘이 정보통신서비스로 분류될 때 여객자동차법과의 중첩·선택 적용</w:t>
      </w:r>
    </w:p>
    <w:p>
      <w:r>
        <w:t>각 경로의 실무 적용 가능성과 선례(자율주행·추천 알고리즘 판례) 확인 요청.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3. 샌드박스 실증특례 약정 3건의 법적 지위 (§4.4·§4.5·§4.6)</w:t>
      </w:r>
    </w:p>
    <w:p>
      <w:pPr>
        <w:pStyle w:val="Heading3"/>
      </w:pPr>
      <w:r>
        <w:rPr>
          <w:b/>
        </w:rPr>
        <w:t>3.1 약정 구조 요약</w:t>
      </w:r>
    </w:p>
    <w:p>
      <w:r>
        <w:t>본 실증특례 신청서는 승인 조건으로 다음 약정 3건을 포함합니다.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약정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조항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내용 개요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§4.4 배상 한도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사고 발생 시 플랫폼 자발적 배상 구조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법정손해배상 기준 + 추가 위로금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§4.5 인력 구조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AI 모니터링 사람 감독 요건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24/7 감독, 독립성 확보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§4.6 감독 체계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AI 거버넌스 매트릭스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위험관리 매뉴얼 + 분기 갱신 + 이의제기 창구</w:t>
            </w:r>
          </w:p>
        </w:tc>
      </w:tr>
    </w:tbl>
    <w:p/>
    <w:p>
      <w:pPr>
        <w:pStyle w:val="Heading3"/>
      </w:pPr>
      <w:r>
        <w:rPr>
          <w:b/>
        </w:rPr>
        <w:t>3.2 법적 쟁점</w:t>
      </w:r>
    </w:p>
    <w:p>
      <w:pPr>
        <w:pStyle w:val="ListBullet"/>
      </w:pPr>
      <w:r>
        <w:rPr>
          <w:b/>
        </w:rPr>
        <w:t>이행 기준 확정</w:t>
      </w:r>
      <w:r>
        <w:t>: 신청서 문언이 그대로 편입되는가, 소관부처가 재정의하는가, 이용약관·운송계약에 반영된 내용이 기준인가</w:t>
      </w:r>
    </w:p>
    <w:p>
      <w:pPr>
        <w:pStyle w:val="ListBullet"/>
      </w:pPr>
      <w:r>
        <w:rPr>
          <w:b/>
        </w:rPr>
        <w:t>취소 처분 요건</w:t>
      </w:r>
      <w:r>
        <w:t>: 정보통신융합법 §38조의2 제7항 + 행정기본법 §18 ③ — 비례 원칙상 경고·시정 명령 선행이 필요한가. "구조적 이행 불능"과 "일회 불이행"의 구분 기준</w:t>
      </w:r>
    </w:p>
    <w:p>
      <w:pPr>
        <w:pStyle w:val="ListBullet"/>
      </w:pPr>
      <w:r>
        <w:rPr>
          <w:b/>
        </w:rPr>
        <w:t>약관규제법·민법 §398 ② 리스크</w:t>
      </w:r>
      <w:r>
        <w:t>: 자발적 배수 배상 약정(예: 법정손해배상의 2배 자체 보상)이 "업계 표준" 부재 상태에서 유효한가</w:t>
      </w:r>
    </w:p>
    <w:p>
      <w:pPr>
        <w:pStyle w:val="ListBullet"/>
      </w:pPr>
      <w:r>
        <w:rPr>
          <w:b/>
        </w:rPr>
        <w:t>개인정보법 §39의2 + 이용약관 약정 병존</w:t>
      </w:r>
      <w:r>
        <w:t>: 피해자가 법정손해배상과 약정 배상을 선택 청구 가능한가 중복 배제인가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4. 핵심 조문</w:t>
      </w:r>
    </w:p>
    <w:p>
      <w:pPr>
        <w:pStyle w:val="ListBullet"/>
      </w:pPr>
      <w:r>
        <w:t>여객자동차법 §24(지휘·감독), §49조의2(여객자동차운송중개업), §81(알선 금지)</w:t>
      </w:r>
    </w:p>
    <w:p>
      <w:pPr>
        <w:pStyle w:val="ListBullet"/>
      </w:pPr>
      <w:r>
        <w:t>자배법 §3(운행자 책임)</w:t>
      </w:r>
    </w:p>
    <w:p>
      <w:pPr>
        <w:pStyle w:val="ListBullet"/>
      </w:pPr>
      <w:r>
        <w:t>민법 §750(불법행위), §398(과실상계·배상액 예정)</w:t>
      </w:r>
    </w:p>
    <w:p>
      <w:pPr>
        <w:pStyle w:val="ListBullet"/>
      </w:pPr>
      <w:r>
        <w:t>상법 §152(운송주선인)</w:t>
      </w:r>
    </w:p>
    <w:p>
      <w:pPr>
        <w:pStyle w:val="ListBullet"/>
      </w:pPr>
      <w:r>
        <w:t>정보통신망법 §32(정보통신서비스 제공자의 손해배상)</w:t>
      </w:r>
    </w:p>
    <w:p>
      <w:pPr>
        <w:pStyle w:val="ListBullet"/>
      </w:pPr>
      <w:r>
        <w:t>정보통신융합법 §38조의2 제7항(특례 취소 처분)</w:t>
      </w:r>
    </w:p>
    <w:p>
      <w:pPr>
        <w:pStyle w:val="ListBullet"/>
      </w:pPr>
      <w:r>
        <w:t>행정기본법 §18 ③(처분의 취소)</w:t>
      </w:r>
    </w:p>
    <w:p>
      <w:pPr>
        <w:pStyle w:val="ListBullet"/>
      </w:pPr>
      <w:r>
        <w:t>약관규제법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5. 자문 요청 범위 요약</w:t>
      </w:r>
    </w:p>
    <w:p>
      <w:r>
        <w:t>본 자료와 함께 별도 신청 본문에 기재된 3개 질문에 대한 전문 변호사 자문을 요청합니다.</w:t>
      </w:r>
    </w:p>
    <w:p>
      <w:pPr>
        <w:pStyle w:val="ListNumber"/>
      </w:pPr>
      <w:r>
        <w:rPr>
          <w:b/>
        </w:rPr>
        <w:t>공백 #6 법리 자립성</w:t>
      </w:r>
      <w:r>
        <w:t xml:space="preserve"> — 실정법상 자립 공백인가 해석 가능 영역인가</w:t>
      </w:r>
    </w:p>
    <w:p>
      <w:pPr>
        <w:pStyle w:val="ListNumber"/>
      </w:pPr>
      <w:r>
        <w:rPr>
          <w:b/>
        </w:rPr>
        <w:t>보조 법리 3경로</w:t>
      </w:r>
      <w:r>
        <w:t xml:space="preserve"> — 민법 §750, 상법 §152, 정통망법 §32 각각의 적용 가능성과 여객자동차법과의 중첩 관계</w:t>
      </w:r>
    </w:p>
    <w:p>
      <w:pPr>
        <w:pStyle w:val="ListNumber"/>
      </w:pPr>
      <w:r>
        <w:rPr>
          <w:b/>
        </w:rPr>
        <w:t>샌드박스 약정 법적 지위 + 취소 처분 요건 + 자체 기준 배수 배상 허용 여부</w:t>
      </w:r>
    </w:p>
    <w:p>
      <w:r>
        <w:rPr>
          <w:b/>
        </w:rPr>
        <w:t>답변은 향후 ICT 실증특례 신청서의 §2.8 공백 #6 법리 보강 및 §4.4·§4.5·§4.6 약정 재작성의 근거로 활용될 예정이며, 구속력 있는 최종 결정은 면허 변호사 서면 의견서 수령 후에 내립니다.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