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61E06BB3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D64764">
        <w:rPr>
          <w:rFonts w:eastAsia="Calibri"/>
          <w:bCs/>
          <w:color w:val="000000"/>
          <w:sz w:val="28"/>
          <w:szCs w:val="28"/>
        </w:rPr>
        <w:t>9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AB970CC" w14:textId="230A0395" w:rsidR="009632D6" w:rsidRPr="004A2E97" w:rsidRDefault="00D64764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 w:rsidRPr="00474D73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D64764">
        <w:rPr>
          <w:rStyle w:val="FontStyle11"/>
          <w:rFonts w:ascii="Times New Roman" w:hAnsi="Times New Roman" w:cs="Times New Roman"/>
          <w:sz w:val="28"/>
          <w:szCs w:val="28"/>
        </w:rPr>
        <w:t>Авторское право и смежные права</w:t>
      </w:r>
      <w:r w:rsidRPr="00D64764">
        <w:rPr>
          <w:b/>
          <w:bCs/>
          <w:color w:val="000000" w:themeColor="text1"/>
          <w:sz w:val="28"/>
          <w:szCs w:val="28"/>
          <w:lang w:eastAsia="be-BY"/>
        </w:rPr>
        <w:t>»</w:t>
      </w:r>
      <w:r w:rsidR="009632D6"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35B235DF" w:rsidR="009632D6" w:rsidRPr="00347FDA" w:rsidRDefault="00295A78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546870E9" w:rsidR="009632D6" w:rsidRDefault="009632D6"/>
    <w:p w14:paraId="63689571" w14:textId="5896D0AE" w:rsidR="00E32A31" w:rsidRPr="000C7ED8" w:rsidRDefault="00D64764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№9</w:t>
      </w:r>
    </w:p>
    <w:p w14:paraId="2CD0878B" w14:textId="086A71D8" w:rsidR="00D64764" w:rsidRPr="00D64764" w:rsidRDefault="00D64764" w:rsidP="00D64764">
      <w:pPr>
        <w:shd w:val="clear" w:color="auto" w:fill="FFFFFF"/>
        <w:ind w:firstLine="567"/>
        <w:outlineLvl w:val="1"/>
        <w:rPr>
          <w:color w:val="000000" w:themeColor="text1"/>
          <w:sz w:val="28"/>
          <w:szCs w:val="28"/>
        </w:rPr>
      </w:pPr>
      <w:r w:rsidRPr="00D64764">
        <w:rPr>
          <w:color w:val="000000" w:themeColor="text1"/>
          <w:sz w:val="28"/>
          <w:szCs w:val="28"/>
        </w:rPr>
        <w:t>Цель: Изучить основные положения а</w:t>
      </w:r>
      <w:r w:rsidRPr="00D64764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D64764">
        <w:rPr>
          <w:color w:val="000000" w:themeColor="text1"/>
          <w:sz w:val="28"/>
          <w:szCs w:val="28"/>
        </w:rPr>
        <w:t>.</w:t>
      </w:r>
    </w:p>
    <w:p w14:paraId="2B49C4C3" w14:textId="77777777" w:rsidR="00D64764" w:rsidRPr="00D64764" w:rsidRDefault="00D64764" w:rsidP="00D64764">
      <w:pPr>
        <w:jc w:val="center"/>
        <w:rPr>
          <w:b/>
          <w:color w:val="000000" w:themeColor="text1"/>
          <w:sz w:val="28"/>
          <w:szCs w:val="28"/>
        </w:rPr>
      </w:pPr>
      <w:r w:rsidRPr="00D64764">
        <w:rPr>
          <w:b/>
          <w:color w:val="000000" w:themeColor="text1"/>
          <w:sz w:val="28"/>
          <w:szCs w:val="28"/>
        </w:rPr>
        <w:t>Задание для выполнения.</w:t>
      </w:r>
    </w:p>
    <w:p w14:paraId="480E3119" w14:textId="77777777" w:rsidR="00D64764" w:rsidRPr="00D64764" w:rsidRDefault="00D64764" w:rsidP="00D64764">
      <w:pPr>
        <w:jc w:val="center"/>
        <w:rPr>
          <w:color w:val="000000" w:themeColor="text1"/>
          <w:sz w:val="28"/>
          <w:szCs w:val="28"/>
        </w:rPr>
      </w:pPr>
    </w:p>
    <w:p w14:paraId="637E7820" w14:textId="77777777" w:rsidR="00D64764" w:rsidRPr="004B5E09" w:rsidRDefault="00D64764" w:rsidP="004B5E09">
      <w:pPr>
        <w:ind w:firstLine="709"/>
        <w:rPr>
          <w:color w:val="000000" w:themeColor="text1"/>
          <w:sz w:val="28"/>
          <w:szCs w:val="28"/>
        </w:rPr>
      </w:pPr>
      <w:r w:rsidRPr="004B5E09">
        <w:rPr>
          <w:color w:val="000000" w:themeColor="text1"/>
          <w:sz w:val="28"/>
          <w:szCs w:val="28"/>
        </w:rPr>
        <w:t>Ответить на следующие вопросы:</w:t>
      </w:r>
    </w:p>
    <w:p w14:paraId="05D360FC" w14:textId="071CCCB6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t>На какие объекты распространяется авторское право?</w:t>
      </w:r>
    </w:p>
    <w:p w14:paraId="302ABCD5" w14:textId="4CB1AF3E" w:rsidR="00D64764" w:rsidRPr="004B5E09" w:rsidRDefault="00D64764" w:rsidP="004B5E09">
      <w:pPr>
        <w:pStyle w:val="Style2"/>
        <w:widowControl/>
        <w:spacing w:line="240" w:lineRule="auto"/>
        <w:ind w:left="72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Объекты авторского права и смежных нрав (литературные, художественные, научные произведения, компьютерные программы, базы данных, музыкальные произведения, исполнительская деятельность артистов, аудио- и видеозаписи, радио- и телевизионные передачи и др.).</w:t>
      </w:r>
    </w:p>
    <w:p w14:paraId="579CAED2" w14:textId="30EB8B34" w:rsidR="00D64764" w:rsidRPr="004B5E09" w:rsidRDefault="00D64764" w:rsidP="004B5E09">
      <w:pPr>
        <w:pStyle w:val="Style2"/>
        <w:widowControl/>
        <w:spacing w:line="240" w:lineRule="auto"/>
        <w:ind w:left="72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</w:t>
      </w:r>
    </w:p>
    <w:p w14:paraId="193C529B" w14:textId="10CDFF7B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t>Что относится к лич</w:t>
      </w:r>
      <w:bookmarkStart w:id="0" w:name="_GoBack"/>
      <w:bookmarkEnd w:id="0"/>
      <w:r w:rsidRPr="004B5E09">
        <w:rPr>
          <w:rFonts w:cs="Times New Roman"/>
          <w:b/>
          <w:color w:val="000000" w:themeColor="text1"/>
          <w:szCs w:val="28"/>
        </w:rPr>
        <w:t>ным неимущественным правам?</w:t>
      </w:r>
    </w:p>
    <w:p w14:paraId="1B7752B1" w14:textId="77777777" w:rsidR="00D64764" w:rsidRPr="004B5E09" w:rsidRDefault="00D64764" w:rsidP="004B5E09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Авторские права делятся на: 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 xml:space="preserve">личные неимущественные (моральные права - 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droit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moral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) и имущественные (экономические) права.</w:t>
      </w:r>
    </w:p>
    <w:p w14:paraId="4BAC0C78" w14:textId="77777777" w:rsidR="00D64764" w:rsidRPr="004B5E09" w:rsidRDefault="00D64764" w:rsidP="004B5E09">
      <w:pPr>
        <w:pStyle w:val="Style2"/>
        <w:widowControl/>
        <w:spacing w:line="240" w:lineRule="auto"/>
        <w:ind w:left="555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14:paraId="22672BF7" w14:textId="77777777" w:rsidR="00D64764" w:rsidRPr="004B5E09" w:rsidRDefault="00D64764" w:rsidP="004B5E09">
      <w:pPr>
        <w:pStyle w:val="Style5"/>
        <w:widowControl/>
        <w:numPr>
          <w:ilvl w:val="0"/>
          <w:numId w:val="8"/>
        </w:numPr>
        <w:tabs>
          <w:tab w:val="left" w:pos="765"/>
        </w:tabs>
        <w:spacing w:line="240" w:lineRule="auto"/>
        <w:ind w:left="570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14:paraId="6B0E6A6F" w14:textId="77777777" w:rsidR="00D64764" w:rsidRPr="004B5E09" w:rsidRDefault="00D64764" w:rsidP="004B5E09">
      <w:pPr>
        <w:pStyle w:val="Style5"/>
        <w:widowControl/>
        <w:numPr>
          <w:ilvl w:val="0"/>
          <w:numId w:val="8"/>
        </w:numPr>
        <w:tabs>
          <w:tab w:val="left" w:pos="765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23161E03" w14:textId="77777777" w:rsidR="00D64764" w:rsidRPr="004B5E09" w:rsidRDefault="00D64764" w:rsidP="004B5E09">
      <w:pPr>
        <w:pStyle w:val="Style5"/>
        <w:widowControl/>
        <w:numPr>
          <w:ilvl w:val="0"/>
          <w:numId w:val="8"/>
        </w:numPr>
        <w:tabs>
          <w:tab w:val="left" w:pos="765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228A0BF8" w14:textId="77777777" w:rsidR="00D64764" w:rsidRPr="004B5E09" w:rsidRDefault="00D64764" w:rsidP="004B5E09">
      <w:pPr>
        <w:pStyle w:val="Style5"/>
        <w:widowControl/>
        <w:numPr>
          <w:ilvl w:val="0"/>
          <w:numId w:val="8"/>
        </w:numPr>
        <w:tabs>
          <w:tab w:val="left" w:pos="765"/>
        </w:tabs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24F9E962" w14:textId="77777777" w:rsidR="00D64764" w:rsidRPr="004B5E09" w:rsidRDefault="00D64764" w:rsidP="004B5E09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Принадлежат автору независимо от его имущественных прав и сохраняются за ним даже после уступки исключительных прав на использование произведения.</w:t>
      </w:r>
    </w:p>
    <w:p w14:paraId="49CEBEB7" w14:textId="77777777" w:rsidR="00D64764" w:rsidRPr="004B5E09" w:rsidRDefault="00D64764" w:rsidP="004B5E09">
      <w:pPr>
        <w:pStyle w:val="a4"/>
        <w:spacing w:after="0"/>
        <w:jc w:val="left"/>
        <w:rPr>
          <w:rFonts w:cs="Times New Roman"/>
          <w:b/>
          <w:color w:val="000000" w:themeColor="text1"/>
          <w:szCs w:val="28"/>
        </w:rPr>
      </w:pPr>
    </w:p>
    <w:p w14:paraId="3A39BA7C" w14:textId="487FAD66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t>Что относится к личным имущественным правам?</w:t>
      </w:r>
    </w:p>
    <w:p w14:paraId="62575E47" w14:textId="77777777" w:rsidR="00D64764" w:rsidRPr="004B5E09" w:rsidRDefault="00D64764" w:rsidP="004B5E09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14:paraId="4CC8AF2C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14:paraId="49F4FB9B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распространение оригинала или </w:t>
      </w:r>
      <w:proofErr w:type="gramStart"/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экземпляров произведения посредством продажи</w:t>
      </w:r>
      <w:proofErr w:type="gramEnd"/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или иной передачи права собственности;</w:t>
      </w:r>
    </w:p>
    <w:p w14:paraId="5665543B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085D3CFE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14:paraId="7BF9A2C7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14:paraId="32E6A993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публичное исполнение произведения;</w:t>
      </w:r>
    </w:p>
    <w:p w14:paraId="56043ADA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14:paraId="7B529DD9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14:paraId="2B7E9A2D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14:paraId="32ED6C11" w14:textId="77777777" w:rsidR="00D64764" w:rsidRPr="004B5E09" w:rsidRDefault="00D64764" w:rsidP="004B5E09">
      <w:pPr>
        <w:pStyle w:val="Style7"/>
        <w:widowControl/>
        <w:numPr>
          <w:ilvl w:val="0"/>
          <w:numId w:val="9"/>
        </w:numPr>
        <w:tabs>
          <w:tab w:val="left" w:pos="840"/>
        </w:tabs>
        <w:spacing w:line="240" w:lineRule="auto"/>
        <w:ind w:left="567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14:paraId="652BF4B3" w14:textId="77777777" w:rsidR="00D64764" w:rsidRPr="004B5E09" w:rsidRDefault="00D64764" w:rsidP="004B5E09">
      <w:pPr>
        <w:pStyle w:val="a4"/>
        <w:spacing w:after="0"/>
        <w:jc w:val="left"/>
        <w:rPr>
          <w:rFonts w:cs="Times New Roman"/>
          <w:b/>
          <w:color w:val="000000" w:themeColor="text1"/>
          <w:szCs w:val="28"/>
        </w:rPr>
      </w:pPr>
    </w:p>
    <w:p w14:paraId="53B3E709" w14:textId="7AD651E2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  <w:t>Каковы особенности авторского права на составные произведения?</w:t>
      </w:r>
    </w:p>
    <w:p w14:paraId="081AC40F" w14:textId="77777777" w:rsidR="00D64764" w:rsidRPr="004B5E09" w:rsidRDefault="00D64764" w:rsidP="004B5E09">
      <w:pPr>
        <w:pStyle w:val="Style2"/>
        <w:widowControl/>
        <w:spacing w:line="240" w:lineRule="auto"/>
        <w:ind w:left="585"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14:paraId="05E02AC0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14:paraId="03D4BD2E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14:paraId="136A2E62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14:paraId="6B822091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14:paraId="7A285900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14:paraId="78EB5ECA" w14:textId="77777777" w:rsidR="00D64764" w:rsidRPr="004B5E09" w:rsidRDefault="00D64764" w:rsidP="004B5E09">
      <w:pPr>
        <w:pStyle w:val="Style7"/>
        <w:widowControl/>
        <w:numPr>
          <w:ilvl w:val="0"/>
          <w:numId w:val="10"/>
        </w:numPr>
        <w:tabs>
          <w:tab w:val="left" w:pos="855"/>
        </w:tabs>
        <w:spacing w:line="240" w:lineRule="auto"/>
        <w:ind w:left="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0B103700" w14:textId="77777777" w:rsidR="00D64764" w:rsidRPr="004B5E09" w:rsidRDefault="00D64764" w:rsidP="004B5E09">
      <w:pPr>
        <w:pStyle w:val="a4"/>
        <w:spacing w:after="0"/>
        <w:jc w:val="left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B322C1" w14:textId="3D85A8A7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  <w:t>Каков срок действия авторского права?</w:t>
      </w:r>
    </w:p>
    <w:p w14:paraId="4BA3E968" w14:textId="6E97A1DB" w:rsidR="00D64764" w:rsidRPr="004B5E09" w:rsidRDefault="00D64764" w:rsidP="004B5E09">
      <w:pPr>
        <w:pStyle w:val="a4"/>
        <w:spacing w:after="0"/>
        <w:jc w:val="left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Исключительное право на произведение действует в течение всей жизни автора и семидесяти лет, считая с 1 января года, следующего за годом смерти автора.</w:t>
      </w:r>
    </w:p>
    <w:p w14:paraId="6E4921D3" w14:textId="35823240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  <w:t>Кто является субъектом авторского права?</w:t>
      </w:r>
    </w:p>
    <w:p w14:paraId="5ECE81D6" w14:textId="5A5CFA4E" w:rsidR="00D64764" w:rsidRPr="004B5E09" w:rsidRDefault="00D64764" w:rsidP="004B5E09">
      <w:pPr>
        <w:pStyle w:val="a4"/>
        <w:spacing w:after="0"/>
        <w:jc w:val="left"/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Субъектами авторского права на произведение могут являться: автор произведения (соавторы); наследники автора; наниматель (в отношении служебного произведения);</w:t>
      </w:r>
    </w:p>
    <w:p w14:paraId="06A38215" w14:textId="1A8BE4D0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t>Что такое авторский договор?</w:t>
      </w:r>
    </w:p>
    <w:p w14:paraId="03D5AFBF" w14:textId="7061C392" w:rsidR="00D64764" w:rsidRPr="004B5E09" w:rsidRDefault="00D64764" w:rsidP="004B5E09">
      <w:pPr>
        <w:pStyle w:val="a4"/>
        <w:spacing w:after="0"/>
        <w:jc w:val="left"/>
        <w:rPr>
          <w:rFonts w:cs="Times New Roman"/>
          <w:color w:val="000000" w:themeColor="text1"/>
          <w:szCs w:val="28"/>
        </w:rPr>
      </w:pPr>
      <w:r w:rsidRPr="004B5E09">
        <w:rPr>
          <w:rFonts w:cs="Times New Roman"/>
          <w:color w:val="000000" w:themeColor="text1"/>
          <w:szCs w:val="28"/>
        </w:rPr>
        <w:t>Авторский договор традиционно определялся как самостоятельный вид гражданских договоров, предназначенный для оформления отношений, связанных с использованием охраняемых авторским правом произведений науки, литературы и искусства.</w:t>
      </w:r>
    </w:p>
    <w:p w14:paraId="49C21ECB" w14:textId="4CF5CB05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lastRenderedPageBreak/>
        <w:t>Наиболее распространенные виды авторских договоров?</w:t>
      </w:r>
    </w:p>
    <w:p w14:paraId="4E938096" w14:textId="77777777" w:rsidR="00D64764" w:rsidRPr="004B5E09" w:rsidRDefault="00D64764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распространенным видом авторского договора является издательский договор. В рамках данного договора осуществляется издание и переиздание любых произведений, которые могут быть зафиксированы на бумаге, т.е. произведений литературы (научных, художественных, учебных и т.п.), драматических, сценарных, музыкальных произведений, произведений изобразительного искусства и т.д. Издательский договор наиболее полно урегулирован действующим законодательством и исследован юридической наукой. Нередко выводы, которые первоначально делаются на базе применения норм об издательском договоре, а также сложившейся практики разрешения споров, впоследствии распространяются и на другие авторские договоры.</w:t>
      </w:r>
    </w:p>
    <w:p w14:paraId="0BB8EC16" w14:textId="77777777" w:rsidR="00D64764" w:rsidRPr="004B5E09" w:rsidRDefault="00D64764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 договор заключается тогда, когда основным способом использования произведения является его публичное исполнение. Его предметом могут быть драматические произведения, музыка или либретто оперы, балета, оперетты, музыка к драматическому спектаклю и т.п., которые используются театрально-зрелищными организациями (театрами, филармониями, цирками, концертными организациями и т.д.) путем постановки на сцене. В настоящее время постановочный договор должен заключаться пользователями в отношении как необнародованных, так и обнародованных произведений.</w:t>
      </w:r>
    </w:p>
    <w:p w14:paraId="5045C98E" w14:textId="77777777" w:rsidR="00D64764" w:rsidRPr="004B5E09" w:rsidRDefault="00D64764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 договор - это договор, который регламентирует отношения, связанные с использованием текста, по которому снимается кинофильм, телефильм, делается радио- или телепередача, проводится массово-зрелищное мероприятие и т.д. Сценарный договор близок к постановочному договору, из рамок которого он постепенно выделился в самостоятельный вид. Их основное различие заключается в том, что литературный сценарий в отличие, например, от драматического произведения используется не в своем неизменном виде, а служит основой для создания более приближенного к нуждам кинематографа, телевидения или радио режиссерского сценария, по которому, собственно, и ставится фильм или делается передача. В этом смысле сценарный договор предполагает, что произведение (сценарий) может быть использовано в измененном виде.</w:t>
      </w:r>
    </w:p>
    <w:p w14:paraId="205223F4" w14:textId="77777777" w:rsidR="00D64764" w:rsidRPr="004B5E09" w:rsidRDefault="00D64764" w:rsidP="004B5E09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Договор о депонировании рукописи регулирует условия и порядок обнародования и последующего использования произведения, которое помещается на хранение в специальный информационный орган. Обычно путем депонирования используются научные произведения, представляющие интерес лишь для ограниченного круга специалистов, но запросам которых им предоставляются копии депонированных произведений или их отдельных частей.</w:t>
      </w:r>
    </w:p>
    <w:p w14:paraId="0A3A198A" w14:textId="77777777" w:rsidR="00D64764" w:rsidRPr="004B5E09" w:rsidRDefault="00D64764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Договор художественного заказа опосредует отношения, связанные с созданием произведений изобразительного искусства в целях их публичной демонстрации. Его предметом являются разнообразные произведения </w:t>
      </w: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изобразительного искусства, которые изготавливаются авторами по заказам организаций и частных лиц и переходят в собственность последних. Владельцы произведений (материальных носителей) вправе распоряжаться ими по своему усмотрению, но при условии уважения авторских прав создателей авторских произведений.</w:t>
      </w:r>
    </w:p>
    <w:p w14:paraId="71F28B10" w14:textId="77777777" w:rsidR="00D64764" w:rsidRPr="004B5E09" w:rsidRDefault="00D64764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Договор об использовании в промышленности произведений декоративно-прикладного искусства имеет своей задачей урегулирование вопросов, возникающих в связи с тиражированием в промышленности оригинальных произведений декоративно-прикладного искусства. Он заключается лишь с внештатными художниками предприятий, произведения которых принимаются к использованию. Авторы получают вознаграждение как за сам факт создания произведения, принятого к использованию, так и за последующее тиражирование в зависимости от объема использования.</w:t>
      </w:r>
    </w:p>
    <w:p w14:paraId="0C7A6579" w14:textId="77777777" w:rsidR="00D64764" w:rsidRPr="004B5E09" w:rsidRDefault="00D64764" w:rsidP="004B5E09">
      <w:pPr>
        <w:pStyle w:val="a4"/>
        <w:spacing w:after="0"/>
        <w:jc w:val="left"/>
        <w:rPr>
          <w:rFonts w:cs="Times New Roman"/>
          <w:b/>
          <w:color w:val="000000" w:themeColor="text1"/>
          <w:szCs w:val="28"/>
        </w:rPr>
      </w:pPr>
    </w:p>
    <w:p w14:paraId="3724304E" w14:textId="1B4B2E1B" w:rsidR="00D64764" w:rsidRPr="004B5E09" w:rsidRDefault="00D64764" w:rsidP="004B5E09">
      <w:pPr>
        <w:pStyle w:val="a4"/>
        <w:numPr>
          <w:ilvl w:val="0"/>
          <w:numId w:val="7"/>
        </w:numPr>
        <w:spacing w:after="0"/>
        <w:ind w:firstLine="709"/>
        <w:jc w:val="left"/>
        <w:rPr>
          <w:rFonts w:cs="Times New Roman"/>
          <w:b/>
          <w:color w:val="000000" w:themeColor="text1"/>
          <w:szCs w:val="28"/>
        </w:rPr>
      </w:pPr>
      <w:r w:rsidRPr="004B5E09">
        <w:rPr>
          <w:rFonts w:cs="Times New Roman"/>
          <w:b/>
          <w:color w:val="000000" w:themeColor="text1"/>
          <w:szCs w:val="28"/>
        </w:rPr>
        <w:t>Основные составляющие авторского договора?</w:t>
      </w:r>
    </w:p>
    <w:p w14:paraId="2E281BD2" w14:textId="53C01BF5" w:rsidR="004B5E09" w:rsidRPr="004B5E09" w:rsidRDefault="004B5E09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 w:rsidRPr="004B5E09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B5E09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0BFD6996" w14:textId="13C86255" w:rsidR="004B5E09" w:rsidRPr="004B5E09" w:rsidRDefault="004B5E09" w:rsidP="004B5E09">
      <w:pPr>
        <w:pStyle w:val="Style2"/>
        <w:widowControl/>
        <w:spacing w:line="240" w:lineRule="auto"/>
        <w:ind w:left="360" w:firstLine="709"/>
        <w:rPr>
          <w:rStyle w:val="FontStyle12"/>
          <w:rFonts w:ascii="Times New Roman" w:hAnsi="Times New Roman" w:cs="Times New Roman"/>
          <w:sz w:val="28"/>
          <w:szCs w:val="28"/>
        </w:rPr>
      </w:pPr>
    </w:p>
    <w:p w14:paraId="4159393C" w14:textId="3D0B97FD" w:rsidR="004B5E09" w:rsidRPr="004B5E09" w:rsidRDefault="004B5E09" w:rsidP="004B5E09">
      <w:pPr>
        <w:shd w:val="clear" w:color="auto" w:fill="FFFFFF"/>
        <w:ind w:firstLine="709"/>
        <w:outlineLvl w:val="1"/>
        <w:rPr>
          <w:b/>
          <w:color w:val="000000" w:themeColor="text1"/>
          <w:sz w:val="28"/>
          <w:szCs w:val="28"/>
        </w:rPr>
      </w:pPr>
      <w:r w:rsidRPr="004B5E09">
        <w:rPr>
          <w:rStyle w:val="FontStyle12"/>
          <w:rFonts w:ascii="Times New Roman" w:hAnsi="Times New Roman" w:cs="Times New Roman"/>
          <w:b/>
          <w:sz w:val="28"/>
          <w:szCs w:val="28"/>
        </w:rPr>
        <w:t xml:space="preserve">Вывод: в ходе лабораторной работы были </w:t>
      </w:r>
      <w:r w:rsidRPr="004B5E09">
        <w:rPr>
          <w:b/>
          <w:color w:val="000000" w:themeColor="text1"/>
          <w:sz w:val="28"/>
          <w:szCs w:val="28"/>
        </w:rPr>
        <w:t>изучены основные положения а</w:t>
      </w:r>
      <w:r w:rsidRPr="004B5E09">
        <w:rPr>
          <w:rStyle w:val="FontStyle11"/>
          <w:rFonts w:ascii="Times New Roman" w:hAnsi="Times New Roman" w:cs="Times New Roman"/>
          <w:b/>
          <w:sz w:val="28"/>
          <w:szCs w:val="28"/>
        </w:rPr>
        <w:t>вторского права и смежных прав</w:t>
      </w:r>
      <w:r w:rsidRPr="004B5E09">
        <w:rPr>
          <w:b/>
          <w:color w:val="000000" w:themeColor="text1"/>
          <w:sz w:val="28"/>
          <w:szCs w:val="28"/>
        </w:rPr>
        <w:t>.</w:t>
      </w:r>
    </w:p>
    <w:p w14:paraId="09710B42" w14:textId="68989A02" w:rsidR="004B5E09" w:rsidRPr="004B5E09" w:rsidRDefault="004B5E09" w:rsidP="004B5E09">
      <w:pPr>
        <w:pStyle w:val="Style2"/>
        <w:widowControl/>
        <w:spacing w:line="240" w:lineRule="auto"/>
        <w:ind w:left="360" w:firstLine="0"/>
        <w:rPr>
          <w:rStyle w:val="FontStyle12"/>
          <w:rFonts w:ascii="Times New Roman" w:hAnsi="Times New Roman" w:cs="Times New Roman"/>
          <w:b/>
          <w:sz w:val="28"/>
          <w:szCs w:val="28"/>
          <w:lang w:val="ru-RU"/>
        </w:rPr>
      </w:pPr>
    </w:p>
    <w:p w14:paraId="2E34798F" w14:textId="77777777" w:rsidR="004B5E09" w:rsidRPr="004B5E09" w:rsidRDefault="004B5E09" w:rsidP="004B5E09">
      <w:pPr>
        <w:pStyle w:val="a4"/>
        <w:spacing w:after="0"/>
        <w:ind w:firstLine="0"/>
        <w:jc w:val="left"/>
        <w:rPr>
          <w:rFonts w:cs="Times New Roman"/>
          <w:b/>
          <w:color w:val="000000" w:themeColor="text1"/>
          <w:szCs w:val="28"/>
          <w:lang w:val="be-BY"/>
        </w:rPr>
      </w:pPr>
    </w:p>
    <w:p w14:paraId="769E204B" w14:textId="77777777" w:rsidR="00D64764" w:rsidRPr="00D64764" w:rsidRDefault="00D64764" w:rsidP="00D64764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sectPr w:rsidR="00D64764" w:rsidRPr="00D6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7ED8"/>
    <w:rsid w:val="001A4069"/>
    <w:rsid w:val="001C0C54"/>
    <w:rsid w:val="001C66C6"/>
    <w:rsid w:val="00295A78"/>
    <w:rsid w:val="002A030F"/>
    <w:rsid w:val="002D0839"/>
    <w:rsid w:val="002D6688"/>
    <w:rsid w:val="00363807"/>
    <w:rsid w:val="00484E26"/>
    <w:rsid w:val="004A74ED"/>
    <w:rsid w:val="004B5E09"/>
    <w:rsid w:val="004C2356"/>
    <w:rsid w:val="00501D7D"/>
    <w:rsid w:val="00512836"/>
    <w:rsid w:val="00526109"/>
    <w:rsid w:val="005D1CAA"/>
    <w:rsid w:val="00631315"/>
    <w:rsid w:val="006E30D2"/>
    <w:rsid w:val="007E3868"/>
    <w:rsid w:val="008646D0"/>
    <w:rsid w:val="00893885"/>
    <w:rsid w:val="00946AF5"/>
    <w:rsid w:val="009632D6"/>
    <w:rsid w:val="00A34023"/>
    <w:rsid w:val="00B95276"/>
    <w:rsid w:val="00BC431E"/>
    <w:rsid w:val="00C239D4"/>
    <w:rsid w:val="00C41C79"/>
    <w:rsid w:val="00C86B53"/>
    <w:rsid w:val="00D64764"/>
    <w:rsid w:val="00D94AE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64764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476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476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D6476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D6476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6</cp:revision>
  <dcterms:created xsi:type="dcterms:W3CDTF">2022-03-15T08:11:00Z</dcterms:created>
  <dcterms:modified xsi:type="dcterms:W3CDTF">2022-05-10T08:38:00Z</dcterms:modified>
</cp:coreProperties>
</file>