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连续血糖监测预测模型学术汇报全流程指导与中英双语讲稿</w:t>
      </w: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PPT 制作全流程详尽指导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 xml:space="preserve">PPT的视觉逻辑必须严格遵循原论文的学术递进关系：研究背景、数据预处理、基线与深度学习模型构建、个性化迁移学习、小样本元学习，以及最终结论 </w:t>
      </w:r>
      <w:r>
        <w:rPr>
          <w:rFonts w:hint="eastAsia" w:ascii="微软雅黑" w:hAnsi="微软雅黑" w:eastAsia="微软雅黑" w:cs="微软雅黑"/>
          <w:color w:val="444746"/>
          <w:sz w:val="24"/>
          <w:szCs w:val="24"/>
          <w:vertAlign w:val="superscript"/>
          <w:rtl w:val="0"/>
        </w:rPr>
        <w:t>9</w:t>
      </w:r>
      <w:r>
        <w:rPr>
          <w:rFonts w:hint="eastAsia" w:ascii="微软雅黑" w:hAnsi="微软雅黑" w:eastAsia="微软雅黑" w:cs="微软雅黑"/>
          <w:color w:val="1F1F1F"/>
          <w:rtl w:val="0"/>
        </w:rPr>
        <w:t>。下表详细规定了每页PPT的核心主题、必须嵌入的论文素材及其视觉呈现方式。请务必确保不跳过任何逻辑节点。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第一部分：研究背景与文献综述 (Slides 1-6)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1E4A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321B2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首页与基本信息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论文中英文标题、汇报人姓名、导师姓名、日期及大学Logo。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居中排版。标题使用大字号加粗，确保视觉冲击力。底部放置校徽及机构信息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4CDF57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34259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5362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引入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0343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通过问题引入论文主题：假如CGM普遍应用，那么我们希望为CGM设备比如iwatch设计一个怎么样的预测系统？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3EA9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iwatch图片，和我的问题</w:t>
            </w:r>
          </w:p>
          <w:p w14:paraId="0DEF93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下面罗列需要的功能</w:t>
            </w:r>
          </w:p>
        </w:tc>
      </w:tr>
      <w:tr w14:paraId="71BA05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A457D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汇报大纲 (Outline)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1. Background, 2. Data Processing, 3. General Models, 4. Transfer Learning, 5. Meta-Transfer Learning, 6. Conclusion。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文本列表，利用视觉引导线展示从数据到元学习的递进关系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2AC80E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糖尿病背景与CGM技术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核心概念：糖尿病危害、HbA1c指标的局限性、连续血糖监测（CGM）的价值。插入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1.1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(CGM设备工作原理图)。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左右分栏布局。左侧提取3个关键词（如：High Temporal Resolution, Masked Fluctuations）；右侧居中放置Figure 1.1，说明其5分钟的高频采样特性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74D86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CGM数据面临的挑战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指出三大挑战：1. 生理延迟 (5-10 min)；2. 传感器噪声与漂移；3. 数据缺失。明确预测目标：提前30-60分钟预测。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三栏并排布局。使用三个不同的图标代表延迟、噪声和缺失。底部用醒目的颜色标注“From After-event to Pre-prediction”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5D9FE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文献综述与演进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模型演进路线：Physiological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161290" cy="191770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30" cy="19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Statistical (ARIMA)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161290" cy="191770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30" cy="19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Deep Learning (LSTM, Transformer)。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水平演进图（Timeline）。</w:t>
            </w:r>
          </w:p>
          <w:p w14:paraId="41458E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辅以一些文献标题和年份</w:t>
            </w:r>
          </w:p>
        </w:tc>
      </w:tr>
      <w:tr w14:paraId="0E9E1B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研究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动机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与核心目标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现有的深度学习模型泛化能力不足，且在商业应用中难以获取多模态数据，亟需一种在有限数据下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原位数据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有效的预测手段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居中大字号引语框。提炼为一句话的Research Gap，并辅以靶心图标，强调本研究的核心价值在于“有限数据下的极致预测”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第二部分：数据清洗、标准化与滤波处理 (Slides 7-11)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1028A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608C90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异构数据集融合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介绍三个数据集：Colas (T2D), Hall, OhioT1DM (T1D)。</w:t>
            </w:r>
          </w:p>
          <w:p w14:paraId="441F65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放置三个数据集的图标（代表健康到T1D的全图谱）</w:t>
            </w:r>
          </w:p>
          <w:p w14:paraId="63769E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以及简单介绍三个数据集</w:t>
            </w:r>
          </w:p>
        </w:tc>
      </w:tr>
      <w:tr w14:paraId="74AF48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数据标准化与缺失值插补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3B11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数据标准化，和处理时间间隔</w:t>
            </w:r>
          </w:p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解释15分钟的阈值设定。1.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31470" cy="192405"/>
                  <wp:effectExtent l="0" t="0" r="0" b="0"/>
                  <wp:docPr id="1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8" cy="19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min: 三次样条插值 (Cubic Spline)；2.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31470" cy="192405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8" cy="19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min: 序列分段 (丢弃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250825" cy="195580"/>
                  <wp:effectExtent l="0" t="0" r="0" b="0"/>
                  <wp:docPr id="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03" cy="196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小时片段)。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632E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标准化后的数据格式</w:t>
            </w:r>
          </w:p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决策树/流程图布局。从“缺失数据”节点出发，分叉为两条路径。配以简单的曲线对比图说明三次样条插值如何保持一阶/二阶导数平滑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18183B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信号噪声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来源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噪声来源说明。电化学传感器固有噪声、生理延迟与动态误差、运动伪影（如PISA现象）以及电子系统热噪声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3.1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（噪声评估阈值）与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3.1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（SNR、噪声水平分布四联图）。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7CB8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说明4种噪声来源</w:t>
            </w:r>
          </w:p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  <w:t>卡片式</w:t>
            </w:r>
          </w:p>
        </w:tc>
      </w:tr>
      <w:tr w14:paraId="692D9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5E27A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6302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噪声评估标准，与评估结果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B95F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3.1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（噪声评估阈值）与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3.1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（SNR、噪声水平分布四联图）。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B302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构建了基于噪声标准差、信噪比（SNR）和异常跳变比例（&gt; 10%）的评估指标，证实90.8%的受试者数据需要滤波干预</w:t>
            </w:r>
          </w:p>
        </w:tc>
      </w:tr>
      <w:tr w14:paraId="092BEF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C1ED6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滤波理论：三种算法对比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简述Kalman、Savitzky-Golay (S-G)、Butterworth三种滤波器的原理（状态空间 vs 局部多项式 vs 频域）。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</w:tr>
      <w:tr w14:paraId="3BC241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滤波效果评估与最终选择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0079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插入三种滤波后的图片</w:t>
            </w:r>
          </w:p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3.2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（滤波结果对比：NRR, SNR, PPR, Phase Lag）。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强调表格展示。用红色方框圈出S-G滤波器的PPR（0.987）和Phase Lag（0）。在底部给出最终结论：选择S-G滤波以无延迟地保留极值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04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第三部分：通用预测模型构建与深度学习 (Slides 12-19)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3A883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63DAA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问题定义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回归方程：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52425" cy="207010"/>
                  <wp:effectExtent l="0" t="0" r="0" b="0"/>
                  <wp:docPr id="1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82" cy="20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。设定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506095" cy="237490"/>
                  <wp:effectExtent l="0" t="0" r="0" b="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73" cy="237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(30分钟),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723900" cy="205740"/>
                  <wp:effectExtent l="0" t="0" r="0" b="0"/>
                  <wp:docPr id="2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495" cy="20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(60分钟)。评价指标：RMSE, MAE, CEGA。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克拉克误差网格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左侧用清晰的数学公式（LaTeX格式）展示输入输出向量，右侧列出三大评价指标。配以一个滑动窗口的示意动画或图片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34C4D4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传统与机器学习基线模型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罗列ARIMA, Linear Regression, KNN, Random Forest, XGBoost。讨论线性回归在有限特征下的稳健性。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环形或并排的模块图。指明传统模型的缺陷：难以捕捉非线性动态，且存在严重的预测延迟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7AF23D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深度学习序列模型 (RNN &amp; LSTM)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5B17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两种模型的预测图</w:t>
            </w:r>
          </w:p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简述RNN的梯度消失问题及LSTM的门控机制（Forget, Input, Output gates）。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左右对比图。左侧RNN结构简图，右侧LSTM的Cell内部细节图。</w:t>
            </w:r>
          </w:p>
          <w:p w14:paraId="1ED9E0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以及预测结果图</w:t>
            </w:r>
          </w:p>
        </w:tc>
      </w:tr>
      <w:tr w14:paraId="0B60A6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bookmarkStart w:id="0" w:name="_GoBack"/>
            <w:bookmarkEnd w:id="0"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Transformer模型架构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5563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  <w:lang w:val="en-US" w:eastAsia="zh-CN"/>
              </w:rPr>
              <w:t>模型架构图</w:t>
            </w:r>
          </w:p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Encoder-only Transformer，多头自注意力机制（Multi-Head Self-Attention），位置编码。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核心占位。展示Transformer的自注意力矩阵计算公式（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65125" cy="209550"/>
                  <wp:effectExtent l="0" t="0" r="0" b="0"/>
                  <wp:docPr id="1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41" cy="21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），强调其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81635" cy="236220"/>
                  <wp:effectExtent l="0" t="0" r="0" b="0"/>
                  <wp:docPr id="2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14" cy="23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的长程依赖建模能力和并行计算优势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4882AA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预测性能全面对比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4.1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（九种模型的预测误差对比）。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整页表格居中。用高亮背景色标出LSTM（RMSE 8.18）和Transformer（RMSE 9.13）的优异表现。对比KNN的糟糕结果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0DFC1C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临床安全性评估 (CEGA)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4.10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（克拉克误差网格分析图）。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提取LSTM和Transformer的CEGA散点图放大展示。标明关键数据：$&gt;99%$的预测落入安全的A区和B区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6D77F7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波形分析与相位延迟 (Phase Lag)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4.11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（受试者306的连续时间片段预测曲线对比图）。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占据全幅图。用虚线圆圈圈出“餐后血糖急剧上升期”，视觉对比ARIMA/Linear的“滞后”与LSTM/Transformer的“紧密贴合”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2D3CAE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通用模型的局限性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总结前述模型的优缺点，抛出问题：为何在某些剧烈波动的受试者上通用模型依然失效？引出个体异质性。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过渡页。使用半透明背景的患者剪影，列出个体差异：胰岛素敏感度、胃排空率等。指出“冷启动”痛点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06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第四部分：个性化迁移学习 (Slides 20-22)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4E287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608919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迁移学习策略：冻结编码器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策略图解：Pre-train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161290" cy="191770"/>
                  <wp:effectExtent l="0" t="0" r="0" b="0"/>
                  <wp:docPr id="2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30" cy="19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Fine-tune。“Freeze Encoder” + 更新回归头（Regression Head）。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上下分层神经网络结构图。对底层的Encoder画上“锁”的图标，对顶层的全连接层标为“可训练”。说明仅使用30%数据校准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434AFE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迁移学习预测结果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5.2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与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5.3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（迁移学习在10位受试者上的性能提升）。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左侧放受试者306的提升数据，右侧放10人的平均数据（RMSE降低20.35%）。使用向上绿色的箭头表示Improvement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26146D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个体微调波形改善分析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5.2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或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5.3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（基线模型与微调模型的波形对比）。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用局部放大的视图展示微调后如何修正“基线偏移 (Baseline Shift)”和“峰值超调 (Peak Overshooting)”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07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第五部分：元迁移学习框架解决极小样本挑战 (Slides 23-27)</w:t>
      </w: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AF033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3BB1C4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临床困境：极端小样本场景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抛出问题：如果只有佩戴第一天的数据（30-50个样本，约2.5小时），标准微调会失败。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时间轴图表，标示出“Day 1 Data Scarcity”。用红字强调常规梯度下降在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331470" cy="192405"/>
                  <wp:effectExtent l="0" t="0" r="0" b="0"/>
                  <wp:docPr id="2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7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08" cy="19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个样本时的灾难性过拟合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790353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元学习理论与FOMAML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解释“Learning to learn”的核心思想，寻找对梯度最敏感的初始化参数点，而非平均最优解。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展示多任务优化空间的山峰谷底示意图。标明FOMAML公式（内循环与外循环），强调丢弃二阶导数降低算力消耗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258651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元迁移学习框架的实现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6.1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（FOMAML算法框架流程图）。任务定义：每个受试者为一个独立的Task。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流程图全屏展示。分步高亮“Warm Start”（加载Transformer权重）、“Support Set”与“Query Set”的划分评估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0D9F26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极端小样本下的学习曲线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6.2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（Basic Transfer与Meta Transfer的学习曲线对比）和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Table 6.2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图表居中。用阴影区域标出 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  <w:drawing>
                <wp:inline distT="19050" distB="19050" distL="19050" distR="19050">
                  <wp:extent cx="598170" cy="237490"/>
                  <wp:effectExtent l="0" t="0" r="0" b="0"/>
                  <wp:docPr id="27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08" cy="23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 的区间，标注Meta Transfer在该区间使MAE大幅下降了31.58%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5E5BC2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小样本波形一致性分析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插入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Figure 6.3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（仅30个样本微调后的预测波形对比）。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聚焦于血糖上升段，展示Meta Transfer响应更快、方差更小，而Basic Transfer严重超调的现象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09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rtl w:val="0"/>
        </w:rPr>
        <w:t>第六部分：结论与致谢 (Slides 28-29)</w:t>
      </w: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微软雅黑" w:hAnsi="微软雅黑" w:eastAsia="微软雅黑" w:cs="微软雅黑"/>
          <w:color w:val="1F1F1F"/>
        </w:rPr>
      </w:pPr>
    </w:p>
    <w:tbl>
      <w:tblPr>
        <w:tblStyle w:val="18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F70F5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幻灯片编号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核心主题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必放内容与素材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shd w:val="clear" w:fill="auto"/>
                <w:rtl w:val="0"/>
              </w:rPr>
              <w:t>视觉布局与呈现方式</w:t>
            </w:r>
          </w:p>
        </w:tc>
      </w:tr>
      <w:tr w14:paraId="611FE8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核心科学贡献总结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1. S-G滤波去噪流水线；2. Transformer长程建模克服相位延迟；3. FOMAML解决极小样本冷启动个性化。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三个结构化的模块框，每个模块配以对应的图标。强调“边缘设备上的即时个性化”工程价值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  <w:tr w14:paraId="1F7FC7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ind w:left="425" w:leftChars="0" w:hanging="425" w:firstLineChars="0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致谢与问答 (Q&amp;A)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"Thank You", "Questions &amp; Answers"。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微软雅黑" w:hAnsi="微软雅黑" w:eastAsia="微软雅黑" w:cs="微软雅黑"/>
                <w:color w:val="1F1F1F"/>
                <w:shd w:val="clear" w:fill="auto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 xml:space="preserve">极简排版，包含汇报人联系方式，留白以示专业与自信 </w:t>
            </w:r>
            <w:r>
              <w:rPr>
                <w:rFonts w:hint="eastAsia" w:ascii="微软雅黑" w:hAnsi="微软雅黑" w:eastAsia="微软雅黑" w:cs="微软雅黑"/>
                <w:color w:val="444746"/>
                <w:sz w:val="24"/>
                <w:szCs w:val="24"/>
                <w:vertAlign w:val="superscript"/>
                <w:rtl w:val="0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1F1F1F"/>
                <w:shd w:val="clear" w:fill="auto"/>
                <w:rtl w:val="0"/>
              </w:rPr>
              <w:t>。</w:t>
            </w:r>
          </w:p>
        </w:tc>
      </w:tr>
    </w:tbl>
    <w:p w14:paraId="000001A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微软雅黑" w:hAnsi="微软雅黑" w:eastAsia="微软雅黑" w:cs="微软雅黑"/>
          <w:lang w:eastAsia="zh-CN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8B04909-D8B8-405E-AA67-E6C644A3678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3F28EAB-A908-4390-91C7-67891741945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5C232E7-673C-4628-B9BA-793DFB68877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C5F78D9-7904-4AA1-816B-32E581A7A73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6D187A5-359F-4591-9061-DC24F0020EE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1D1E5F5-C3E8-40B7-B694-09685699EE0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643EEFD2-2B6E-4641-91B3-764E0C79D06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743B2"/>
    <w:multiLevelType w:val="singleLevel"/>
    <w:tmpl w:val="C18743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9736C1"/>
    <w:rsid w:val="0F8B2F3A"/>
    <w:rsid w:val="126857B5"/>
    <w:rsid w:val="13ED0F97"/>
    <w:rsid w:val="14691370"/>
    <w:rsid w:val="15F72F08"/>
    <w:rsid w:val="2071793F"/>
    <w:rsid w:val="2A874754"/>
    <w:rsid w:val="2AE369FC"/>
    <w:rsid w:val="2D4D2C91"/>
    <w:rsid w:val="5B5341FE"/>
    <w:rsid w:val="5C5107FA"/>
    <w:rsid w:val="631548AB"/>
    <w:rsid w:val="6A374E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2577</Words>
  <Characters>3562</Characters>
  <TotalTime>6</TotalTime>
  <ScaleCrop>false</ScaleCrop>
  <LinksUpToDate>false</LinksUpToDate>
  <CharactersWithSpaces>3720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2026-04-13T05:31:00Z</dcterms:created>
  <dc:creator>江一骏</dc:creator>
  <cp:lastModifiedBy>Jungle</cp:lastModifiedBy>
  <dcterms:modified xsi:type="dcterms:W3CDTF">2026-04-15T04:29:48Z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eyJoZGlkIjoiYzZkNzQ4ZWFiZmQ4NTRhOWRkZTk3YTMwMjlmMmZhYmUiLCJ1c2VySWQiOiIxMzM2OTM2NTI4In0=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AA30F00553F343679F6EE52BE1123A27_12</vt:lpwstr>
  </property>
</Properties>
</file>