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03476">
      <w:pPr>
        <w:pStyle w:val="61"/>
        <w:spacing w:before="312" w:after="312"/>
        <w:ind w:firstLineChars="0"/>
        <w:jc w:val="center"/>
      </w:pPr>
      <w:bookmarkStart w:id="0" w:name="_Ref198201186"/>
      <w:bookmarkStart w:id="1" w:name="_Ref198501836"/>
      <w:r>
        <w:fldChar w:fldCharType="begin"/>
      </w:r>
      <w:r>
        <w:instrText xml:space="preserve"> INCLUDEPICTURE "https://hku.hk/assets/img/hku-logo.svg?t=1678891777" \* MERGEFORMATINET </w:instrText>
      </w:r>
      <w:r>
        <w:fldChar w:fldCharType="separate"/>
      </w:r>
      <w:r>
        <mc:AlternateContent>
          <mc:Choice Requires="wps">
            <w:drawing>
              <wp:inline distT="0" distB="0" distL="0" distR="0">
                <wp:extent cx="304800" cy="304800"/>
                <wp:effectExtent l="0" t="0" r="0" b="0"/>
                <wp:docPr id="2029457138" name="矩形 1" descr="The University of Hong Ko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矩形 1" o:spid="_x0000_s1026" o:spt="1" alt="The University of Hong Kong"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8yW&#10;dNIAAAADAQAADwAAAAAAAAABACAAAAAiAAAAZHJzL2Rvd25yZXYueG1sUEsBAhQAFAAAAAgAh07i&#10;QIAO8fkoAgAAPAQAAA4AAAAAAAAAAQAgAAAAIQEAAGRycy9lMm9Eb2MueG1sUEsFBgAAAAAGAAYA&#10;WQEAALsFAAAAAA==&#10;">
                <v:fill on="f" focussize="0,0"/>
                <v:stroke on="f"/>
                <v:imagedata o:title=""/>
                <o:lock v:ext="edit" aspectratio="t"/>
                <w10:wrap type="none"/>
                <w10:anchorlock/>
              </v:rect>
            </w:pict>
          </mc:Fallback>
        </mc:AlternateContent>
      </w:r>
      <w:r>
        <w:fldChar w:fldCharType="end"/>
      </w:r>
      <w:r>
        <w:drawing>
          <wp:inline distT="0" distB="0" distL="0" distR="0">
            <wp:extent cx="4319905" cy="813435"/>
            <wp:effectExtent l="0" t="0" r="0" b="0"/>
            <wp:docPr id="13528708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0868" name="图形 2"/>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320000" cy="813600"/>
                    </a:xfrm>
                    <a:prstGeom prst="rect">
                      <a:avLst/>
                    </a:prstGeom>
                  </pic:spPr>
                </pic:pic>
              </a:graphicData>
            </a:graphic>
          </wp:inline>
        </w:drawing>
      </w:r>
    </w:p>
    <w:p w14:paraId="2DC97028">
      <w:pPr>
        <w:pStyle w:val="61"/>
        <w:pBdr>
          <w:bottom w:val="single" w:color="auto" w:sz="6" w:space="1"/>
        </w:pBdr>
        <w:spacing w:before="312" w:after="312"/>
        <w:ind w:left="0" w:leftChars="0" w:firstLine="0" w:firstLineChars="0"/>
        <w:jc w:val="both"/>
        <w:rPr>
          <w:rFonts w:ascii="宋体" w:hAnsi="宋体" w:eastAsia="宋体" w:cs="宋体"/>
          <w:caps/>
          <w:sz w:val="28"/>
          <w:szCs w:val="28"/>
        </w:rPr>
      </w:pPr>
    </w:p>
    <w:p w14:paraId="23E0677B">
      <w:pPr>
        <w:pStyle w:val="61"/>
        <w:spacing w:before="0" w:beforeLines="0" w:after="0" w:afterLines="0"/>
        <w:ind w:firstLineChars="0"/>
        <w:jc w:val="center"/>
        <w:rPr>
          <w:b/>
          <w:bCs/>
          <w:sz w:val="32"/>
          <w:szCs w:val="32"/>
        </w:rPr>
      </w:pPr>
      <w:r>
        <w:rPr>
          <w:rFonts w:hint="eastAsia"/>
          <w:b/>
          <w:bCs/>
          <w:sz w:val="32"/>
          <w:szCs w:val="32"/>
        </w:rPr>
        <w:t>Thesis Title</w:t>
      </w:r>
    </w:p>
    <w:p w14:paraId="5A9A7745">
      <w:pPr>
        <w:pStyle w:val="61"/>
        <w:spacing w:before="0" w:beforeLines="0" w:after="0" w:afterLines="0"/>
        <w:ind w:firstLineChars="0"/>
        <w:jc w:val="center"/>
        <w:rPr>
          <w:b/>
          <w:bCs/>
          <w:sz w:val="32"/>
          <w:szCs w:val="32"/>
        </w:rPr>
      </w:pPr>
      <w:r>
        <w:rPr>
          <w:rFonts w:hint="eastAsia"/>
          <w:b/>
          <w:bCs/>
          <w:sz w:val="32"/>
          <w:szCs w:val="32"/>
        </w:rPr>
        <w:t>Thesis Title</w:t>
      </w:r>
    </w:p>
    <w:p w14:paraId="44EF2C76">
      <w:pPr>
        <w:pStyle w:val="61"/>
        <w:pBdr>
          <w:bottom w:val="single" w:color="auto" w:sz="6" w:space="1"/>
        </w:pBdr>
        <w:spacing w:before="0" w:beforeLines="0" w:after="0" w:afterLines="0"/>
        <w:ind w:firstLineChars="0"/>
        <w:rPr>
          <w:sz w:val="22"/>
          <w:szCs w:val="32"/>
        </w:rPr>
      </w:pPr>
    </w:p>
    <w:p w14:paraId="26899471">
      <w:pPr>
        <w:pStyle w:val="61"/>
        <w:spacing w:before="156" w:beforeLines="50" w:after="156" w:afterLines="50"/>
        <w:ind w:firstLineChars="0"/>
      </w:pP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3"/>
        <w:gridCol w:w="3963"/>
      </w:tblGrid>
      <w:tr w14:paraId="1409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3" w:type="dxa"/>
          </w:tcPr>
          <w:p w14:paraId="07108A45">
            <w:pPr>
              <w:pStyle w:val="61"/>
              <w:spacing w:before="156" w:beforeLines="50" w:after="156" w:afterLines="50"/>
              <w:ind w:firstLineChars="0"/>
              <w:rPr>
                <w:i/>
                <w:iCs/>
              </w:rPr>
            </w:pPr>
            <w:r>
              <w:rPr>
                <w:rFonts w:hint="eastAsia"/>
                <w:i/>
                <w:iCs/>
              </w:rPr>
              <w:t>Author</w:t>
            </w:r>
            <w:r>
              <w:rPr>
                <w:i/>
                <w:iCs/>
              </w:rPr>
              <w:t>:</w:t>
            </w:r>
          </w:p>
          <w:p w14:paraId="20953D07">
            <w:pPr>
              <w:pStyle w:val="61"/>
              <w:spacing w:before="156" w:beforeLines="50" w:after="156" w:afterLines="50"/>
              <w:ind w:firstLineChars="0"/>
              <w:rPr>
                <w:rFonts w:hint="default" w:eastAsia="宋体"/>
                <w:lang w:val="en-US" w:eastAsia="zh-CN"/>
              </w:rPr>
            </w:pPr>
            <w:r>
              <w:rPr>
                <w:rFonts w:hint="eastAsia" w:eastAsia="宋体"/>
                <w:lang w:val="en-US" w:eastAsia="zh-CN"/>
              </w:rPr>
              <w:t>Jiang Yijun</w:t>
            </w:r>
          </w:p>
        </w:tc>
        <w:tc>
          <w:tcPr>
            <w:tcW w:w="3963" w:type="dxa"/>
          </w:tcPr>
          <w:p w14:paraId="185305B8">
            <w:pPr>
              <w:pStyle w:val="61"/>
              <w:spacing w:before="156" w:beforeLines="50" w:after="156" w:afterLines="50"/>
              <w:ind w:firstLineChars="0"/>
              <w:jc w:val="right"/>
              <w:rPr>
                <w:i/>
                <w:iCs/>
              </w:rPr>
            </w:pPr>
            <w:r>
              <w:rPr>
                <w:rFonts w:hint="eastAsia"/>
                <w:i/>
                <w:iCs/>
              </w:rPr>
              <w:t>Supervisor</w:t>
            </w:r>
            <w:r>
              <w:rPr>
                <w:i/>
                <w:iCs/>
              </w:rPr>
              <w:t>:</w:t>
            </w:r>
          </w:p>
          <w:p w14:paraId="440F24F5">
            <w:pPr>
              <w:pStyle w:val="61"/>
              <w:wordWrap w:val="0"/>
              <w:spacing w:before="156" w:beforeLines="50" w:after="156" w:afterLines="50"/>
              <w:ind w:firstLineChars="0"/>
              <w:jc w:val="right"/>
              <w:rPr>
                <w:rFonts w:hint="default" w:eastAsia="宋体"/>
                <w:lang w:val="en-US" w:eastAsia="zh-CN"/>
              </w:rPr>
            </w:pPr>
            <w:r>
              <w:rPr>
                <w:rFonts w:hint="eastAsia"/>
              </w:rPr>
              <w:t>Prof</w:t>
            </w:r>
            <w:r>
              <w:t xml:space="preserve">. </w:t>
            </w:r>
            <w:r>
              <w:rPr>
                <w:rFonts w:hint="eastAsia"/>
              </w:rPr>
              <w:t>Sh</w:t>
            </w:r>
            <w:r>
              <w:rPr>
                <w:rFonts w:hint="eastAsia" w:eastAsia="宋体"/>
                <w:lang w:val="en-US" w:eastAsia="zh-CN"/>
              </w:rPr>
              <w:t>iming Zhang</w:t>
            </w:r>
          </w:p>
        </w:tc>
      </w:tr>
    </w:tbl>
    <w:p w14:paraId="5022AE5B">
      <w:pPr>
        <w:pStyle w:val="61"/>
        <w:spacing w:before="156" w:beforeLines="50" w:after="156" w:afterLines="50"/>
        <w:ind w:firstLineChars="0"/>
      </w:pPr>
      <w:r>
        <w:rPr>
          <w:rFonts w:hint="eastAsia"/>
          <w:i/>
          <w:iCs/>
        </w:rPr>
        <w:t xml:space="preserve"> </w:t>
      </w:r>
    </w:p>
    <w:p w14:paraId="5D87C51B">
      <w:pPr>
        <w:pStyle w:val="61"/>
        <w:spacing w:before="156" w:beforeLines="50" w:after="156" w:afterLines="50"/>
        <w:ind w:firstLineChars="0"/>
      </w:pPr>
    </w:p>
    <w:p w14:paraId="3CA173CD">
      <w:pPr>
        <w:pStyle w:val="61"/>
        <w:spacing w:before="156" w:beforeLines="50" w:after="156" w:afterLines="50"/>
        <w:ind w:firstLineChars="0"/>
      </w:pPr>
    </w:p>
    <w:p w14:paraId="18E454E5">
      <w:pPr>
        <w:pStyle w:val="61"/>
        <w:spacing w:before="156" w:beforeLines="50" w:after="156" w:afterLines="50"/>
        <w:ind w:firstLineChars="0"/>
      </w:pPr>
    </w:p>
    <w:p w14:paraId="0A998B5E">
      <w:pPr>
        <w:pStyle w:val="61"/>
        <w:spacing w:before="156" w:beforeLines="50" w:after="156" w:afterLines="50"/>
        <w:ind w:firstLineChars="0"/>
        <w:jc w:val="center"/>
        <w:rPr>
          <w:i/>
          <w:iCs/>
        </w:rPr>
      </w:pPr>
      <w:r>
        <w:rPr>
          <w:i/>
          <w:iCs/>
        </w:rPr>
        <w:t>A thesis submitted in fulfillment of the requirements</w:t>
      </w:r>
    </w:p>
    <w:p w14:paraId="3F845523">
      <w:pPr>
        <w:pStyle w:val="61"/>
        <w:spacing w:before="156" w:beforeLines="50" w:after="156" w:afterLines="50"/>
        <w:ind w:firstLineChars="0"/>
        <w:jc w:val="center"/>
        <w:rPr>
          <w:rFonts w:hint="default" w:eastAsia="宋体"/>
          <w:i/>
          <w:iCs/>
          <w:lang w:val="en-US" w:eastAsia="zh-CN"/>
        </w:rPr>
      </w:pPr>
      <w:r>
        <w:rPr>
          <w:i/>
          <w:iCs/>
        </w:rPr>
        <w:t xml:space="preserve">for the degree of </w:t>
      </w:r>
      <w:r>
        <w:rPr>
          <w:rFonts w:hint="eastAsia" w:eastAsia="宋体"/>
          <w:i/>
          <w:iCs/>
          <w:lang w:val="en-US" w:eastAsia="zh-CN"/>
        </w:rPr>
        <w:t>Master</w:t>
      </w:r>
      <w:r>
        <w:rPr>
          <w:i/>
          <w:iCs/>
        </w:rPr>
        <w:t xml:space="preserve"> of </w:t>
      </w:r>
      <w:r>
        <w:rPr>
          <w:rFonts w:hint="eastAsia" w:eastAsia="宋体"/>
          <w:i/>
          <w:iCs/>
          <w:lang w:val="en-US" w:eastAsia="zh-CN"/>
        </w:rPr>
        <w:t>Science</w:t>
      </w:r>
    </w:p>
    <w:p w14:paraId="52C2FE33">
      <w:pPr>
        <w:pStyle w:val="61"/>
        <w:spacing w:before="156" w:beforeLines="50" w:after="156" w:afterLines="50"/>
        <w:ind w:firstLineChars="0"/>
        <w:jc w:val="center"/>
      </w:pPr>
      <w:r>
        <w:rPr>
          <w:i/>
          <w:iCs/>
        </w:rPr>
        <w:t>in the</w:t>
      </w:r>
    </w:p>
    <w:p w14:paraId="1D9EC63E">
      <w:pPr>
        <w:pStyle w:val="61"/>
        <w:spacing w:before="156" w:beforeLines="50" w:after="156" w:afterLines="50"/>
        <w:ind w:firstLineChars="0"/>
        <w:jc w:val="center"/>
      </w:pPr>
      <w:r>
        <w:t>Department of</w:t>
      </w:r>
      <w:r>
        <w:rPr>
          <w:rFonts w:hint="eastAsia" w:eastAsia="宋体"/>
          <w:lang w:val="en-US" w:eastAsia="zh-CN"/>
        </w:rPr>
        <w:t xml:space="preserve"> </w:t>
      </w:r>
      <w:r>
        <w:rPr>
          <w:rFonts w:hint="eastAsia"/>
        </w:rPr>
        <w:t>Electrical and Electronic Engineering</w:t>
      </w:r>
    </w:p>
    <w:p w14:paraId="6F27F896">
      <w:pPr>
        <w:pStyle w:val="61"/>
        <w:spacing w:before="156" w:beforeLines="50" w:after="156" w:afterLines="50"/>
        <w:ind w:firstLineChars="0"/>
        <w:jc w:val="center"/>
      </w:pPr>
      <w:r>
        <w:t>Faculty of Engineering</w:t>
      </w:r>
    </w:p>
    <w:p w14:paraId="6B7877F1">
      <w:pPr>
        <w:pStyle w:val="61"/>
        <w:spacing w:before="156" w:beforeLines="50" w:after="156" w:afterLines="50"/>
        <w:ind w:firstLineChars="0"/>
        <w:jc w:val="center"/>
      </w:pPr>
    </w:p>
    <w:p w14:paraId="079E5682">
      <w:pPr>
        <w:pStyle w:val="61"/>
        <w:spacing w:before="156" w:beforeLines="50" w:after="156" w:afterLines="50"/>
        <w:ind w:firstLineChars="0"/>
        <w:jc w:val="center"/>
      </w:pPr>
    </w:p>
    <w:p w14:paraId="2C99EC1D">
      <w:pPr>
        <w:pStyle w:val="61"/>
        <w:spacing w:before="156" w:beforeLines="50" w:after="156" w:afterLines="50"/>
        <w:ind w:firstLineChars="0"/>
        <w:jc w:val="center"/>
        <w:rPr>
          <w:rFonts w:hint="eastAsia" w:eastAsia="宋体"/>
          <w:lang w:val="en-US" w:eastAsia="zh-CN"/>
        </w:rPr>
        <w:sectPr>
          <w:footerReference r:id="rId3" w:type="first"/>
          <w:pgSz w:w="11906" w:h="16838"/>
          <w:pgMar w:top="1418" w:right="1985" w:bottom="1418" w:left="1985" w:header="851" w:footer="992" w:gutter="0"/>
          <w:pgNumType w:fmt="lowerRoman"/>
          <w:cols w:space="425" w:num="1"/>
          <w:docGrid w:type="lines" w:linePitch="312" w:charSpace="0"/>
        </w:sectPr>
      </w:pPr>
      <w:r>
        <w:rPr>
          <w:rFonts w:hint="eastAsia"/>
        </w:rPr>
        <w:t>May</w:t>
      </w:r>
      <w:r>
        <w:t xml:space="preserve"> </w:t>
      </w:r>
      <w:r>
        <w:rPr>
          <w:rFonts w:hint="eastAsia"/>
        </w:rPr>
        <w:t>31</w:t>
      </w:r>
      <w:r>
        <w:t>, 202</w:t>
      </w:r>
      <w:r>
        <w:rPr>
          <w:rFonts w:hint="eastAsia" w:eastAsia="宋体"/>
          <w:lang w:val="en-US" w:eastAsia="zh-CN"/>
        </w:rPr>
        <w:t>6</w:t>
      </w:r>
    </w:p>
    <w:p w14:paraId="44D31A41">
      <w:pPr>
        <w:pStyle w:val="81"/>
        <w:spacing w:before="0" w:after="0"/>
        <w:jc w:val="center"/>
        <w:rPr>
          <w:sz w:val="26"/>
          <w:szCs w:val="26"/>
        </w:rPr>
      </w:pPr>
      <w:bookmarkStart w:id="2" w:name="_Toc199729350"/>
      <w:bookmarkStart w:id="3" w:name="_Toc201089482"/>
      <w:r>
        <w:rPr>
          <w:rFonts w:hint="eastAsia"/>
          <w:sz w:val="26"/>
          <w:szCs w:val="26"/>
        </w:rPr>
        <w:t>Abstract</w:t>
      </w:r>
      <w:bookmarkEnd w:id="2"/>
      <w:bookmarkEnd w:id="3"/>
    </w:p>
    <w:p w14:paraId="1EA2E0FD">
      <w:pPr>
        <w:pStyle w:val="84"/>
        <w:spacing w:before="0" w:beforeLines="0" w:after="312" w:line="240" w:lineRule="auto"/>
        <w:rPr>
          <w:szCs w:val="26"/>
        </w:rPr>
      </w:pPr>
      <w:r>
        <w:rPr>
          <w:rFonts w:hint="eastAsia"/>
          <w:szCs w:val="26"/>
        </w:rPr>
        <w:t>of thesis entitled</w:t>
      </w:r>
    </w:p>
    <w:p w14:paraId="7102631C">
      <w:pPr>
        <w:pStyle w:val="61"/>
        <w:spacing w:before="78" w:beforeLines="25" w:after="312"/>
        <w:ind w:firstLine="0" w:firstLineChars="0"/>
        <w:jc w:val="center"/>
        <w:rPr>
          <w:b/>
          <w:bCs/>
          <w:sz w:val="28"/>
          <w:szCs w:val="28"/>
        </w:rPr>
      </w:pPr>
      <w:r>
        <w:rPr>
          <w:b/>
          <w:bCs/>
          <w:sz w:val="28"/>
          <w:szCs w:val="28"/>
        </w:rPr>
        <w:t>Thesis Title</w:t>
      </w:r>
    </w:p>
    <w:p w14:paraId="03A1301F">
      <w:pPr>
        <w:pStyle w:val="64"/>
        <w:spacing w:before="312" w:after="312"/>
      </w:pPr>
      <w:r>
        <w:rPr>
          <w:rFonts w:hint="eastAsia"/>
        </w:rPr>
        <w:t>Submitted by</w:t>
      </w:r>
    </w:p>
    <w:p w14:paraId="59BFCDFB">
      <w:pPr>
        <w:pStyle w:val="64"/>
        <w:spacing w:before="312" w:after="312"/>
        <w:rPr>
          <w:rFonts w:hint="default" w:eastAsia="宋体"/>
          <w:b/>
          <w:bCs/>
          <w:lang w:val="en-US" w:eastAsia="zh-CN"/>
        </w:rPr>
      </w:pPr>
      <w:r>
        <w:rPr>
          <w:rFonts w:hint="eastAsia" w:eastAsia="宋体"/>
          <w:b/>
          <w:bCs/>
          <w:lang w:val="en-US" w:eastAsia="zh-CN"/>
        </w:rPr>
        <w:t>Jiang Yijun</w:t>
      </w:r>
    </w:p>
    <w:p w14:paraId="2E4E0348">
      <w:pPr>
        <w:pStyle w:val="61"/>
        <w:spacing w:before="78" w:beforeLines="25" w:after="78" w:afterLines="25"/>
        <w:ind w:firstLineChars="0"/>
        <w:jc w:val="center"/>
        <w:rPr>
          <w:rFonts w:hint="default" w:eastAsia="宋体"/>
          <w:szCs w:val="26"/>
          <w:lang w:val="en-US" w:eastAsia="zh-CN"/>
        </w:rPr>
      </w:pPr>
      <w:r>
        <w:rPr>
          <w:szCs w:val="26"/>
        </w:rPr>
        <w:t xml:space="preserve">for the degree of </w:t>
      </w:r>
      <w:r>
        <w:rPr>
          <w:rFonts w:hint="eastAsia" w:eastAsia="宋体"/>
          <w:szCs w:val="26"/>
          <w:lang w:val="en-US" w:eastAsia="zh-CN"/>
        </w:rPr>
        <w:t>Master of Science</w:t>
      </w:r>
    </w:p>
    <w:p w14:paraId="01E0A69E">
      <w:pPr>
        <w:pStyle w:val="61"/>
        <w:spacing w:before="78" w:beforeLines="25" w:after="78" w:afterLines="25"/>
        <w:ind w:firstLineChars="0"/>
        <w:jc w:val="center"/>
        <w:rPr>
          <w:szCs w:val="26"/>
        </w:rPr>
      </w:pPr>
      <w:r>
        <w:rPr>
          <w:szCs w:val="26"/>
        </w:rPr>
        <w:t>at The University of Hong Kong</w:t>
      </w:r>
    </w:p>
    <w:p w14:paraId="2264BD7D">
      <w:pPr>
        <w:pStyle w:val="61"/>
        <w:spacing w:before="78" w:beforeLines="25" w:after="78" w:afterLines="25"/>
        <w:ind w:firstLineChars="0"/>
        <w:jc w:val="center"/>
        <w:rPr>
          <w:rFonts w:hint="eastAsia" w:eastAsia="宋体"/>
          <w:szCs w:val="26"/>
          <w:lang w:val="en-US" w:eastAsia="zh-CN"/>
        </w:rPr>
      </w:pPr>
      <w:r>
        <w:rPr>
          <w:szCs w:val="26"/>
        </w:rPr>
        <w:t>in May 20</w:t>
      </w:r>
      <w:r>
        <w:rPr>
          <w:rFonts w:hint="eastAsia"/>
          <w:szCs w:val="26"/>
        </w:rPr>
        <w:t>2</w:t>
      </w:r>
      <w:r>
        <w:rPr>
          <w:rFonts w:hint="eastAsia" w:eastAsia="宋体"/>
          <w:szCs w:val="26"/>
          <w:lang w:val="en-US" w:eastAsia="zh-CN"/>
        </w:rPr>
        <w:t>6</w:t>
      </w:r>
    </w:p>
    <w:p w14:paraId="28EC4826">
      <w:pPr>
        <w:pStyle w:val="61"/>
        <w:spacing w:before="312" w:after="312"/>
        <w:ind w:firstLine="480"/>
      </w:pPr>
      <w:r>
        <w:rPr>
          <w:rFonts w:hint="eastAsia"/>
        </w:rPr>
        <w:t>XXXXXXX</w:t>
      </w:r>
    </w:p>
    <w:p w14:paraId="46931336">
      <w:pPr>
        <w:pStyle w:val="61"/>
        <w:spacing w:before="312" w:after="312"/>
        <w:ind w:firstLine="480"/>
      </w:pPr>
      <w:r>
        <w:rPr>
          <w:rFonts w:hint="eastAsia"/>
        </w:rPr>
        <w:t>XXXXXXX</w:t>
      </w:r>
    </w:p>
    <w:p w14:paraId="1772192B">
      <w:pPr>
        <w:pStyle w:val="61"/>
        <w:pBdr>
          <w:bottom w:val="single" w:color="auto" w:sz="6" w:space="1"/>
        </w:pBdr>
        <w:spacing w:before="312" w:after="312"/>
        <w:ind w:firstLineChars="0"/>
        <w:jc w:val="center"/>
        <w:rPr>
          <w:b/>
          <w:bCs/>
        </w:rPr>
      </w:pPr>
    </w:p>
    <w:p w14:paraId="7003C32D">
      <w:pPr>
        <w:pStyle w:val="61"/>
        <w:spacing w:before="0" w:beforeLines="0" w:after="0" w:afterLines="0"/>
        <w:ind w:firstLineChars="0"/>
        <w:jc w:val="center"/>
        <w:rPr>
          <w:b/>
          <w:bCs/>
          <w:i/>
          <w:iCs/>
          <w:szCs w:val="26"/>
        </w:rPr>
      </w:pPr>
      <w:r>
        <w:rPr>
          <w:rFonts w:hint="eastAsia"/>
          <w:b/>
          <w:bCs/>
          <w:i/>
          <w:iCs/>
          <w:szCs w:val="26"/>
        </w:rPr>
        <w:t>An abstract of 500 words</w:t>
      </w:r>
    </w:p>
    <w:p w14:paraId="703DEB30">
      <w:pPr>
        <w:pStyle w:val="61"/>
        <w:spacing w:before="0" w:beforeLines="0" w:after="0" w:afterLines="0"/>
        <w:ind w:firstLineChars="0"/>
        <w:jc w:val="center"/>
        <w:rPr>
          <w:b/>
          <w:bCs/>
          <w:sz w:val="32"/>
          <w:szCs w:val="32"/>
        </w:rPr>
        <w:sectPr>
          <w:headerReference r:id="rId4" w:type="default"/>
          <w:footerReference r:id="rId6" w:type="default"/>
          <w:headerReference r:id="rId5" w:type="even"/>
          <w:footerReference r:id="rId7" w:type="even"/>
          <w:pgSz w:w="11906" w:h="16838"/>
          <w:pgMar w:top="1418" w:right="1985" w:bottom="1418" w:left="1985" w:header="851" w:footer="992" w:gutter="0"/>
          <w:pgNumType w:fmt="lowerRoman"/>
          <w:cols w:space="425" w:num="1"/>
          <w:docGrid w:type="lines" w:linePitch="312" w:charSpace="0"/>
        </w:sectPr>
      </w:pPr>
    </w:p>
    <w:p w14:paraId="5D2F821F">
      <w:pPr>
        <w:pStyle w:val="61"/>
        <w:spacing w:before="0" w:beforeLines="0" w:after="0" w:afterLines="0"/>
        <w:ind w:firstLineChars="0"/>
        <w:jc w:val="center"/>
        <w:rPr>
          <w:b/>
          <w:bCs/>
          <w:sz w:val="36"/>
          <w:szCs w:val="36"/>
        </w:rPr>
      </w:pPr>
    </w:p>
    <w:p w14:paraId="495B34C4">
      <w:pPr>
        <w:pStyle w:val="61"/>
        <w:spacing w:before="0" w:beforeLines="0" w:after="0" w:afterLines="0"/>
        <w:ind w:firstLineChars="0"/>
        <w:jc w:val="center"/>
        <w:rPr>
          <w:b/>
          <w:bCs/>
          <w:sz w:val="36"/>
          <w:szCs w:val="36"/>
        </w:rPr>
      </w:pPr>
    </w:p>
    <w:p w14:paraId="77EC56E4">
      <w:pPr>
        <w:pStyle w:val="61"/>
        <w:spacing w:before="0" w:beforeLines="0" w:after="0" w:afterLines="0"/>
        <w:ind w:firstLineChars="0"/>
        <w:jc w:val="center"/>
        <w:rPr>
          <w:b/>
          <w:bCs/>
          <w:sz w:val="36"/>
          <w:szCs w:val="36"/>
        </w:rPr>
      </w:pPr>
    </w:p>
    <w:p w14:paraId="12F4DBDC">
      <w:pPr>
        <w:pStyle w:val="61"/>
        <w:spacing w:before="0" w:beforeLines="0" w:after="0" w:afterLines="0"/>
        <w:ind w:firstLineChars="0"/>
        <w:jc w:val="center"/>
      </w:pPr>
      <w:r>
        <w:rPr>
          <w:b/>
          <w:bCs/>
          <w:sz w:val="36"/>
          <w:szCs w:val="36"/>
        </w:rPr>
        <w:t xml:space="preserve">Thesis Title </w:t>
      </w:r>
    </w:p>
    <w:p w14:paraId="56A3415D">
      <w:pPr>
        <w:pStyle w:val="61"/>
        <w:spacing w:before="156" w:beforeLines="50" w:after="156" w:afterLines="50"/>
        <w:ind w:firstLineChars="0"/>
        <w:jc w:val="center"/>
      </w:pPr>
    </w:p>
    <w:p w14:paraId="500F80B3">
      <w:pPr>
        <w:pStyle w:val="61"/>
        <w:spacing w:before="156" w:beforeLines="50" w:after="156" w:afterLines="50"/>
        <w:ind w:firstLineChars="0"/>
        <w:rPr>
          <w:i/>
          <w:iCs/>
        </w:rPr>
      </w:pPr>
      <w:r>
        <w:rPr>
          <w:rFonts w:hint="eastAsia"/>
          <w:i/>
          <w:iCs/>
        </w:rPr>
        <w:t xml:space="preserve"> </w:t>
      </w:r>
    </w:p>
    <w:p w14:paraId="7DC92CCA">
      <w:pPr>
        <w:pStyle w:val="61"/>
        <w:spacing w:before="156" w:beforeLines="50" w:after="156" w:afterLines="50"/>
        <w:ind w:firstLineChars="0"/>
      </w:pPr>
    </w:p>
    <w:p w14:paraId="29C83274">
      <w:pPr>
        <w:pStyle w:val="61"/>
        <w:spacing w:before="156" w:beforeLines="50" w:after="156" w:afterLines="50"/>
        <w:ind w:firstLineChars="0"/>
        <w:jc w:val="center"/>
      </w:pPr>
      <w:r>
        <w:rPr>
          <w:rFonts w:hint="eastAsia"/>
        </w:rPr>
        <w:t>by</w:t>
      </w:r>
    </w:p>
    <w:p w14:paraId="0044435E">
      <w:pPr>
        <w:pStyle w:val="61"/>
        <w:spacing w:before="156" w:beforeLines="50" w:after="156" w:afterLines="50"/>
        <w:ind w:firstLineChars="0"/>
        <w:jc w:val="center"/>
      </w:pPr>
    </w:p>
    <w:p w14:paraId="55D91B9A">
      <w:pPr>
        <w:pStyle w:val="61"/>
        <w:spacing w:before="156" w:beforeLines="50" w:after="156" w:afterLines="50"/>
        <w:ind w:firstLineChars="0"/>
        <w:jc w:val="center"/>
        <w:rPr>
          <w:rFonts w:hint="default" w:eastAsia="宋体"/>
          <w:smallCaps/>
          <w:sz w:val="28"/>
          <w:szCs w:val="28"/>
          <w:lang w:val="en-US" w:eastAsia="zh-CN"/>
        </w:rPr>
      </w:pPr>
      <w:r>
        <w:rPr>
          <w:rFonts w:hint="eastAsia" w:eastAsia="宋体"/>
          <w:lang w:val="en-US" w:eastAsia="zh-CN"/>
        </w:rPr>
        <w:t>Jiang Yijun</w:t>
      </w:r>
    </w:p>
    <w:p w14:paraId="2557A236">
      <w:pPr>
        <w:pStyle w:val="61"/>
        <w:spacing w:before="156" w:beforeLines="50" w:after="156" w:afterLines="50"/>
        <w:ind w:firstLineChars="0"/>
        <w:jc w:val="center"/>
      </w:pPr>
      <w:r>
        <w:rPr>
          <w:rFonts w:hint="eastAsia"/>
        </w:rPr>
        <w:t>Bachelor's Degree in Robotics Engineering</w:t>
      </w:r>
      <w:r>
        <w:rPr>
          <w:rFonts w:hint="eastAsia" w:eastAsia="宋体"/>
          <w:lang w:val="en-US" w:eastAsia="zh-CN"/>
        </w:rPr>
        <w:t xml:space="preserve"> </w:t>
      </w:r>
      <w:r>
        <w:rPr>
          <w:rFonts w:hint="eastAsia"/>
        </w:rPr>
        <w:t xml:space="preserve">, </w:t>
      </w:r>
      <w:r>
        <w:rPr>
          <w:rFonts w:hint="eastAsia" w:eastAsia="宋体"/>
          <w:lang w:val="en-US" w:eastAsia="zh-CN"/>
        </w:rPr>
        <w:t>Chongqing</w:t>
      </w:r>
      <w:r>
        <w:rPr>
          <w:rFonts w:hint="eastAsia"/>
        </w:rPr>
        <w:t xml:space="preserve"> University</w:t>
      </w:r>
    </w:p>
    <w:p w14:paraId="2DF6C850">
      <w:pPr>
        <w:pStyle w:val="61"/>
        <w:spacing w:before="156" w:beforeLines="50" w:after="156" w:afterLines="50"/>
        <w:ind w:firstLineChars="0"/>
        <w:jc w:val="center"/>
      </w:pPr>
    </w:p>
    <w:p w14:paraId="6F6F5E9B">
      <w:pPr>
        <w:pStyle w:val="61"/>
        <w:spacing w:before="156" w:beforeLines="50" w:after="156" w:afterLines="50"/>
        <w:ind w:firstLineChars="0"/>
        <w:jc w:val="center"/>
        <w:rPr>
          <w:i/>
          <w:iCs/>
        </w:rPr>
      </w:pPr>
    </w:p>
    <w:p w14:paraId="1E8D4D55">
      <w:pPr>
        <w:pStyle w:val="61"/>
        <w:spacing w:before="156" w:beforeLines="50" w:after="156" w:afterLines="50"/>
        <w:ind w:firstLineChars="0"/>
        <w:jc w:val="center"/>
        <w:rPr>
          <w:i/>
          <w:iCs/>
        </w:rPr>
      </w:pPr>
    </w:p>
    <w:p w14:paraId="2DDC7472">
      <w:pPr>
        <w:pStyle w:val="61"/>
        <w:spacing w:before="156" w:beforeLines="50" w:after="156" w:afterLines="50"/>
        <w:ind w:firstLineChars="0"/>
        <w:jc w:val="center"/>
        <w:rPr>
          <w:i/>
          <w:iCs/>
        </w:rPr>
      </w:pPr>
      <w:r>
        <w:rPr>
          <w:i/>
          <w:iCs/>
        </w:rPr>
        <w:t xml:space="preserve">A thesis submitted </w:t>
      </w:r>
      <w:r>
        <w:rPr>
          <w:rFonts w:hint="eastAsia"/>
          <w:i/>
          <w:iCs/>
        </w:rPr>
        <w:t xml:space="preserve">to attain </w:t>
      </w:r>
      <w:r>
        <w:rPr>
          <w:i/>
          <w:iCs/>
        </w:rPr>
        <w:t xml:space="preserve">the degree of </w:t>
      </w:r>
    </w:p>
    <w:p w14:paraId="3445AC24">
      <w:pPr>
        <w:pStyle w:val="61"/>
        <w:spacing w:before="156" w:beforeLines="50" w:after="156" w:afterLines="50"/>
        <w:ind w:firstLineChars="0"/>
        <w:jc w:val="center"/>
        <w:rPr>
          <w:rFonts w:hint="default" w:eastAsia="宋体"/>
          <w:i/>
          <w:iCs/>
          <w:lang w:val="en-US" w:eastAsia="zh-CN"/>
        </w:rPr>
      </w:pPr>
      <w:r>
        <w:rPr>
          <w:rFonts w:hint="eastAsia" w:eastAsia="宋体"/>
          <w:i/>
          <w:iCs/>
          <w:lang w:val="en-US" w:eastAsia="zh-CN"/>
        </w:rPr>
        <w:t>Master of Science</w:t>
      </w:r>
    </w:p>
    <w:p w14:paraId="6FE9C076">
      <w:pPr>
        <w:pStyle w:val="61"/>
        <w:spacing w:before="156" w:beforeLines="50" w:after="156" w:afterLines="50"/>
        <w:ind w:firstLineChars="0"/>
        <w:jc w:val="center"/>
      </w:pPr>
      <w:r>
        <w:rPr>
          <w:rFonts w:hint="eastAsia"/>
        </w:rPr>
        <w:t>at</w:t>
      </w:r>
    </w:p>
    <w:p w14:paraId="75895178">
      <w:pPr>
        <w:pStyle w:val="61"/>
        <w:spacing w:before="156" w:beforeLines="50" w:after="156" w:afterLines="50"/>
        <w:ind w:firstLineChars="0"/>
        <w:jc w:val="center"/>
        <w:rPr>
          <w:i/>
          <w:iCs/>
        </w:rPr>
      </w:pPr>
    </w:p>
    <w:p w14:paraId="30076A4C">
      <w:pPr>
        <w:pStyle w:val="61"/>
        <w:spacing w:before="156" w:beforeLines="50" w:after="156" w:afterLines="50"/>
        <w:ind w:firstLineChars="0"/>
        <w:jc w:val="center"/>
        <w:rPr>
          <w:i/>
          <w:iCs/>
        </w:rPr>
      </w:pPr>
    </w:p>
    <w:p w14:paraId="2785A945">
      <w:pPr>
        <w:pStyle w:val="61"/>
        <w:spacing w:before="156" w:beforeLines="50" w:after="156" w:afterLines="50"/>
        <w:ind w:firstLineChars="0"/>
        <w:jc w:val="center"/>
      </w:pPr>
      <w:r>
        <w:rPr>
          <w:rFonts w:hint="eastAsia"/>
        </w:rPr>
        <w:t>The University of Hong Kong</w:t>
      </w:r>
    </w:p>
    <w:p w14:paraId="4DBB96BB">
      <w:pPr>
        <w:pStyle w:val="61"/>
        <w:spacing w:before="156" w:beforeLines="50" w:after="156" w:afterLines="50"/>
        <w:ind w:firstLineChars="0"/>
        <w:jc w:val="center"/>
        <w:rPr>
          <w:rFonts w:hint="eastAsia" w:eastAsia="宋体"/>
          <w:lang w:val="en-US" w:eastAsia="zh-CN"/>
        </w:rPr>
      </w:pPr>
      <w:r>
        <w:rPr>
          <w:rFonts w:hint="eastAsia"/>
        </w:rPr>
        <w:t>May, 202</w:t>
      </w:r>
      <w:r>
        <w:rPr>
          <w:rFonts w:hint="eastAsia" w:eastAsia="宋体"/>
          <w:lang w:val="en-US" w:eastAsia="zh-CN"/>
        </w:rPr>
        <w:t>6</w:t>
      </w:r>
    </w:p>
    <w:p w14:paraId="13683D55"/>
    <w:p w14:paraId="2322A02C">
      <w:pPr>
        <w:sectPr>
          <w:pgSz w:w="11906" w:h="16838"/>
          <w:pgMar w:top="1418" w:right="1985" w:bottom="1418" w:left="1985" w:header="851" w:footer="992" w:gutter="0"/>
          <w:pgNumType w:fmt="lowerRoman"/>
          <w:cols w:space="425" w:num="1"/>
          <w:titlePg/>
          <w:docGrid w:type="lines" w:linePitch="312" w:charSpace="0"/>
        </w:sectPr>
      </w:pPr>
    </w:p>
    <w:p w14:paraId="6FF59CED"/>
    <w:p w14:paraId="1EBCB0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default" w:ascii="Times New Roman" w:hAnsi="Times New Roman" w:cs="Times New Roman" w:eastAsiaTheme="minorEastAsia"/>
          <w:color w:val="000000"/>
          <w:sz w:val="20"/>
          <w:szCs w:val="20"/>
          <w:lang w:val="en-US" w:eastAsia="zh-CN"/>
        </w:rPr>
      </w:pPr>
      <w:r>
        <w:rPr>
          <w:rFonts w:ascii="Times New Roman" w:hAnsi="Times New Roman" w:cs="Times New Roman"/>
          <w:smallCaps/>
          <w:color w:val="000000"/>
          <w:sz w:val="20"/>
          <w:szCs w:val="20"/>
        </w:rPr>
        <w:t>C</w:t>
      </w:r>
      <w:r>
        <w:rPr>
          <w:rFonts w:hint="eastAsia" w:ascii="Times New Roman" w:hAnsi="Times New Roman" w:cs="Times New Roman"/>
          <w:smallCaps/>
          <w:color w:val="000000"/>
          <w:sz w:val="20"/>
          <w:szCs w:val="20"/>
        </w:rPr>
        <w:t>opyright</w:t>
      </w:r>
      <w:r>
        <w:rPr>
          <w:rFonts w:ascii="Times New Roman" w:hAnsi="Times New Roman" w:cs="Times New Roman"/>
          <w:smallCaps/>
          <w:color w:val="000000"/>
          <w:sz w:val="20"/>
          <w:szCs w:val="20"/>
        </w:rPr>
        <w:t xml:space="preserve"> ©202</w:t>
      </w:r>
      <w:r>
        <w:rPr>
          <w:rFonts w:hint="eastAsia" w:ascii="Times New Roman" w:hAnsi="Times New Roman" w:cs="Times New Roman"/>
          <w:smallCaps/>
          <w:color w:val="000000"/>
          <w:sz w:val="20"/>
          <w:szCs w:val="20"/>
          <w:lang w:val="en-US" w:eastAsia="zh-CN"/>
        </w:rPr>
        <w:t>6</w:t>
      </w:r>
      <w:r>
        <w:rPr>
          <w:rFonts w:ascii="Times New Roman" w:hAnsi="Times New Roman" w:cs="Times New Roman"/>
          <w:smallCaps/>
          <w:color w:val="000000"/>
          <w:sz w:val="20"/>
          <w:szCs w:val="20"/>
        </w:rPr>
        <w:t xml:space="preserve">, </w:t>
      </w:r>
      <w:r>
        <w:rPr>
          <w:rFonts w:hint="eastAsia" w:ascii="Times New Roman" w:hAnsi="Times New Roman" w:cs="Times New Roman"/>
          <w:smallCaps/>
          <w:color w:val="000000"/>
          <w:sz w:val="20"/>
          <w:szCs w:val="20"/>
        </w:rPr>
        <w:t>by</w:t>
      </w:r>
      <w:r>
        <w:rPr>
          <w:rFonts w:ascii="Times New Roman" w:hAnsi="Times New Roman" w:cs="Times New Roman"/>
          <w:smallCaps/>
          <w:color w:val="000000"/>
          <w:sz w:val="20"/>
          <w:szCs w:val="20"/>
        </w:rPr>
        <w:t xml:space="preserve"> </w:t>
      </w:r>
      <w:r>
        <w:rPr>
          <w:rFonts w:hint="eastAsia" w:ascii="Times New Roman" w:hAnsi="Times New Roman" w:cs="Times New Roman"/>
          <w:smallCaps/>
          <w:color w:val="000000"/>
          <w:sz w:val="20"/>
          <w:szCs w:val="20"/>
          <w:lang w:val="en-US" w:eastAsia="zh-CN"/>
        </w:rPr>
        <w:t>Jiang Yijun</w:t>
      </w:r>
    </w:p>
    <w:p w14:paraId="47D85F46">
      <w:pPr>
        <w:rPr>
          <w:rFonts w:ascii="Times New Roman" w:hAnsi="Times New Roman" w:cs="Times New Roman"/>
          <w:sz w:val="20"/>
          <w:szCs w:val="20"/>
        </w:rPr>
      </w:pPr>
      <w:r>
        <w:rPr>
          <w:rFonts w:ascii="Times New Roman" w:hAnsi="Times New Roman" w:cs="Times New Roman"/>
          <w:color w:val="000000"/>
          <w:sz w:val="20"/>
          <w:szCs w:val="20"/>
        </w:rPr>
        <w:t>ALL RIGHTS RESERVED.</w:t>
      </w:r>
    </w:p>
    <w:p w14:paraId="59F53B9A"/>
    <w:p w14:paraId="55C53A1A">
      <w:pPr>
        <w:sectPr>
          <w:pgSz w:w="11906" w:h="16838"/>
          <w:pgMar w:top="1418" w:right="1985" w:bottom="1418" w:left="1985" w:header="851" w:footer="992" w:gutter="0"/>
          <w:pgNumType w:fmt="lowerRoman"/>
          <w:cols w:space="425" w:num="1"/>
          <w:titlePg/>
          <w:vAlign w:val="center"/>
          <w:docGrid w:type="lines" w:linePitch="312" w:charSpace="0"/>
        </w:sectPr>
      </w:pPr>
    </w:p>
    <w:p w14:paraId="018E6507"/>
    <w:p w14:paraId="738B9AE1"/>
    <w:p w14:paraId="23DBA4BA"/>
    <w:p w14:paraId="08162C15">
      <w:pPr>
        <w:pStyle w:val="81"/>
      </w:pPr>
      <w:bookmarkStart w:id="4" w:name="_Toc199729351"/>
      <w:bookmarkStart w:id="5" w:name="_Toc201089483"/>
      <w:r>
        <w:rPr>
          <w:rFonts w:hint="eastAsia"/>
        </w:rPr>
        <w:t>Declaration</w:t>
      </w:r>
      <w:bookmarkEnd w:id="4"/>
      <w:bookmarkEnd w:id="5"/>
    </w:p>
    <w:p w14:paraId="50273D8A">
      <w:pPr>
        <w:pStyle w:val="61"/>
        <w:spacing w:before="312" w:after="312"/>
        <w:ind w:firstLine="480"/>
      </w:pPr>
    </w:p>
    <w:p w14:paraId="58DE5C99">
      <w:pPr>
        <w:pStyle w:val="61"/>
        <w:spacing w:before="312" w:after="312"/>
        <w:ind w:firstLine="480"/>
      </w:pPr>
      <w:r>
        <w:t xml:space="preserve">I, </w:t>
      </w:r>
      <w:r>
        <w:rPr>
          <w:rFonts w:hint="eastAsia" w:eastAsia="宋体"/>
          <w:lang w:val="en-US" w:eastAsia="zh-CN"/>
        </w:rPr>
        <w:t>Jiang Yijun</w:t>
      </w:r>
      <w:r>
        <w:t>, declare that this thesis titled, “</w:t>
      </w:r>
      <w:r>
        <w:rPr>
          <w:rFonts w:hint="eastAsia"/>
        </w:rPr>
        <w:t>Thesis Title</w:t>
      </w:r>
      <w:r>
        <w:t>”, which</w:t>
      </w:r>
      <w:r>
        <w:rPr>
          <w:rFonts w:hint="eastAsia"/>
        </w:rPr>
        <w:t xml:space="preserve"> </w:t>
      </w:r>
      <w:r>
        <w:t>is submitted in fulfillment of the requirements for the Degree of Doctor of Philosophy, represents my own work except where due acknowledgement have</w:t>
      </w:r>
      <w:r>
        <w:rPr>
          <w:rFonts w:hint="eastAsia"/>
        </w:rPr>
        <w:t xml:space="preserve"> </w:t>
      </w:r>
      <w:r>
        <w:t>been made. I further declared that it has not been previously included in a</w:t>
      </w:r>
      <w:r>
        <w:rPr>
          <w:rFonts w:hint="eastAsia"/>
        </w:rPr>
        <w:t xml:space="preserve"> </w:t>
      </w:r>
      <w:r>
        <w:t>thesis, dissertation, or report submitted to this University or to any other institution for a degree, diploma or other qualifications.</w:t>
      </w:r>
    </w:p>
    <w:p w14:paraId="7F50B92F">
      <w:pPr>
        <w:pStyle w:val="61"/>
        <w:spacing w:before="312" w:after="312"/>
        <w:ind w:firstLine="480"/>
        <w:sectPr>
          <w:pgSz w:w="11906" w:h="16838"/>
          <w:pgMar w:top="1418" w:right="1985" w:bottom="1418" w:left="1985" w:header="851" w:footer="992" w:gutter="0"/>
          <w:pgNumType w:fmt="lowerRoman"/>
          <w:cols w:space="425" w:num="1"/>
          <w:titlePg/>
          <w:docGrid w:type="lines" w:linePitch="312" w:charSpace="0"/>
        </w:sectPr>
      </w:pPr>
    </w:p>
    <w:p w14:paraId="5836EE7D">
      <w:pPr>
        <w:pStyle w:val="81"/>
        <w:jc w:val="center"/>
      </w:pPr>
      <w:bookmarkStart w:id="6" w:name="_Toc201089484"/>
      <w:r>
        <w:rPr>
          <w:rFonts w:hint="eastAsia"/>
        </w:rPr>
        <w:t>Acknowledgement</w:t>
      </w:r>
      <w:bookmarkEnd w:id="6"/>
    </w:p>
    <w:p w14:paraId="4E680DA5">
      <w:pPr>
        <w:pStyle w:val="61"/>
        <w:spacing w:before="312" w:after="312"/>
        <w:ind w:firstLine="480"/>
        <w:rPr>
          <w:lang w:val="en-GB"/>
        </w:rPr>
      </w:pPr>
    </w:p>
    <w:p w14:paraId="08E063C9">
      <w:pPr>
        <w:pStyle w:val="61"/>
        <w:spacing w:before="312" w:after="312"/>
        <w:ind w:firstLine="480"/>
        <w:rPr>
          <w:lang w:val="en-GB"/>
        </w:rPr>
      </w:pPr>
      <w:r>
        <w:rPr>
          <w:rFonts w:hint="eastAsia"/>
          <w:lang w:val="en-GB"/>
        </w:rPr>
        <w:t>I would like to thank all the people I love.</w:t>
      </w:r>
    </w:p>
    <w:p w14:paraId="40BA74D9">
      <w:pPr>
        <w:pStyle w:val="61"/>
        <w:spacing w:before="312" w:after="312"/>
        <w:ind w:firstLine="480"/>
        <w:sectPr>
          <w:type w:val="oddPage"/>
          <w:pgSz w:w="11906" w:h="16838"/>
          <w:pgMar w:top="1418" w:right="1985" w:bottom="1418" w:left="1985" w:header="851" w:footer="992" w:gutter="0"/>
          <w:pgNumType w:fmt="lowerRoman"/>
          <w:cols w:space="425" w:num="1"/>
          <w:titlePg/>
          <w:vAlign w:val="center"/>
          <w:docGrid w:type="lines" w:linePitch="312" w:charSpace="0"/>
        </w:sectPr>
      </w:pPr>
    </w:p>
    <w:p w14:paraId="398BF817">
      <w:pPr>
        <w:pStyle w:val="81"/>
      </w:pPr>
      <w:bookmarkStart w:id="7" w:name="_Toc201089485"/>
      <w:bookmarkStart w:id="8" w:name="_Toc199729352"/>
      <w:r>
        <w:rPr>
          <w:rFonts w:hint="eastAsia"/>
        </w:rPr>
        <w:t>List of Publications</w:t>
      </w:r>
      <w:bookmarkEnd w:id="7"/>
      <w:bookmarkEnd w:id="8"/>
    </w:p>
    <w:p w14:paraId="007D42E7">
      <w:pPr>
        <w:pStyle w:val="61"/>
        <w:spacing w:before="156" w:beforeLines="50" w:after="156" w:afterLines="50"/>
        <w:ind w:firstLine="640"/>
        <w:rPr>
          <w:i/>
          <w:iCs/>
          <w:sz w:val="32"/>
          <w:szCs w:val="32"/>
        </w:rPr>
      </w:pPr>
      <w:r>
        <w:rPr>
          <w:rFonts w:hint="eastAsia"/>
          <w:i/>
          <w:iCs/>
          <w:sz w:val="32"/>
          <w:szCs w:val="32"/>
        </w:rPr>
        <w:t>Journals:</w:t>
      </w:r>
    </w:p>
    <w:p w14:paraId="56040F55">
      <w:pPr>
        <w:pStyle w:val="50"/>
        <w:numPr>
          <w:ilvl w:val="0"/>
          <w:numId w:val="7"/>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hint="eastAsia" w:ascii="Times New Roman" w:hAnsi="Times New Roman" w:cs="Times New Roman"/>
          <w:sz w:val="24"/>
        </w:rPr>
        <w:t>XXX</w:t>
      </w:r>
      <w:r>
        <w:rPr>
          <w:rFonts w:ascii="Times New Roman" w:hAnsi="Times New Roman" w:cs="Times New Roman"/>
          <w:sz w:val="24"/>
        </w:rPr>
        <w:t>. (202</w:t>
      </w:r>
      <w:r>
        <w:rPr>
          <w:rFonts w:hint="eastAsia" w:ascii="Times New Roman" w:hAnsi="Times New Roman" w:cs="Times New Roman"/>
          <w:sz w:val="24"/>
        </w:rPr>
        <w:t>5</w:t>
      </w:r>
      <w:r>
        <w:rPr>
          <w:rFonts w:ascii="Times New Roman" w:hAnsi="Times New Roman" w:cs="Times New Roman"/>
          <w:sz w:val="24"/>
        </w:rPr>
        <w:t>).</w:t>
      </w:r>
      <w:r>
        <w:rPr>
          <w:rFonts w:hint="eastAsia" w:ascii="Times New Roman" w:hAnsi="Times New Roman" w:cs="Times New Roman"/>
          <w:sz w:val="24"/>
        </w:rPr>
        <w:t xml:space="preserve"> XXX</w:t>
      </w:r>
      <w:r>
        <w:rPr>
          <w:rFonts w:ascii="Times New Roman" w:hAnsi="Times New Roman" w:cs="Times New Roman"/>
          <w:sz w:val="24"/>
        </w:rPr>
        <w:t xml:space="preserve">. </w:t>
      </w:r>
      <w:r>
        <w:rPr>
          <w:rFonts w:hint="eastAsia" w:ascii="Times New Roman" w:hAnsi="Times New Roman" w:cs="Times New Roman"/>
          <w:i/>
          <w:iCs/>
          <w:sz w:val="24"/>
        </w:rPr>
        <w:t>XXX</w:t>
      </w:r>
      <w:r>
        <w:rPr>
          <w:rFonts w:ascii="Times New Roman" w:hAnsi="Times New Roman" w:cs="Times New Roman"/>
          <w:sz w:val="24"/>
        </w:rPr>
        <w:t xml:space="preserve">, </w:t>
      </w:r>
    </w:p>
    <w:p w14:paraId="74CD1015">
      <w:pPr>
        <w:pStyle w:val="50"/>
        <w:numPr>
          <w:ilvl w:val="0"/>
          <w:numId w:val="7"/>
        </w:numPr>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p>
    <w:p w14:paraId="79EEFE85">
      <w:pPr>
        <w:pStyle w:val="50"/>
        <w:numPr>
          <w:ilvl w:val="0"/>
          <w:numId w:val="7"/>
        </w:numPr>
        <w:rPr>
          <w:rFonts w:ascii="Times New Roman" w:hAnsi="Times New Roman" w:cs="Times New Roman"/>
          <w:sz w:val="24"/>
        </w:rPr>
      </w:pPr>
      <w:r>
        <w:rPr>
          <w:rFonts w:ascii="Times New Roman" w:hAnsi="Times New Roman" w:cs="Times New Roman"/>
          <w:b/>
          <w:bCs/>
          <w:sz w:val="24"/>
        </w:rPr>
        <w:t>Liu</w:t>
      </w:r>
      <w:r>
        <w:rPr>
          <w:rFonts w:hint="eastAsia" w:ascii="Times New Roman" w:hAnsi="Times New Roman" w:cs="Times New Roman"/>
          <w:b/>
          <w:bCs/>
          <w:sz w:val="24"/>
        </w:rPr>
        <w:t>,</w:t>
      </w:r>
      <w:r>
        <w:rPr>
          <w:rFonts w:ascii="Times New Roman" w:hAnsi="Times New Roman" w:cs="Times New Roman"/>
          <w:b/>
          <w:bCs/>
          <w:sz w:val="24"/>
        </w:rPr>
        <w:t xml:space="preserve"> S.</w:t>
      </w:r>
      <w:r>
        <w:rPr>
          <w:rFonts w:ascii="Times New Roman" w:hAnsi="Times New Roman" w:cs="Times New Roman"/>
          <w:sz w:val="24"/>
        </w:rPr>
        <w:t xml:space="preserve">, </w:t>
      </w:r>
    </w:p>
    <w:p w14:paraId="30DC15F6">
      <w:pPr>
        <w:pStyle w:val="50"/>
        <w:numPr>
          <w:ilvl w:val="0"/>
          <w:numId w:val="7"/>
        </w:numPr>
        <w:rPr>
          <w:rFonts w:ascii="Times New Roman" w:hAnsi="Times New Roman" w:cs="Times New Roman"/>
          <w:sz w:val="24"/>
        </w:rPr>
      </w:pPr>
      <w:r>
        <w:rPr>
          <w:rFonts w:ascii="Times New Roman" w:hAnsi="Times New Roman" w:cs="Times New Roman"/>
          <w:b/>
          <w:bCs/>
          <w:sz w:val="24"/>
        </w:rPr>
        <w:t>Liu</w:t>
      </w:r>
      <w:r>
        <w:rPr>
          <w:rFonts w:hint="eastAsia" w:ascii="Times New Roman" w:hAnsi="Times New Roman" w:cs="Times New Roman"/>
          <w:b/>
          <w:bCs/>
          <w:sz w:val="24"/>
        </w:rPr>
        <w:t>,</w:t>
      </w:r>
      <w:r>
        <w:rPr>
          <w:rFonts w:ascii="Times New Roman" w:hAnsi="Times New Roman" w:cs="Times New Roman"/>
          <w:b/>
          <w:bCs/>
          <w:sz w:val="24"/>
        </w:rPr>
        <w:t xml:space="preserve"> S.</w:t>
      </w:r>
      <w:r>
        <w:rPr>
          <w:rFonts w:ascii="Times New Roman" w:hAnsi="Times New Roman" w:cs="Times New Roman"/>
          <w:sz w:val="24"/>
        </w:rPr>
        <w:t xml:space="preserve">, </w:t>
      </w:r>
    </w:p>
    <w:p w14:paraId="3FE49FC6">
      <w:pPr>
        <w:pStyle w:val="50"/>
        <w:numPr>
          <w:ilvl w:val="0"/>
          <w:numId w:val="7"/>
        </w:numPr>
        <w:rPr>
          <w:rFonts w:ascii="Times New Roman" w:hAnsi="Times New Roman" w:cs="Times New Roman"/>
          <w:sz w:val="24"/>
        </w:rPr>
      </w:pPr>
      <w:r>
        <w:rPr>
          <w:rFonts w:hint="eastAsia" w:ascii="Times New Roman" w:hAnsi="Times New Roman" w:cs="Times New Roman"/>
          <w:b/>
          <w:bCs/>
          <w:sz w:val="24"/>
        </w:rPr>
        <w:t>L</w:t>
      </w:r>
      <w:r>
        <w:rPr>
          <w:rFonts w:ascii="Times New Roman" w:hAnsi="Times New Roman" w:cs="Times New Roman"/>
          <w:b/>
          <w:bCs/>
          <w:sz w:val="24"/>
        </w:rPr>
        <w:t>iu</w:t>
      </w:r>
      <w:r>
        <w:rPr>
          <w:rFonts w:hint="eastAsia" w:ascii="Times New Roman" w:hAnsi="Times New Roman" w:cs="Times New Roman"/>
          <w:b/>
          <w:bCs/>
          <w:sz w:val="24"/>
        </w:rPr>
        <w:t>,</w:t>
      </w:r>
      <w:r>
        <w:rPr>
          <w:rFonts w:ascii="Times New Roman" w:hAnsi="Times New Roman" w:cs="Times New Roman"/>
          <w:b/>
          <w:bCs/>
          <w:sz w:val="24"/>
        </w:rPr>
        <w:t xml:space="preserve"> S.</w:t>
      </w:r>
      <w:r>
        <w:rPr>
          <w:rFonts w:hint="eastAsia" w:ascii="Times New Roman" w:hAnsi="Times New Roman" w:cs="Times New Roman"/>
          <w:b/>
          <w:bCs/>
          <w:sz w:val="24"/>
        </w:rPr>
        <w:t>,</w:t>
      </w:r>
      <w:r>
        <w:rPr>
          <w:rFonts w:hint="eastAsia" w:ascii="Times New Roman" w:hAnsi="Times New Roman" w:cs="Times New Roman"/>
          <w:sz w:val="24"/>
        </w:rPr>
        <w:t xml:space="preserve"> </w:t>
      </w:r>
      <w:r>
        <w:rPr>
          <w:rFonts w:hint="eastAsia" w:ascii="Times New Roman" w:hAnsi="Times New Roman" w:cs="Times New Roman"/>
          <w:i/>
          <w:iCs/>
          <w:sz w:val="24"/>
        </w:rPr>
        <w:t>Under Review</w:t>
      </w:r>
      <w:r>
        <w:rPr>
          <w:rFonts w:ascii="Times New Roman" w:hAnsi="Times New Roman" w:cs="Times New Roman"/>
          <w:sz w:val="24"/>
        </w:rPr>
        <w:t>.</w:t>
      </w:r>
    </w:p>
    <w:p w14:paraId="6855CA08">
      <w:pPr>
        <w:pStyle w:val="50"/>
        <w:numPr>
          <w:ilvl w:val="0"/>
          <w:numId w:val="7"/>
        </w:numPr>
        <w:rPr>
          <w:rFonts w:ascii="Times New Roman" w:hAnsi="Times New Roman" w:cs="Times New Roman"/>
          <w:sz w:val="24"/>
        </w:rPr>
      </w:pPr>
      <w:r>
        <w:rPr>
          <w:rFonts w:ascii="Times New Roman" w:hAnsi="Times New Roman" w:cs="Times New Roman"/>
          <w:b/>
          <w:bCs/>
          <w:sz w:val="24"/>
        </w:rPr>
        <w:t>Liu</w:t>
      </w:r>
      <w:r>
        <w:rPr>
          <w:rFonts w:hint="eastAsia" w:ascii="Times New Roman" w:hAnsi="Times New Roman" w:cs="Times New Roman"/>
          <w:b/>
          <w:bCs/>
          <w:sz w:val="24"/>
        </w:rPr>
        <w:t>,</w:t>
      </w:r>
      <w:r>
        <w:rPr>
          <w:rFonts w:ascii="Times New Roman" w:hAnsi="Times New Roman" w:cs="Times New Roman"/>
          <w:b/>
          <w:bCs/>
          <w:sz w:val="24"/>
        </w:rPr>
        <w:t xml:space="preserve"> S.</w:t>
      </w:r>
      <w:r>
        <w:rPr>
          <w:rFonts w:hint="eastAsia" w:ascii="Times New Roman" w:hAnsi="Times New Roman" w:cs="Times New Roman"/>
          <w:sz w:val="24"/>
        </w:rPr>
        <w:t xml:space="preserve">, </w:t>
      </w:r>
      <w:r>
        <w:rPr>
          <w:rFonts w:hint="eastAsia" w:ascii="Times New Roman" w:hAnsi="Times New Roman" w:cs="Times New Roman"/>
          <w:i/>
          <w:iCs/>
          <w:sz w:val="24"/>
        </w:rPr>
        <w:t>Under Review</w:t>
      </w:r>
      <w:r>
        <w:rPr>
          <w:rFonts w:hint="eastAsia" w:ascii="Times New Roman" w:hAnsi="Times New Roman" w:cs="Times New Roman"/>
          <w:sz w:val="24"/>
        </w:rPr>
        <w:t>.</w:t>
      </w:r>
    </w:p>
    <w:p w14:paraId="7F6DF1CF">
      <w:pPr>
        <w:pStyle w:val="50"/>
        <w:numPr>
          <w:ilvl w:val="0"/>
          <w:numId w:val="7"/>
        </w:numPr>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hint="eastAsia" w:ascii="Times New Roman" w:hAnsi="Times New Roman" w:cs="Times New Roman"/>
          <w:i/>
          <w:iCs/>
          <w:sz w:val="24"/>
        </w:rPr>
        <w:t>In progress</w:t>
      </w:r>
      <w:r>
        <w:rPr>
          <w:rFonts w:hint="eastAsia" w:ascii="Times New Roman" w:hAnsi="Times New Roman" w:cs="Times New Roman"/>
          <w:sz w:val="24"/>
        </w:rPr>
        <w:t>.</w:t>
      </w:r>
    </w:p>
    <w:p w14:paraId="6BEA58D8">
      <w:pPr>
        <w:pStyle w:val="50"/>
        <w:numPr>
          <w:ilvl w:val="0"/>
          <w:numId w:val="7"/>
        </w:numPr>
        <w:rPr>
          <w:rFonts w:ascii="Times New Roman" w:hAnsi="Times New Roman" w:cs="Times New Roman"/>
          <w:sz w:val="24"/>
        </w:rPr>
      </w:pPr>
      <w:r>
        <w:rPr>
          <w:rFonts w:ascii="Times New Roman" w:hAnsi="Times New Roman" w:cs="Times New Roman"/>
          <w:sz w:val="24"/>
        </w:rPr>
        <w:t xml:space="preserve">Liu, S., </w:t>
      </w:r>
      <w:r>
        <w:rPr>
          <w:rFonts w:hint="eastAsia" w:ascii="Times New Roman" w:hAnsi="Times New Roman" w:cs="Times New Roman"/>
          <w:i/>
          <w:iCs/>
          <w:sz w:val="24"/>
        </w:rPr>
        <w:t>In progress</w:t>
      </w:r>
      <w:r>
        <w:rPr>
          <w:rFonts w:hint="eastAsia" w:ascii="Times New Roman" w:hAnsi="Times New Roman" w:cs="Times New Roman"/>
          <w:sz w:val="24"/>
        </w:rPr>
        <w:t>.</w:t>
      </w:r>
    </w:p>
    <w:p w14:paraId="046DF14D">
      <w:pPr>
        <w:pStyle w:val="50"/>
        <w:numPr>
          <w:ilvl w:val="0"/>
          <w:numId w:val="7"/>
        </w:numPr>
        <w:rPr>
          <w:rFonts w:ascii="Times New Roman" w:hAnsi="Times New Roman" w:cs="Times New Roman"/>
          <w:sz w:val="24"/>
        </w:rPr>
      </w:pPr>
      <w:r>
        <w:rPr>
          <w:rFonts w:ascii="Times New Roman" w:hAnsi="Times New Roman" w:cs="Times New Roman"/>
          <w:sz w:val="24"/>
        </w:rPr>
        <w:t>Liu, S.,</w:t>
      </w:r>
      <w:r>
        <w:rPr>
          <w:rFonts w:hint="eastAsia" w:ascii="Times New Roman" w:hAnsi="Times New Roman" w:cs="Times New Roman"/>
          <w:i/>
          <w:iCs/>
          <w:sz w:val="24"/>
        </w:rPr>
        <w:t xml:space="preserve"> In progress</w:t>
      </w:r>
      <w:r>
        <w:rPr>
          <w:rFonts w:hint="eastAsia" w:ascii="Times New Roman" w:hAnsi="Times New Roman" w:cs="Times New Roman"/>
          <w:sz w:val="24"/>
        </w:rPr>
        <w:t>.</w:t>
      </w:r>
    </w:p>
    <w:p w14:paraId="5AEF6084">
      <w:pPr>
        <w:pStyle w:val="61"/>
        <w:spacing w:before="156" w:beforeLines="50" w:after="156" w:afterLines="50"/>
        <w:ind w:firstLine="640"/>
        <w:rPr>
          <w:i/>
          <w:iCs/>
          <w:sz w:val="32"/>
          <w:szCs w:val="32"/>
        </w:rPr>
      </w:pPr>
    </w:p>
    <w:p w14:paraId="7CEA75D2">
      <w:pPr>
        <w:pStyle w:val="61"/>
        <w:spacing w:before="156" w:beforeLines="50" w:after="156" w:afterLines="50"/>
        <w:ind w:firstLine="640"/>
        <w:rPr>
          <w:i/>
          <w:iCs/>
          <w:sz w:val="32"/>
          <w:szCs w:val="32"/>
        </w:rPr>
      </w:pPr>
      <w:r>
        <w:rPr>
          <w:rFonts w:hint="eastAsia"/>
          <w:i/>
          <w:iCs/>
          <w:sz w:val="32"/>
          <w:szCs w:val="32"/>
        </w:rPr>
        <w:t>Conferences:</w:t>
      </w:r>
    </w:p>
    <w:p w14:paraId="0A95936F">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hint="eastAsia" w:ascii="Times New Roman" w:hAnsi="Times New Roman" w:cs="Times New Roman"/>
          <w:sz w:val="24"/>
        </w:rPr>
        <w:t>Co-author</w:t>
      </w:r>
      <w:r>
        <w:rPr>
          <w:rFonts w:ascii="Times New Roman" w:hAnsi="Times New Roman" w:cs="Times New Roman"/>
          <w:sz w:val="24"/>
        </w:rPr>
        <w:t xml:space="preserve"> (2024)</w:t>
      </w:r>
      <w:r>
        <w:rPr>
          <w:rFonts w:hint="eastAsia" w:ascii="Times New Roman" w:hAnsi="Times New Roman" w:cs="Times New Roman"/>
          <w:sz w:val="24"/>
        </w:rPr>
        <w:t xml:space="preserve">. </w:t>
      </w:r>
      <w:r>
        <w:rPr>
          <w:rFonts w:ascii="Times New Roman" w:hAnsi="Times New Roman" w:cs="Times New Roman"/>
          <w:sz w:val="24"/>
        </w:rPr>
        <w:t>C</w:t>
      </w:r>
      <w:r>
        <w:rPr>
          <w:rFonts w:hint="eastAsia" w:ascii="Times New Roman" w:hAnsi="Times New Roman" w:cs="Times New Roman"/>
          <w:sz w:val="24"/>
        </w:rPr>
        <w:t xml:space="preserve">onference paper. conference, </w:t>
      </w:r>
      <w:r>
        <w:rPr>
          <w:rFonts w:ascii="Times New Roman" w:hAnsi="Times New Roman" w:cs="Times New Roman"/>
          <w:i/>
          <w:iCs/>
          <w:sz w:val="24"/>
        </w:rPr>
        <w:t>Hong Kong</w:t>
      </w:r>
      <w:r>
        <w:rPr>
          <w:rFonts w:ascii="Times New Roman" w:hAnsi="Times New Roman" w:cs="Times New Roman"/>
          <w:sz w:val="24"/>
        </w:rPr>
        <w:t>.</w:t>
      </w:r>
    </w:p>
    <w:p w14:paraId="2745BB01">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hint="eastAsia"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i/>
          <w:iCs/>
          <w:sz w:val="24"/>
        </w:rPr>
        <w:t>Hong Kong</w:t>
      </w:r>
      <w:r>
        <w:rPr>
          <w:rFonts w:ascii="Times New Roman" w:hAnsi="Times New Roman" w:cs="Times New Roman"/>
          <w:sz w:val="24"/>
        </w:rPr>
        <w:t>.</w:t>
      </w:r>
    </w:p>
    <w:p w14:paraId="3923D940">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ascii="Times New Roman" w:hAnsi="Times New Roman" w:cs="Times New Roman"/>
          <w:i/>
          <w:iCs/>
          <w:sz w:val="24"/>
        </w:rPr>
        <w:t>Japan</w:t>
      </w:r>
      <w:r>
        <w:rPr>
          <w:rFonts w:ascii="Times New Roman" w:hAnsi="Times New Roman" w:cs="Times New Roman"/>
          <w:sz w:val="24"/>
        </w:rPr>
        <w:t>.</w:t>
      </w:r>
    </w:p>
    <w:p w14:paraId="2F523575">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ascii="Times New Roman" w:hAnsi="Times New Roman" w:cs="Times New Roman"/>
          <w:i/>
          <w:iCs/>
          <w:sz w:val="24"/>
        </w:rPr>
        <w:t>Australia</w:t>
      </w:r>
      <w:r>
        <w:rPr>
          <w:rFonts w:ascii="Times New Roman" w:hAnsi="Times New Roman" w:cs="Times New Roman"/>
          <w:sz w:val="24"/>
        </w:rPr>
        <w:t>.</w:t>
      </w:r>
    </w:p>
    <w:p w14:paraId="7FD98EBC">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ascii="Times New Roman" w:hAnsi="Times New Roman" w:cs="Times New Roman"/>
          <w:i/>
          <w:iCs/>
          <w:sz w:val="24"/>
        </w:rPr>
        <w:t>USA</w:t>
      </w:r>
      <w:r>
        <w:rPr>
          <w:rFonts w:ascii="Times New Roman" w:hAnsi="Times New Roman" w:cs="Times New Roman"/>
          <w:sz w:val="24"/>
        </w:rPr>
        <w:t>.</w:t>
      </w:r>
    </w:p>
    <w:p w14:paraId="5845BC34">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ascii="Times New Roman" w:hAnsi="Times New Roman" w:cs="Times New Roman"/>
          <w:i/>
          <w:iCs/>
          <w:sz w:val="24"/>
        </w:rPr>
        <w:t>Austria</w:t>
      </w:r>
      <w:r>
        <w:rPr>
          <w:rFonts w:ascii="Times New Roman" w:hAnsi="Times New Roman" w:cs="Times New Roman"/>
          <w:sz w:val="24"/>
        </w:rPr>
        <w:t>.</w:t>
      </w:r>
    </w:p>
    <w:p w14:paraId="139AE46F">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ascii="Times New Roman" w:hAnsi="Times New Roman" w:cs="Times New Roman"/>
          <w:i/>
          <w:iCs/>
          <w:sz w:val="24"/>
        </w:rPr>
        <w:t>Singapore</w:t>
      </w:r>
      <w:r>
        <w:rPr>
          <w:rFonts w:ascii="Times New Roman" w:hAnsi="Times New Roman" w:cs="Times New Roman"/>
          <w:sz w:val="24"/>
        </w:rPr>
        <w:t>.</w:t>
      </w:r>
    </w:p>
    <w:p w14:paraId="01AD4C88">
      <w:pPr>
        <w:pStyle w:val="50"/>
        <w:numPr>
          <w:ilvl w:val="0"/>
          <w:numId w:val="8"/>
        </w:numPr>
        <w:spacing w:line="276" w:lineRule="auto"/>
        <w:rPr>
          <w:rFonts w:ascii="Times New Roman" w:hAnsi="Times New Roman" w:cs="Times New Roman"/>
          <w:sz w:val="24"/>
        </w:rPr>
      </w:pPr>
      <w:r>
        <w:rPr>
          <w:rFonts w:ascii="Times New Roman" w:hAnsi="Times New Roman" w:cs="Times New Roman"/>
          <w:b/>
          <w:bCs/>
          <w:sz w:val="24"/>
        </w:rPr>
        <w:t>Liu, S.</w:t>
      </w:r>
      <w:r>
        <w:rPr>
          <w:rFonts w:ascii="Times New Roman" w:hAnsi="Times New Roman" w:cs="Times New Roman"/>
          <w:sz w:val="24"/>
        </w:rPr>
        <w:t xml:space="preserve">, </w:t>
      </w:r>
      <w:r>
        <w:rPr>
          <w:rFonts w:ascii="Times New Roman" w:hAnsi="Times New Roman" w:cs="Times New Roman"/>
          <w:i/>
          <w:iCs/>
          <w:sz w:val="24"/>
        </w:rPr>
        <w:t>Korea</w:t>
      </w:r>
      <w:r>
        <w:rPr>
          <w:rFonts w:ascii="Times New Roman" w:hAnsi="Times New Roman" w:cs="Times New Roman"/>
          <w:sz w:val="24"/>
        </w:rPr>
        <w:t>.</w:t>
      </w:r>
    </w:p>
    <w:p w14:paraId="6F71CF8C">
      <w:pPr>
        <w:pStyle w:val="50"/>
        <w:ind w:left="860"/>
        <w:rPr>
          <w:rFonts w:ascii="Times New Roman" w:hAnsi="Times New Roman" w:cs="Times New Roman"/>
          <w:sz w:val="24"/>
        </w:rPr>
        <w:sectPr>
          <w:headerReference r:id="rId8" w:type="default"/>
          <w:pgSz w:w="11906" w:h="16838"/>
          <w:pgMar w:top="1418" w:right="1985" w:bottom="1418" w:left="1985" w:header="851" w:footer="992" w:gutter="0"/>
          <w:pgNumType w:fmt="lowerRoman"/>
          <w:cols w:space="425" w:num="1"/>
          <w:docGrid w:type="lines" w:linePitch="312" w:charSpace="0"/>
        </w:sectPr>
      </w:pPr>
    </w:p>
    <w:sdt>
      <w:sdtPr>
        <w:rPr>
          <w:rFonts w:ascii="Times New Roman" w:hAnsi="Times New Roman" w:cs="Times New Roman" w:eastAsiaTheme="minorEastAsia"/>
          <w:b w:val="0"/>
          <w:bCs w:val="0"/>
          <w:color w:val="auto"/>
          <w:kern w:val="2"/>
          <w:sz w:val="20"/>
          <w:szCs w:val="20"/>
          <w14:ligatures w14:val="standardContextual"/>
        </w:rPr>
        <w:id w:val="275882412"/>
      </w:sdtPr>
      <w:sdtEndPr>
        <w:rPr>
          <w:rFonts w:ascii="Times New Roman" w:hAnsi="Times New Roman" w:cs="Times New Roman" w:eastAsiaTheme="majorEastAsia"/>
          <w:b/>
          <w:bCs w:val="0"/>
          <w:color w:val="000000" w:themeColor="text1"/>
          <w:kern w:val="0"/>
          <w:sz w:val="20"/>
          <w:szCs w:val="20"/>
          <w14:textFill>
            <w14:solidFill>
              <w14:schemeClr w14:val="tx1"/>
            </w14:solidFill>
          </w14:textFill>
          <w14:ligatures w14:val="none"/>
        </w:rPr>
      </w:sdtEndPr>
      <w:sdtContent>
        <w:sdt>
          <w:sdtPr>
            <w:rPr>
              <w:rFonts w:ascii="Times New Roman" w:hAnsi="Times New Roman" w:eastAsia="宋体" w:cs="Times New Roman"/>
              <w:b w:val="0"/>
              <w:bCs w:val="0"/>
              <w:color w:val="auto"/>
              <w:kern w:val="2"/>
              <w:sz w:val="20"/>
              <w:szCs w:val="20"/>
              <w:lang w:val="zh-CN"/>
              <w14:ligatures w14:val="standardContextual"/>
            </w:rPr>
            <w:id w:val="1651330909"/>
            <w:docPartObj>
              <w:docPartGallery w:val="Table of Contents"/>
              <w:docPartUnique/>
            </w:docPartObj>
          </w:sdtPr>
          <w:sdtEndPr>
            <w:rPr>
              <w:rFonts w:ascii="Times New Roman" w:hAnsi="Times New Roman" w:cs="Times New Roman" w:eastAsiaTheme="minorEastAsia"/>
              <w:b w:val="0"/>
              <w:bCs w:val="0"/>
              <w:color w:val="auto"/>
              <w:kern w:val="2"/>
              <w:sz w:val="20"/>
              <w:szCs w:val="20"/>
              <w:lang w:val="en-US"/>
              <w14:ligatures w14:val="standardContextual"/>
            </w:rPr>
          </w:sdtEndPr>
          <w:sdtContent>
            <w:p w14:paraId="1441B933">
              <w:pPr>
                <w:pStyle w:val="83"/>
                <w:rPr>
                  <w:rFonts w:ascii="Times New Roman" w:hAnsi="Times New Roman" w:cs="Times New Roman"/>
                  <w:sz w:val="36"/>
                  <w:szCs w:val="36"/>
                </w:rPr>
              </w:pPr>
              <w:r>
                <w:rPr>
                  <w:rFonts w:ascii="Times New Roman" w:hAnsi="Times New Roman" w:cs="Times New Roman"/>
                  <w:sz w:val="36"/>
                  <w:szCs w:val="36"/>
                  <w:lang w:val="zh-CN"/>
                </w:rPr>
                <w:t>Contents</w:t>
              </w:r>
            </w:p>
            <w:p w14:paraId="7379D117">
              <w:pPr>
                <w:pStyle w:val="19"/>
                <w:tabs>
                  <w:tab w:val="right" w:leader="underscore" w:pos="7926"/>
                </w:tabs>
                <w:rPr>
                  <w:rFonts w:ascii="Times New Roman" w:hAnsi="Times New Roman" w:cs="Times New Roman" w:eastAsiaTheme="minorEastAsia"/>
                  <w:b w:val="0"/>
                  <w:bCs w:val="0"/>
                  <w:i w:val="0"/>
                  <w:iCs w:val="0"/>
                  <w:sz w:val="20"/>
                  <w:szCs w:val="20"/>
                </w:rPr>
              </w:pPr>
              <w:r>
                <w:rPr>
                  <w:rFonts w:ascii="Times New Roman" w:hAnsi="Times New Roman" w:cs="Times New Roman"/>
                  <w:b w:val="0"/>
                  <w:bCs w:val="0"/>
                  <w:i w:val="0"/>
                  <w:iCs w:val="0"/>
                  <w:caps/>
                  <w:smallCaps/>
                  <w:sz w:val="20"/>
                  <w:szCs w:val="20"/>
                </w:rPr>
                <w:fldChar w:fldCharType="begin"/>
              </w:r>
              <w:r>
                <w:rPr>
                  <w:rFonts w:ascii="Times New Roman" w:hAnsi="Times New Roman" w:cs="Times New Roman"/>
                  <w:b w:val="0"/>
                  <w:bCs w:val="0"/>
                  <w:i w:val="0"/>
                  <w:iCs w:val="0"/>
                  <w:caps/>
                  <w:smallCaps/>
                  <w:sz w:val="20"/>
                  <w:szCs w:val="20"/>
                </w:rPr>
                <w:instrText xml:space="preserve"> TOC \o "1-1" \h \z \t "标题 2,2,标题 3,3,HEADING - L1,2,Heading - L2,3,Heading - L3,4,Heading - L4,5,Prelist,1" </w:instrText>
              </w:r>
              <w:r>
                <w:rPr>
                  <w:rFonts w:ascii="Times New Roman" w:hAnsi="Times New Roman" w:cs="Times New Roman"/>
                  <w:b w:val="0"/>
                  <w:bCs w:val="0"/>
                  <w:i w:val="0"/>
                  <w:iCs w:val="0"/>
                  <w:caps/>
                  <w:smallCaps/>
                  <w:sz w:val="20"/>
                  <w:szCs w:val="20"/>
                </w:rPr>
                <w:fldChar w:fldCharType="separate"/>
              </w:r>
              <w:r>
                <w:fldChar w:fldCharType="begin"/>
              </w:r>
              <w:r>
                <w:instrText xml:space="preserve"> HYPERLINK \l "_Toc201089482" </w:instrText>
              </w:r>
              <w:r>
                <w:fldChar w:fldCharType="separate"/>
              </w:r>
              <w:r>
                <w:rPr>
                  <w:rStyle w:val="35"/>
                  <w:rFonts w:cs="Times New Roman" w:eastAsiaTheme="minorHAnsi"/>
                  <w:b/>
                  <w:i/>
                  <w:sz w:val="20"/>
                  <w:szCs w:val="20"/>
                </w:rPr>
                <w:t>Abstract</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_Toc201089482 \h </w:instrText>
              </w:r>
              <w:r>
                <w:rPr>
                  <w:rFonts w:ascii="Times New Roman" w:hAnsi="Times New Roman" w:cs="Times New Roman"/>
                  <w:sz w:val="20"/>
                  <w:szCs w:val="20"/>
                </w:rPr>
                <w:fldChar w:fldCharType="separate"/>
              </w:r>
              <w:r>
                <w:rPr>
                  <w:rFonts w:ascii="Times New Roman" w:hAnsi="Times New Roman" w:cs="Times New Roman"/>
                  <w:sz w:val="20"/>
                  <w:szCs w:val="20"/>
                </w:rPr>
                <w:t>iii</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23576567">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"_Toc201089483" </w:instrText>
              </w:r>
              <w:r>
                <w:fldChar w:fldCharType="separate"/>
              </w:r>
              <w:r>
                <w:rPr>
                  <w:rStyle w:val="35"/>
                  <w:rFonts w:cs="Times New Roman" w:eastAsiaTheme="minorHAnsi"/>
                  <w:b/>
                  <w:i/>
                  <w:sz w:val="20"/>
                  <w:szCs w:val="20"/>
                </w:rPr>
                <w:t>Declaration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_Toc201089483 \h </w:instrText>
              </w:r>
              <w:r>
                <w:rPr>
                  <w:rFonts w:ascii="Times New Roman" w:hAnsi="Times New Roman" w:cs="Times New Roman"/>
                  <w:sz w:val="20"/>
                  <w:szCs w:val="20"/>
                </w:rPr>
                <w:fldChar w:fldCharType="separate"/>
              </w:r>
              <w:r>
                <w:rPr>
                  <w:rFonts w:ascii="Times New Roman" w:hAnsi="Times New Roman" w:cs="Times New Roman"/>
                  <w:sz w:val="20"/>
                  <w:szCs w:val="20"/>
                </w:rPr>
                <w:t>vii</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6AD9F89B">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"_Toc201089484" </w:instrText>
              </w:r>
              <w:r>
                <w:fldChar w:fldCharType="separate"/>
              </w:r>
              <w:r>
                <w:rPr>
                  <w:rStyle w:val="35"/>
                  <w:rFonts w:cs="Times New Roman" w:eastAsiaTheme="minorHAnsi"/>
                  <w:b/>
                  <w:i/>
                  <w:sz w:val="20"/>
                  <w:szCs w:val="20"/>
                </w:rPr>
                <w:t>Acknowledgement</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_Toc201089484 \h </w:instrText>
              </w:r>
              <w:r>
                <w:rPr>
                  <w:rFonts w:ascii="Times New Roman" w:hAnsi="Times New Roman" w:cs="Times New Roman"/>
                  <w:sz w:val="20"/>
                  <w:szCs w:val="20"/>
                </w:rPr>
                <w:fldChar w:fldCharType="separate"/>
              </w:r>
              <w:r>
                <w:rPr>
                  <w:rFonts w:ascii="Times New Roman" w:hAnsi="Times New Roman" w:cs="Times New Roman"/>
                  <w:sz w:val="20"/>
                  <w:szCs w:val="20"/>
                </w:rPr>
                <w:t>ix</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47234A7E">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"_Toc201089485" </w:instrText>
              </w:r>
              <w:r>
                <w:fldChar w:fldCharType="separate"/>
              </w:r>
              <w:r>
                <w:rPr>
                  <w:rStyle w:val="35"/>
                  <w:rFonts w:cs="Times New Roman" w:eastAsiaTheme="minorHAnsi"/>
                  <w:b/>
                  <w:i/>
                  <w:sz w:val="20"/>
                  <w:szCs w:val="20"/>
                </w:rPr>
                <w:t>List of Publications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_Toc201089485 \h </w:instrText>
              </w:r>
              <w:r>
                <w:rPr>
                  <w:rFonts w:ascii="Times New Roman" w:hAnsi="Times New Roman" w:cs="Times New Roman"/>
                  <w:sz w:val="20"/>
                  <w:szCs w:val="20"/>
                </w:rPr>
                <w:fldChar w:fldCharType="separate"/>
              </w:r>
              <w:r>
                <w:rPr>
                  <w:rFonts w:ascii="Times New Roman" w:hAnsi="Times New Roman" w:cs="Times New Roman"/>
                  <w:sz w:val="20"/>
                  <w:szCs w:val="20"/>
                </w:rPr>
                <w:t>xi</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2FEDAB1A">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"_Toc201089486" </w:instrText>
              </w:r>
              <w:r>
                <w:fldChar w:fldCharType="separate"/>
              </w:r>
              <w:r>
                <w:rPr>
                  <w:rStyle w:val="35"/>
                  <w:rFonts w:cs="Times New Roman" w:eastAsiaTheme="minorHAnsi"/>
                  <w:b/>
                  <w:i/>
                  <w:sz w:val="20"/>
                  <w:szCs w:val="20"/>
                </w:rPr>
                <w:t>List of Figures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_Toc201089486 \h </w:instrText>
              </w:r>
              <w:r>
                <w:rPr>
                  <w:rFonts w:ascii="Times New Roman" w:hAnsi="Times New Roman" w:cs="Times New Roman"/>
                  <w:sz w:val="20"/>
                  <w:szCs w:val="20"/>
                </w:rPr>
                <w:fldChar w:fldCharType="separate"/>
              </w:r>
              <w:r>
                <w:rPr>
                  <w:rFonts w:ascii="Times New Roman" w:hAnsi="Times New Roman" w:cs="Times New Roman"/>
                  <w:sz w:val="20"/>
                  <w:szCs w:val="20"/>
                </w:rPr>
                <w:t>xv</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4BC9CA6E">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"_Toc201089487" </w:instrText>
              </w:r>
              <w:r>
                <w:fldChar w:fldCharType="separate"/>
              </w:r>
              <w:r>
                <w:rPr>
                  <w:rStyle w:val="35"/>
                  <w:rFonts w:cs="Times New Roman" w:eastAsiaTheme="minorHAnsi"/>
                  <w:b/>
                  <w:i/>
                  <w:sz w:val="20"/>
                  <w:szCs w:val="20"/>
                </w:rPr>
                <w:t>List of Tables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_Toc201089487 \h </w:instrText>
              </w:r>
              <w:r>
                <w:rPr>
                  <w:rFonts w:ascii="Times New Roman" w:hAnsi="Times New Roman" w:cs="Times New Roman"/>
                  <w:sz w:val="20"/>
                  <w:szCs w:val="20"/>
                </w:rPr>
                <w:fldChar w:fldCharType="separate"/>
              </w:r>
              <w:r>
                <w:rPr>
                  <w:rFonts w:ascii="Times New Roman" w:hAnsi="Times New Roman" w:cs="Times New Roman"/>
                  <w:sz w:val="20"/>
                  <w:szCs w:val="20"/>
                </w:rPr>
                <w:t>xvi</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1767AA77">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"_Toc201089488" </w:instrText>
              </w:r>
              <w:r>
                <w:fldChar w:fldCharType="separate"/>
              </w:r>
              <w:r>
                <w:rPr>
                  <w:rStyle w:val="35"/>
                  <w:rFonts w:cs="Times New Roman" w:eastAsiaTheme="minorHAnsi"/>
                  <w:b/>
                  <w:i/>
                  <w:sz w:val="20"/>
                  <w:szCs w:val="20"/>
                </w:rPr>
                <w:t>List of Abbreviations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_Toc201089488 \h </w:instrText>
              </w:r>
              <w:r>
                <w:rPr>
                  <w:rFonts w:ascii="Times New Roman" w:hAnsi="Times New Roman" w:cs="Times New Roman"/>
                  <w:sz w:val="20"/>
                  <w:szCs w:val="20"/>
                </w:rPr>
                <w:fldChar w:fldCharType="separate"/>
              </w:r>
              <w:r>
                <w:rPr>
                  <w:rFonts w:ascii="Times New Roman" w:hAnsi="Times New Roman" w:cs="Times New Roman"/>
                  <w:sz w:val="20"/>
                  <w:szCs w:val="20"/>
                </w:rPr>
                <w:t>xvii</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7F035C29">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"_Toc201089489" </w:instrText>
              </w:r>
              <w:r>
                <w:fldChar w:fldCharType="separate"/>
              </w:r>
              <w:r>
                <w:rPr>
                  <w:rStyle w:val="35"/>
                  <w:rFonts w:cs="Times New Roman" w:eastAsiaTheme="minorHAnsi"/>
                  <w:b/>
                  <w:i/>
                  <w:sz w:val="20"/>
                  <w:szCs w:val="20"/>
                </w:rPr>
                <w:t>List of Symbols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_Toc201089489 \h </w:instrText>
              </w:r>
              <w:r>
                <w:rPr>
                  <w:rFonts w:ascii="Times New Roman" w:hAnsi="Times New Roman" w:cs="Times New Roman"/>
                  <w:sz w:val="20"/>
                  <w:szCs w:val="20"/>
                </w:rPr>
                <w:fldChar w:fldCharType="separate"/>
              </w:r>
              <w:r>
                <w:rPr>
                  <w:rFonts w:ascii="Times New Roman" w:hAnsi="Times New Roman" w:cs="Times New Roman"/>
                  <w:sz w:val="20"/>
                  <w:szCs w:val="20"/>
                </w:rPr>
                <w:t>xviii</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3EF3954B">
              <w:pPr>
                <w:pStyle w:val="19"/>
                <w:tabs>
                  <w:tab w:val="left" w:pos="1470"/>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"_Toc201089490" </w:instrText>
              </w:r>
              <w:r>
                <w:fldChar w:fldCharType="separate"/>
              </w:r>
              <w:r>
                <w:rPr>
                  <w:rStyle w:val="35"/>
                  <w:rFonts w:cs="Times New Roman" w:eastAsiaTheme="minorHAnsi"/>
                  <w:b/>
                  <w:i/>
                  <w:sz w:val="20"/>
                  <w:szCs w:val="20"/>
                </w:rPr>
                <w:t>Chapter 1</w:t>
              </w:r>
              <w:r>
                <w:rPr>
                  <w:rFonts w:ascii="Times New Roman" w:hAnsi="Times New Roman" w:cs="Times New Roman" w:eastAsiaTheme="minorEastAsia"/>
                  <w:b w:val="0"/>
                  <w:bCs w:val="0"/>
                  <w:i w:val="0"/>
                  <w:iCs w:val="0"/>
                  <w:sz w:val="20"/>
                  <w:szCs w:val="20"/>
                </w:rPr>
                <w:tab/>
              </w:r>
              <w:r>
                <w:rPr>
                  <w:rStyle w:val="35"/>
                  <w:rFonts w:cs="Times New Roman" w:eastAsiaTheme="minorHAnsi"/>
                  <w:b/>
                  <w:i/>
                  <w:sz w:val="20"/>
                  <w:szCs w:val="20"/>
                </w:rPr>
                <w:t>Introduction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_Toc201089490 \h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21B33697">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"_Toc201089491" </w:instrText>
              </w:r>
              <w:r>
                <w:fldChar w:fldCharType="separate"/>
              </w:r>
              <w:r>
                <w:rPr>
                  <w:rStyle w:val="35"/>
                  <w:rFonts w:cs="Times New Roman" w:eastAsiaTheme="minorHAnsi"/>
                  <w:b/>
                  <w:sz w:val="20"/>
                  <w:szCs w:val="20"/>
                </w:rPr>
                <w:t>1.1</w:t>
              </w:r>
              <w:r>
                <w:rPr>
                  <w:rFonts w:ascii="Times New Roman" w:hAnsi="Times New Roman" w:cs="Times New Roman" w:eastAsiaTheme="minorEastAsia"/>
                  <w:b w:val="0"/>
                  <w:bCs w:val="0"/>
                  <w:sz w:val="20"/>
                  <w:szCs w:val="20"/>
                </w:rPr>
                <w:tab/>
              </w:r>
              <w:r>
                <w:rPr>
                  <w:rStyle w:val="35"/>
                  <w:rFonts w:cs="Times New Roman" w:eastAsiaTheme="minorHAnsi"/>
                  <w:b/>
                  <w:sz w:val="20"/>
                  <w:szCs w:val="20"/>
                </w:rPr>
                <w:t>XXX</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_Toc201089491 \h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7341F83F">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"_Toc201089492" </w:instrText>
              </w:r>
              <w:r>
                <w:fldChar w:fldCharType="separate"/>
              </w:r>
              <w:r>
                <w:rPr>
                  <w:rStyle w:val="35"/>
                  <w:rFonts w:cs="Times New Roman" w:eastAsiaTheme="minorHAnsi"/>
                  <w:sz w:val="20"/>
                </w:rPr>
                <w:t>1.1.1</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4DD8E56">
              <w:pPr>
                <w:pStyle w:val="20"/>
                <w:tabs>
                  <w:tab w:val="left" w:pos="1470"/>
                  <w:tab w:val="right" w:leader="underscore" w:pos="7926"/>
                </w:tabs>
                <w:rPr>
                  <w:rFonts w:ascii="Times New Roman" w:hAnsi="Times New Roman" w:cs="Times New Roman" w:eastAsiaTheme="minorEastAsia"/>
                </w:rPr>
              </w:pPr>
              <w:r>
                <w:fldChar w:fldCharType="begin"/>
              </w:r>
              <w:r>
                <w:instrText xml:space="preserve"> HYPERLINK \l "_Toc201089493" </w:instrText>
              </w:r>
              <w:r>
                <w:fldChar w:fldCharType="separate"/>
              </w:r>
              <w:r>
                <w:rPr>
                  <w:rStyle w:val="35"/>
                  <w:rFonts w:cs="Times New Roman" w:eastAsiaTheme="minorHAnsi"/>
                  <w:sz w:val="20"/>
                </w:rPr>
                <w:t>1.1.1.1</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2AA400E">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"_Toc201089494" </w:instrText>
              </w:r>
              <w:r>
                <w:fldChar w:fldCharType="separate"/>
              </w:r>
              <w:r>
                <w:rPr>
                  <w:rStyle w:val="35"/>
                  <w:rFonts w:cs="Times New Roman" w:eastAsiaTheme="minorHAnsi"/>
                  <w:sz w:val="20"/>
                </w:rPr>
                <w:t>1.1.2</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867FF26">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"_Toc201089495" </w:instrText>
              </w:r>
              <w:r>
                <w:fldChar w:fldCharType="separate"/>
              </w:r>
              <w:r>
                <w:rPr>
                  <w:rStyle w:val="35"/>
                  <w:rFonts w:cs="Times New Roman" w:eastAsiaTheme="minorHAnsi"/>
                  <w:b/>
                  <w:sz w:val="20"/>
                  <w:szCs w:val="20"/>
                </w:rPr>
                <w:t>1.2</w:t>
              </w:r>
              <w:r>
                <w:rPr>
                  <w:rFonts w:ascii="Times New Roman" w:hAnsi="Times New Roman" w:cs="Times New Roman" w:eastAsiaTheme="minorEastAsia"/>
                  <w:b w:val="0"/>
                  <w:bCs w:val="0"/>
                  <w:sz w:val="20"/>
                  <w:szCs w:val="20"/>
                </w:rPr>
                <w:tab/>
              </w:r>
              <w:r>
                <w:rPr>
                  <w:rStyle w:val="35"/>
                  <w:rFonts w:cs="Times New Roman" w:eastAsiaTheme="minorHAnsi"/>
                  <w:b/>
                  <w:sz w:val="20"/>
                  <w:szCs w:val="20"/>
                </w:rPr>
                <w:t>XXX</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_Toc201089495 \h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28B43923">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"_Toc201089496" </w:instrText>
              </w:r>
              <w:r>
                <w:fldChar w:fldCharType="separate"/>
              </w:r>
              <w:r>
                <w:rPr>
                  <w:rStyle w:val="35"/>
                  <w:rFonts w:cs="Times New Roman" w:eastAsiaTheme="minorHAnsi"/>
                  <w:sz w:val="20"/>
                </w:rPr>
                <w:t>1.2.1</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_Toc201089496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500C683">
              <w:pPr>
                <w:pStyle w:val="20"/>
                <w:tabs>
                  <w:tab w:val="left" w:pos="1470"/>
                  <w:tab w:val="right" w:leader="underscore" w:pos="7926"/>
                </w:tabs>
                <w:rPr>
                  <w:rFonts w:ascii="Times New Roman" w:hAnsi="Times New Roman" w:cs="Times New Roman" w:eastAsiaTheme="minorEastAsia"/>
                </w:rPr>
              </w:pPr>
              <w:r>
                <w:fldChar w:fldCharType="begin"/>
              </w:r>
              <w:r>
                <w:instrText xml:space="preserve"> HYPERLINK \l "_Toc201089497" </w:instrText>
              </w:r>
              <w:r>
                <w:fldChar w:fldCharType="separate"/>
              </w:r>
              <w:r>
                <w:rPr>
                  <w:rStyle w:val="35"/>
                  <w:rFonts w:cs="Times New Roman" w:eastAsiaTheme="minorHAnsi"/>
                  <w:sz w:val="20"/>
                </w:rPr>
                <w:t>1.2.1.1</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_Toc201089497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9CC5E6B">
              <w:pPr>
                <w:pStyle w:val="13"/>
                <w:tabs>
                  <w:tab w:val="left" w:pos="1762"/>
                  <w:tab w:val="right" w:leader="underscore" w:pos="7926"/>
                </w:tabs>
                <w:rPr>
                  <w:rFonts w:ascii="Times New Roman" w:hAnsi="Times New Roman" w:cs="Times New Roman" w:eastAsiaTheme="minorEastAsia"/>
                </w:rPr>
              </w:pPr>
              <w:r>
                <w:fldChar w:fldCharType="begin"/>
              </w:r>
              <w:r>
                <w:instrText xml:space="preserve"> HYPERLINK \l "_Toc201089498" </w:instrText>
              </w:r>
              <w:r>
                <w:fldChar w:fldCharType="separate"/>
              </w:r>
              <w:r>
                <w:rPr>
                  <w:rStyle w:val="35"/>
                  <w:rFonts w:cs="Times New Roman" w:eastAsiaTheme="minorHAnsi"/>
                  <w:sz w:val="20"/>
                </w:rPr>
                <w:t>1.2.1.1.1</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_Toc201089498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04EE5A5">
              <w:pPr>
                <w:pStyle w:val="13"/>
                <w:tabs>
                  <w:tab w:val="left" w:pos="1762"/>
                  <w:tab w:val="right" w:leader="underscore" w:pos="7926"/>
                </w:tabs>
                <w:rPr>
                  <w:rFonts w:ascii="Times New Roman" w:hAnsi="Times New Roman" w:cs="Times New Roman" w:eastAsiaTheme="minorEastAsia"/>
                </w:rPr>
              </w:pPr>
              <w:r>
                <w:fldChar w:fldCharType="begin"/>
              </w:r>
              <w:r>
                <w:instrText xml:space="preserve"> HYPERLINK \l "_Toc201089499" </w:instrText>
              </w:r>
              <w:r>
                <w:fldChar w:fldCharType="separate"/>
              </w:r>
              <w:r>
                <w:rPr>
                  <w:rStyle w:val="35"/>
                  <w:rFonts w:cs="Times New Roman" w:eastAsiaTheme="minorHAnsi"/>
                  <w:sz w:val="20"/>
                </w:rPr>
                <w:t>1.2.1.1.2</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_Toc201089499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0DCCBC51">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"_Toc201089500" </w:instrText>
              </w:r>
              <w:r>
                <w:fldChar w:fldCharType="separate"/>
              </w:r>
              <w:r>
                <w:rPr>
                  <w:rStyle w:val="35"/>
                  <w:rFonts w:cs="Times New Roman" w:eastAsiaTheme="minorHAnsi"/>
                  <w:b/>
                  <w:sz w:val="20"/>
                  <w:szCs w:val="20"/>
                </w:rPr>
                <w:t>1.3</w:t>
              </w:r>
              <w:r>
                <w:rPr>
                  <w:rFonts w:ascii="Times New Roman" w:hAnsi="Times New Roman" w:cs="Times New Roman" w:eastAsiaTheme="minorEastAsia"/>
                  <w:b w:val="0"/>
                  <w:bCs w:val="0"/>
                  <w:sz w:val="20"/>
                  <w:szCs w:val="20"/>
                </w:rPr>
                <w:tab/>
              </w:r>
              <w:r>
                <w:rPr>
                  <w:rStyle w:val="35"/>
                  <w:rFonts w:cs="Times New Roman" w:eastAsiaTheme="minorHAnsi"/>
                  <w:b/>
                  <w:sz w:val="20"/>
                  <w:szCs w:val="20"/>
                </w:rPr>
                <w:t>XXX</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_Toc201089500 \h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02612CF2">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"_Toc201089501" </w:instrText>
              </w:r>
              <w:r>
                <w:fldChar w:fldCharType="separate"/>
              </w:r>
              <w:r>
                <w:rPr>
                  <w:rStyle w:val="35"/>
                  <w:rFonts w:cs="Times New Roman" w:eastAsiaTheme="minorHAnsi"/>
                  <w:b/>
                  <w:sz w:val="20"/>
                  <w:szCs w:val="20"/>
                </w:rPr>
                <w:t>1.4</w:t>
              </w:r>
              <w:r>
                <w:rPr>
                  <w:rFonts w:ascii="Times New Roman" w:hAnsi="Times New Roman" w:cs="Times New Roman" w:eastAsiaTheme="minorEastAsia"/>
                  <w:b w:val="0"/>
                  <w:bCs w:val="0"/>
                  <w:sz w:val="20"/>
                  <w:szCs w:val="20"/>
                </w:rPr>
                <w:tab/>
              </w:r>
              <w:r>
                <w:rPr>
                  <w:rStyle w:val="35"/>
                  <w:rFonts w:cs="Times New Roman" w:eastAsiaTheme="minorHAnsi"/>
                  <w:b/>
                  <w:sz w:val="20"/>
                  <w:szCs w:val="20"/>
                </w:rPr>
                <w:t>Thesis structure</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_Toc201089501 \h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6505F842">
              <w:pPr>
                <w:pStyle w:val="19"/>
                <w:tabs>
                  <w:tab w:val="left" w:pos="1470"/>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"_Toc201089502" </w:instrText>
              </w:r>
              <w:r>
                <w:fldChar w:fldCharType="separate"/>
              </w:r>
              <w:r>
                <w:rPr>
                  <w:rStyle w:val="35"/>
                  <w:rFonts w:cs="Times New Roman" w:eastAsiaTheme="minorHAnsi"/>
                  <w:b/>
                  <w:i/>
                  <w:sz w:val="20"/>
                  <w:szCs w:val="20"/>
                </w:rPr>
                <w:t>Chapter 2</w:t>
              </w:r>
              <w:r>
                <w:rPr>
                  <w:rFonts w:ascii="Times New Roman" w:hAnsi="Times New Roman" w:cs="Times New Roman" w:eastAsiaTheme="minorEastAsia"/>
                  <w:b w:val="0"/>
                  <w:bCs w:val="0"/>
                  <w:i w:val="0"/>
                  <w:iCs w:val="0"/>
                  <w:sz w:val="20"/>
                  <w:szCs w:val="20"/>
                </w:rPr>
                <w:tab/>
              </w:r>
              <w:r>
                <w:rPr>
                  <w:rStyle w:val="35"/>
                  <w:rFonts w:cs="Times New Roman" w:eastAsiaTheme="minorHAnsi"/>
                  <w:b/>
                  <w:i/>
                  <w:sz w:val="20"/>
                  <w:szCs w:val="20"/>
                </w:rPr>
                <w:t>Lterature Review</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_Toc201089502 \h </w:instrText>
              </w:r>
              <w:r>
                <w:rPr>
                  <w:rFonts w:ascii="Times New Roman" w:hAnsi="Times New Roman" w:cs="Times New Roman"/>
                  <w:sz w:val="20"/>
                  <w:szCs w:val="20"/>
                </w:rPr>
                <w:fldChar w:fldCharType="separate"/>
              </w:r>
              <w:r>
                <w:rPr>
                  <w:rFonts w:ascii="Times New Roman" w:hAnsi="Times New Roman" w:cs="Times New Roman"/>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3111EC99">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"_Toc201089503" </w:instrText>
              </w:r>
              <w:r>
                <w:fldChar w:fldCharType="separate"/>
              </w:r>
              <w:r>
                <w:rPr>
                  <w:rStyle w:val="35"/>
                  <w:rFonts w:cs="Times New Roman" w:eastAsiaTheme="minorHAnsi"/>
                  <w:b/>
                  <w:sz w:val="20"/>
                  <w:szCs w:val="20"/>
                </w:rPr>
                <w:t>2.1</w:t>
              </w:r>
              <w:r>
                <w:rPr>
                  <w:rFonts w:ascii="Times New Roman" w:hAnsi="Times New Roman" w:cs="Times New Roman" w:eastAsiaTheme="minorEastAsia"/>
                  <w:b w:val="0"/>
                  <w:bCs w:val="0"/>
                  <w:sz w:val="20"/>
                  <w:szCs w:val="20"/>
                </w:rPr>
                <w:tab/>
              </w:r>
              <w:r>
                <w:rPr>
                  <w:rStyle w:val="35"/>
                  <w:rFonts w:cs="Times New Roman" w:eastAsiaTheme="minorHAnsi"/>
                  <w:b/>
                  <w:sz w:val="20"/>
                  <w:szCs w:val="20"/>
                </w:rPr>
                <w:t>Introduction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_Toc201089503 \h </w:instrText>
              </w:r>
              <w:r>
                <w:rPr>
                  <w:rFonts w:ascii="Times New Roman" w:hAnsi="Times New Roman" w:cs="Times New Roman"/>
                  <w:sz w:val="20"/>
                  <w:szCs w:val="20"/>
                </w:rPr>
                <w:fldChar w:fldCharType="separate"/>
              </w:r>
              <w:r>
                <w:rPr>
                  <w:rFonts w:ascii="Times New Roman" w:hAnsi="Times New Roman" w:cs="Times New Roman"/>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17AE744A">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"_Toc201089504" </w:instrText>
              </w:r>
              <w:r>
                <w:fldChar w:fldCharType="separate"/>
              </w:r>
              <w:r>
                <w:rPr>
                  <w:rStyle w:val="35"/>
                  <w:rFonts w:cs="Times New Roman" w:eastAsiaTheme="minorHAnsi"/>
                  <w:b/>
                  <w:sz w:val="20"/>
                  <w:szCs w:val="20"/>
                </w:rPr>
                <w:t>2.2</w:t>
              </w:r>
              <w:r>
                <w:rPr>
                  <w:rFonts w:ascii="Times New Roman" w:hAnsi="Times New Roman" w:cs="Times New Roman" w:eastAsiaTheme="minorEastAsia"/>
                  <w:b w:val="0"/>
                  <w:bCs w:val="0"/>
                  <w:sz w:val="20"/>
                  <w:szCs w:val="20"/>
                </w:rPr>
                <w:tab/>
              </w:r>
              <w:r>
                <w:rPr>
                  <w:rStyle w:val="35"/>
                  <w:rFonts w:cs="Times New Roman" w:eastAsiaTheme="minorHAnsi"/>
                  <w:b/>
                  <w:sz w:val="20"/>
                  <w:szCs w:val="20"/>
                </w:rPr>
                <w:t>XXX</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_Toc201089504 \h </w:instrText>
              </w:r>
              <w:r>
                <w:rPr>
                  <w:rFonts w:ascii="Times New Roman" w:hAnsi="Times New Roman" w:cs="Times New Roman"/>
                  <w:sz w:val="20"/>
                  <w:szCs w:val="20"/>
                </w:rPr>
                <w:fldChar w:fldCharType="separate"/>
              </w:r>
              <w:r>
                <w:rPr>
                  <w:rFonts w:ascii="Times New Roman" w:hAnsi="Times New Roman" w:cs="Times New Roman"/>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1AAFF208">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"_Toc201089505" </w:instrText>
              </w:r>
              <w:r>
                <w:fldChar w:fldCharType="separate"/>
              </w:r>
              <w:r>
                <w:rPr>
                  <w:rStyle w:val="35"/>
                  <w:rFonts w:cs="Times New Roman" w:eastAsiaTheme="minorHAnsi"/>
                  <w:sz w:val="20"/>
                </w:rPr>
                <w:t>2.2.1</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_Toc201089505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6AE4EAC1">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"_Toc201089506" </w:instrText>
              </w:r>
              <w:r>
                <w:fldChar w:fldCharType="separate"/>
              </w:r>
              <w:r>
                <w:rPr>
                  <w:rStyle w:val="35"/>
                  <w:rFonts w:cs="Times New Roman" w:eastAsiaTheme="minorHAnsi"/>
                  <w:sz w:val="20"/>
                </w:rPr>
                <w:t>2.2.2</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_Toc201089506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6B0EE3C0">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"_Toc201089507" </w:instrText>
              </w:r>
              <w:r>
                <w:fldChar w:fldCharType="separate"/>
              </w:r>
              <w:r>
                <w:rPr>
                  <w:rStyle w:val="35"/>
                  <w:rFonts w:cs="Times New Roman" w:eastAsiaTheme="minorHAnsi"/>
                  <w:sz w:val="20"/>
                </w:rPr>
                <w:t>2.2.3</w:t>
              </w:r>
              <w:r>
                <w:rPr>
                  <w:rFonts w:ascii="Times New Roman" w:hAnsi="Times New Roman" w:cs="Times New Roman" w:eastAsiaTheme="minorEastAsia"/>
                </w:rPr>
                <w:tab/>
              </w:r>
              <w:r>
                <w:rPr>
                  <w:rStyle w:val="35"/>
                  <w:rFonts w:cs="Times New Roman" w:eastAsiaTheme="minorHAnsi"/>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_Toc201089507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35441D55">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"_Toc201089508" </w:instrText>
              </w:r>
              <w:r>
                <w:fldChar w:fldCharType="separate"/>
              </w:r>
              <w:r>
                <w:rPr>
                  <w:rStyle w:val="35"/>
                  <w:rFonts w:cs="Times New Roman" w:eastAsiaTheme="minorHAnsi"/>
                  <w:sz w:val="20"/>
                </w:rPr>
                <w:t>2.2.4</w:t>
              </w:r>
              <w:r>
                <w:rPr>
                  <w:rFonts w:ascii="Times New Roman" w:hAnsi="Times New Roman" w:cs="Times New Roman" w:eastAsiaTheme="minorEastAsia"/>
                </w:rPr>
                <w:tab/>
              </w:r>
              <w:r>
                <w:rPr>
                  <w:rStyle w:val="35"/>
                  <w:rFonts w:cs="Times New Roman" w:eastAsiaTheme="minorHAnsi"/>
                  <w:sz w:val="20"/>
                  <w:lang w:val="en-GB"/>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_Toc201089508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112624F7">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"_Toc201089509" </w:instrText>
              </w:r>
              <w:r>
                <w:fldChar w:fldCharType="separate"/>
              </w:r>
              <w:r>
                <w:rPr>
                  <w:rStyle w:val="35"/>
                  <w:rFonts w:cs="Times New Roman" w:eastAsiaTheme="minorHAnsi"/>
                  <w:b/>
                  <w:sz w:val="20"/>
                  <w:szCs w:val="20"/>
                </w:rPr>
                <w:t>2.3</w:t>
              </w:r>
              <w:r>
                <w:rPr>
                  <w:rFonts w:ascii="Times New Roman" w:hAnsi="Times New Roman" w:cs="Times New Roman" w:eastAsiaTheme="minorEastAsia"/>
                  <w:b w:val="0"/>
                  <w:bCs w:val="0"/>
                  <w:sz w:val="20"/>
                  <w:szCs w:val="20"/>
                </w:rPr>
                <w:tab/>
              </w:r>
              <w:r>
                <w:rPr>
                  <w:rStyle w:val="35"/>
                  <w:rFonts w:cs="Times New Roman" w:eastAsiaTheme="minorHAnsi"/>
                  <w:b/>
                  <w:sz w:val="20"/>
                  <w:szCs w:val="20"/>
                </w:rPr>
                <w:t>Research gap and conclusion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_Toc201089509 \h </w:instrText>
              </w:r>
              <w:r>
                <w:rPr>
                  <w:rFonts w:ascii="Times New Roman" w:hAnsi="Times New Roman" w:cs="Times New Roman"/>
                  <w:sz w:val="20"/>
                  <w:szCs w:val="20"/>
                </w:rPr>
                <w:fldChar w:fldCharType="separate"/>
              </w:r>
              <w:r>
                <w:rPr>
                  <w:rFonts w:ascii="Times New Roman" w:hAnsi="Times New Roman" w:cs="Times New Roman"/>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7F64DE76">
              <w:pPr>
                <w:pStyle w:val="19"/>
                <w:tabs>
                  <w:tab w:val="left" w:pos="1470"/>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"_Toc201089510" </w:instrText>
              </w:r>
              <w:r>
                <w:fldChar w:fldCharType="separate"/>
              </w:r>
              <w:r>
                <w:rPr>
                  <w:rStyle w:val="35"/>
                  <w:rFonts w:cs="Times New Roman" w:eastAsiaTheme="minorHAnsi"/>
                  <w:b/>
                  <w:i/>
                  <w:sz w:val="20"/>
                  <w:szCs w:val="20"/>
                </w:rPr>
                <w:t>Chapter 3</w:t>
              </w:r>
              <w:r>
                <w:rPr>
                  <w:rFonts w:ascii="Times New Roman" w:hAnsi="Times New Roman" w:cs="Times New Roman" w:eastAsiaTheme="minorEastAsia"/>
                  <w:b w:val="0"/>
                  <w:bCs w:val="0"/>
                  <w:i w:val="0"/>
                  <w:iCs w:val="0"/>
                  <w:sz w:val="20"/>
                  <w:szCs w:val="20"/>
                </w:rPr>
                <w:tab/>
              </w:r>
              <w:r>
                <w:rPr>
                  <w:rStyle w:val="35"/>
                  <w:rFonts w:cs="Times New Roman" w:eastAsiaTheme="minorHAnsi"/>
                  <w:b/>
                  <w:i/>
                  <w:sz w:val="20"/>
                  <w:szCs w:val="20"/>
                </w:rPr>
                <w:t>Methodology</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_Toc201089510 \h </w:instrText>
              </w:r>
              <w:r>
                <w:rPr>
                  <w:rFonts w:ascii="Times New Roman" w:hAnsi="Times New Roman" w:cs="Times New Roman"/>
                  <w:sz w:val="20"/>
                  <w:szCs w:val="20"/>
                </w:rPr>
                <w:fldChar w:fldCharType="separate"/>
              </w:r>
              <w:r>
                <w:rPr>
                  <w:rFonts w:ascii="Times New Roman" w:hAnsi="Times New Roman" w:cs="Times New Roman"/>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5BB740B0">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"_Toc201089511" </w:instrText>
              </w:r>
              <w:r>
                <w:fldChar w:fldCharType="separate"/>
              </w:r>
              <w:r>
                <w:rPr>
                  <w:rStyle w:val="35"/>
                  <w:rFonts w:cs="Times New Roman" w:eastAsiaTheme="minorHAnsi"/>
                  <w:b/>
                  <w:sz w:val="20"/>
                  <w:szCs w:val="20"/>
                </w:rPr>
                <w:t>3.1</w:t>
              </w:r>
              <w:r>
                <w:rPr>
                  <w:rFonts w:ascii="Times New Roman" w:hAnsi="Times New Roman" w:cs="Times New Roman" w:eastAsiaTheme="minorEastAsia"/>
                  <w:b w:val="0"/>
                  <w:bCs w:val="0"/>
                  <w:sz w:val="20"/>
                  <w:szCs w:val="20"/>
                </w:rPr>
                <w:tab/>
              </w:r>
              <w:r>
                <w:rPr>
                  <w:rStyle w:val="35"/>
                  <w:rFonts w:cs="Times New Roman" w:eastAsiaTheme="minorHAnsi"/>
                  <w:b/>
                  <w:sz w:val="20"/>
                  <w:szCs w:val="20"/>
                </w:rPr>
                <w:t>Model</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_Toc201089511 \h </w:instrText>
              </w:r>
              <w:r>
                <w:rPr>
                  <w:rFonts w:ascii="Times New Roman" w:hAnsi="Times New Roman" w:cs="Times New Roman"/>
                  <w:sz w:val="20"/>
                  <w:szCs w:val="20"/>
                </w:rPr>
                <w:fldChar w:fldCharType="separate"/>
              </w:r>
              <w:r>
                <w:rPr>
                  <w:rFonts w:ascii="Times New Roman" w:hAnsi="Times New Roman" w:cs="Times New Roman"/>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20398877">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"_Toc201089512" </w:instrText>
              </w:r>
              <w:r>
                <w:fldChar w:fldCharType="separate"/>
              </w:r>
              <w:r>
                <w:rPr>
                  <w:rStyle w:val="35"/>
                  <w:rFonts w:cs="Times New Roman" w:eastAsiaTheme="minorHAnsi"/>
                  <w:b/>
                  <w:sz w:val="20"/>
                  <w:szCs w:val="20"/>
                </w:rPr>
                <w:t>3.2</w:t>
              </w:r>
              <w:r>
                <w:rPr>
                  <w:rFonts w:ascii="Times New Roman" w:hAnsi="Times New Roman" w:cs="Times New Roman" w:eastAsiaTheme="minorEastAsia"/>
                  <w:b w:val="0"/>
                  <w:bCs w:val="0"/>
                  <w:sz w:val="20"/>
                  <w:szCs w:val="20"/>
                </w:rPr>
                <w:tab/>
              </w:r>
              <w:r>
                <w:rPr>
                  <w:rStyle w:val="35"/>
                  <w:rFonts w:cs="Times New Roman" w:eastAsiaTheme="minorHAnsi"/>
                  <w:b/>
                  <w:sz w:val="20"/>
                  <w:szCs w:val="20"/>
                </w:rPr>
                <w:t>Numerical method</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_Toc201089512 \h </w:instrText>
              </w:r>
              <w:r>
                <w:rPr>
                  <w:rFonts w:ascii="Times New Roman" w:hAnsi="Times New Roman" w:cs="Times New Roman"/>
                  <w:sz w:val="20"/>
                  <w:szCs w:val="20"/>
                </w:rPr>
                <w:fldChar w:fldCharType="separate"/>
              </w:r>
              <w:r>
                <w:rPr>
                  <w:rFonts w:ascii="Times New Roman" w:hAnsi="Times New Roman" w:cs="Times New Roman"/>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5A34FF9E">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"_Toc201089513" </w:instrText>
              </w:r>
              <w:r>
                <w:fldChar w:fldCharType="separate"/>
              </w:r>
              <w:r>
                <w:rPr>
                  <w:rStyle w:val="35"/>
                  <w:rFonts w:cs="Times New Roman" w:eastAsiaTheme="minorHAnsi"/>
                  <w:sz w:val="20"/>
                </w:rPr>
                <w:t>3.2.1</w:t>
              </w:r>
              <w:r>
                <w:rPr>
                  <w:rFonts w:ascii="Times New Roman" w:hAnsi="Times New Roman" w:cs="Times New Roman" w:eastAsiaTheme="minorEastAsia"/>
                </w:rPr>
                <w:tab/>
              </w:r>
              <w:r>
                <w:rPr>
                  <w:rStyle w:val="35"/>
                  <w:rFonts w:cs="Times New Roman" w:eastAsiaTheme="minorHAnsi"/>
                  <w:sz w:val="20"/>
                </w:rPr>
                <w:t>Governing equations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_Toc201089513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3E3F27B1">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"_Toc201089514" </w:instrText>
              </w:r>
              <w:r>
                <w:fldChar w:fldCharType="separate"/>
              </w:r>
              <w:r>
                <w:rPr>
                  <w:rStyle w:val="35"/>
                  <w:rFonts w:cs="Times New Roman" w:eastAsiaTheme="minorHAnsi"/>
                  <w:b/>
                  <w:sz w:val="20"/>
                  <w:szCs w:val="20"/>
                </w:rPr>
                <w:t>3.3</w:t>
              </w:r>
              <w:r>
                <w:rPr>
                  <w:rFonts w:ascii="Times New Roman" w:hAnsi="Times New Roman" w:cs="Times New Roman" w:eastAsiaTheme="minorEastAsia"/>
                  <w:b w:val="0"/>
                  <w:bCs w:val="0"/>
                  <w:sz w:val="20"/>
                  <w:szCs w:val="20"/>
                </w:rPr>
                <w:tab/>
              </w:r>
              <w:r>
                <w:rPr>
                  <w:rStyle w:val="35"/>
                  <w:rFonts w:cs="Times New Roman" w:eastAsiaTheme="minorHAnsi"/>
                  <w:b/>
                  <w:sz w:val="20"/>
                  <w:szCs w:val="20"/>
                </w:rPr>
                <w:t>Experiment</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_Toc201089514 \h </w:instrText>
              </w:r>
              <w:r>
                <w:rPr>
                  <w:rFonts w:ascii="Times New Roman" w:hAnsi="Times New Roman" w:cs="Times New Roman"/>
                  <w:sz w:val="20"/>
                  <w:szCs w:val="20"/>
                </w:rPr>
                <w:fldChar w:fldCharType="separate"/>
              </w:r>
              <w:r>
                <w:rPr>
                  <w:rFonts w:ascii="Times New Roman" w:hAnsi="Times New Roman" w:cs="Times New Roman"/>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17E27C3B">
              <w:pPr>
                <w:pStyle w:val="19"/>
                <w:tabs>
                  <w:tab w:val="left" w:pos="1470"/>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"_Toc201089515" </w:instrText>
              </w:r>
              <w:r>
                <w:fldChar w:fldCharType="separate"/>
              </w:r>
              <w:r>
                <w:rPr>
                  <w:rStyle w:val="35"/>
                  <w:rFonts w:cs="Times New Roman" w:eastAsiaTheme="minorHAnsi"/>
                  <w:b/>
                  <w:i/>
                  <w:sz w:val="20"/>
                  <w:szCs w:val="20"/>
                </w:rPr>
                <w:t>Chapter 4</w:t>
              </w:r>
              <w:r>
                <w:rPr>
                  <w:rFonts w:ascii="Times New Roman" w:hAnsi="Times New Roman" w:cs="Times New Roman" w:eastAsiaTheme="minorEastAsia"/>
                  <w:b w:val="0"/>
                  <w:bCs w:val="0"/>
                  <w:i w:val="0"/>
                  <w:iCs w:val="0"/>
                  <w:sz w:val="20"/>
                  <w:szCs w:val="20"/>
                </w:rPr>
                <w:tab/>
              </w:r>
              <w:r>
                <w:rPr>
                  <w:rStyle w:val="35"/>
                  <w:rFonts w:cs="Times New Roman" w:eastAsiaTheme="minorHAnsi"/>
                  <w:b/>
                  <w:i/>
                  <w:sz w:val="20"/>
                  <w:szCs w:val="20"/>
                </w:rPr>
                <w:t>Statistical Analysis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_Toc201089515 \h </w:instrText>
              </w:r>
              <w:r>
                <w:rPr>
                  <w:rFonts w:ascii="Times New Roman" w:hAnsi="Times New Roman" w:cs="Times New Roman"/>
                  <w:sz w:val="20"/>
                  <w:szCs w:val="20"/>
                </w:rPr>
                <w:fldChar w:fldCharType="separate"/>
              </w:r>
              <w:r>
                <w:rPr>
                  <w:rFonts w:ascii="Times New Roman" w:hAnsi="Times New Roman" w:cs="Times New Roman"/>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66C4AF7C">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"_Toc201089516" </w:instrText>
              </w:r>
              <w:r>
                <w:fldChar w:fldCharType="separate"/>
              </w:r>
              <w:r>
                <w:rPr>
                  <w:rStyle w:val="35"/>
                  <w:rFonts w:cs="Times New Roman" w:eastAsiaTheme="minorHAnsi"/>
                  <w:b/>
                  <w:sz w:val="20"/>
                  <w:szCs w:val="20"/>
                </w:rPr>
                <w:t>4.1</w:t>
              </w:r>
              <w:r>
                <w:rPr>
                  <w:rFonts w:ascii="Times New Roman" w:hAnsi="Times New Roman" w:cs="Times New Roman" w:eastAsiaTheme="minorEastAsia"/>
                  <w:b w:val="0"/>
                  <w:bCs w:val="0"/>
                  <w:sz w:val="20"/>
                  <w:szCs w:val="20"/>
                </w:rPr>
                <w:tab/>
              </w:r>
              <w:r>
                <w:rPr>
                  <w:rStyle w:val="35"/>
                  <w:rFonts w:cs="Times New Roman" w:eastAsiaTheme="minorHAnsi"/>
                  <w:b/>
                  <w:sz w:val="20"/>
                  <w:szCs w:val="20"/>
                </w:rPr>
                <w:t>Introduction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_Toc201089516 \h </w:instrText>
              </w:r>
              <w:r>
                <w:rPr>
                  <w:rFonts w:ascii="Times New Roman" w:hAnsi="Times New Roman" w:cs="Times New Roman"/>
                  <w:sz w:val="20"/>
                  <w:szCs w:val="20"/>
                </w:rPr>
                <w:fldChar w:fldCharType="separate"/>
              </w:r>
              <w:r>
                <w:rPr>
                  <w:rFonts w:ascii="Times New Roman" w:hAnsi="Times New Roman" w:cs="Times New Roman"/>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228D0FE6">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"_Toc201089517" </w:instrText>
              </w:r>
              <w:r>
                <w:fldChar w:fldCharType="separate"/>
              </w:r>
              <w:r>
                <w:rPr>
                  <w:rStyle w:val="35"/>
                  <w:rFonts w:cs="Times New Roman" w:eastAsiaTheme="minorHAnsi"/>
                  <w:b/>
                  <w:sz w:val="20"/>
                  <w:szCs w:val="20"/>
                </w:rPr>
                <w:t>4.2</w:t>
              </w:r>
              <w:r>
                <w:rPr>
                  <w:rFonts w:ascii="Times New Roman" w:hAnsi="Times New Roman" w:cs="Times New Roman" w:eastAsiaTheme="minorEastAsia"/>
                  <w:b w:val="0"/>
                  <w:bCs w:val="0"/>
                  <w:sz w:val="20"/>
                  <w:szCs w:val="20"/>
                </w:rPr>
                <w:tab/>
              </w:r>
              <w:r>
                <w:rPr>
                  <w:rStyle w:val="35"/>
                  <w:rFonts w:cs="Times New Roman" w:eastAsiaTheme="minorHAnsi"/>
                  <w:b/>
                  <w:sz w:val="20"/>
                  <w:szCs w:val="20"/>
                </w:rPr>
                <w:t>Data treatment</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_Toc201089517 \h </w:instrText>
              </w:r>
              <w:r>
                <w:rPr>
                  <w:rFonts w:ascii="Times New Roman" w:hAnsi="Times New Roman" w:cs="Times New Roman"/>
                  <w:sz w:val="20"/>
                  <w:szCs w:val="20"/>
                </w:rPr>
                <w:fldChar w:fldCharType="separate"/>
              </w:r>
              <w:r>
                <w:rPr>
                  <w:rFonts w:ascii="Times New Roman" w:hAnsi="Times New Roman" w:cs="Times New Roman"/>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18A7BAF5">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"_Toc201089518" </w:instrText>
              </w:r>
              <w:r>
                <w:fldChar w:fldCharType="separate"/>
              </w:r>
              <w:r>
                <w:rPr>
                  <w:rStyle w:val="35"/>
                  <w:rFonts w:cs="Times New Roman" w:eastAsiaTheme="minorHAnsi"/>
                  <w:b/>
                  <w:sz w:val="20"/>
                  <w:szCs w:val="20"/>
                  <w:lang w:val="en-GB"/>
                </w:rPr>
                <w:t>4.3</w:t>
              </w:r>
              <w:r>
                <w:rPr>
                  <w:rFonts w:ascii="Times New Roman" w:hAnsi="Times New Roman" w:cs="Times New Roman" w:eastAsiaTheme="minorEastAsia"/>
                  <w:b w:val="0"/>
                  <w:bCs w:val="0"/>
                  <w:sz w:val="20"/>
                  <w:szCs w:val="20"/>
                </w:rPr>
                <w:tab/>
              </w:r>
              <w:r>
                <w:rPr>
                  <w:rStyle w:val="35"/>
                  <w:rFonts w:cs="Times New Roman" w:eastAsiaTheme="minorHAnsi"/>
                  <w:b/>
                  <w:sz w:val="20"/>
                  <w:szCs w:val="20"/>
                  <w:lang w:val="en-GB"/>
                </w:rPr>
                <w:t>Field</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_Toc201089518 \h </w:instrText>
              </w:r>
              <w:r>
                <w:rPr>
                  <w:rFonts w:ascii="Times New Roman" w:hAnsi="Times New Roman" w:cs="Times New Roman"/>
                  <w:sz w:val="20"/>
                  <w:szCs w:val="20"/>
                </w:rPr>
                <w:fldChar w:fldCharType="separate"/>
              </w:r>
              <w:r>
                <w:rPr>
                  <w:rFonts w:ascii="Times New Roman" w:hAnsi="Times New Roman" w:cs="Times New Roman"/>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75BBF8A8">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"_Toc201089519" </w:instrText>
              </w:r>
              <w:r>
                <w:fldChar w:fldCharType="separate"/>
              </w:r>
              <w:r>
                <w:rPr>
                  <w:rStyle w:val="35"/>
                  <w:rFonts w:cs="Times New Roman" w:eastAsiaTheme="minorHAnsi"/>
                  <w:sz w:val="20"/>
                </w:rPr>
                <w:t>4.3.1</w:t>
              </w:r>
              <w:r>
                <w:rPr>
                  <w:rFonts w:ascii="Times New Roman" w:hAnsi="Times New Roman" w:cs="Times New Roman" w:eastAsiaTheme="minorEastAsia"/>
                </w:rPr>
                <w:tab/>
              </w:r>
              <w:r>
                <w:rPr>
                  <w:rStyle w:val="35"/>
                  <w:rFonts w:cs="Times New Roman" w:eastAsiaTheme="minorHAnsi"/>
                  <w:bCs/>
                  <w:sz w:val="20"/>
                </w:rPr>
                <w:t>XXX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_Toc201089519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473F32F3">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"_Toc201089520" </w:instrText>
              </w:r>
              <w:r>
                <w:fldChar w:fldCharType="separate"/>
              </w:r>
              <w:r>
                <w:rPr>
                  <w:rStyle w:val="35"/>
                  <w:rFonts w:cs="Times New Roman" w:eastAsiaTheme="minorHAnsi"/>
                  <w:b/>
                  <w:sz w:val="20"/>
                  <w:szCs w:val="20"/>
                </w:rPr>
                <w:t>4.4</w:t>
              </w:r>
              <w:r>
                <w:rPr>
                  <w:rFonts w:ascii="Times New Roman" w:hAnsi="Times New Roman" w:cs="Times New Roman" w:eastAsiaTheme="minorEastAsia"/>
                  <w:b w:val="0"/>
                  <w:bCs w:val="0"/>
                  <w:sz w:val="20"/>
                  <w:szCs w:val="20"/>
                </w:rPr>
                <w:tab/>
              </w:r>
              <w:r>
                <w:rPr>
                  <w:rStyle w:val="35"/>
                  <w:rFonts w:cs="Times New Roman" w:eastAsiaTheme="minorHAnsi"/>
                  <w:b/>
                  <w:sz w:val="20"/>
                  <w:szCs w:val="20"/>
                  <w:lang w:val="en-GB"/>
                </w:rPr>
                <w:t>Analysis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_Toc201089520 \h </w:instrText>
              </w:r>
              <w:r>
                <w:rPr>
                  <w:rFonts w:ascii="Times New Roman" w:hAnsi="Times New Roman" w:cs="Times New Roman"/>
                  <w:sz w:val="20"/>
                  <w:szCs w:val="20"/>
                </w:rPr>
                <w:fldChar w:fldCharType="separate"/>
              </w:r>
              <w:r>
                <w:rPr>
                  <w:rFonts w:ascii="Times New Roman" w:hAnsi="Times New Roman" w:cs="Times New Roman"/>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5E928019">
              <w:pPr>
                <w:pStyle w:val="14"/>
                <w:tabs>
                  <w:tab w:val="left" w:pos="1050"/>
                  <w:tab w:val="right" w:leader="underscore" w:pos="7926"/>
                </w:tabs>
                <w:rPr>
                  <w:rFonts w:ascii="Times New Roman" w:hAnsi="Times New Roman" w:cs="Times New Roman" w:eastAsiaTheme="minorEastAsia"/>
                </w:rPr>
              </w:pPr>
              <w:r>
                <w:fldChar w:fldCharType="begin"/>
              </w:r>
              <w:r>
                <w:instrText xml:space="preserve"> HYPERLINK \l "_Toc201089521" </w:instrText>
              </w:r>
              <w:r>
                <w:fldChar w:fldCharType="separate"/>
              </w:r>
              <w:r>
                <w:rPr>
                  <w:rStyle w:val="35"/>
                  <w:rFonts w:cs="Times New Roman" w:eastAsiaTheme="minorHAnsi"/>
                  <w:sz w:val="20"/>
                </w:rPr>
                <w:t>4.4.1</w:t>
              </w:r>
              <w:r>
                <w:rPr>
                  <w:rFonts w:ascii="Times New Roman" w:hAnsi="Times New Roman" w:cs="Times New Roman" w:eastAsiaTheme="minorEastAsia"/>
                </w:rPr>
                <w:tab/>
              </w:r>
              <w:r>
                <w:rPr>
                  <w:rStyle w:val="35"/>
                  <w:rFonts w:cs="Times New Roman" w:eastAsiaTheme="minorHAnsi"/>
                  <w:bCs/>
                  <w:sz w:val="20"/>
                  <w:lang w:val="en-GB"/>
                </w:rPr>
                <w:t>Distribution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_Toc201089521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35492788">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"_Toc201089522" </w:instrText>
              </w:r>
              <w:r>
                <w:fldChar w:fldCharType="separate"/>
              </w:r>
              <w:r>
                <w:rPr>
                  <w:rStyle w:val="35"/>
                  <w:rFonts w:cs="Times New Roman" w:eastAsiaTheme="minorHAnsi"/>
                  <w:b/>
                  <w:sz w:val="20"/>
                  <w:szCs w:val="20"/>
                </w:rPr>
                <w:t>4.5</w:t>
              </w:r>
              <w:r>
                <w:rPr>
                  <w:rFonts w:ascii="Times New Roman" w:hAnsi="Times New Roman" w:cs="Times New Roman" w:eastAsiaTheme="minorEastAsia"/>
                  <w:b w:val="0"/>
                  <w:bCs w:val="0"/>
                  <w:sz w:val="20"/>
                  <w:szCs w:val="20"/>
                </w:rPr>
                <w:tab/>
              </w:r>
              <w:r>
                <w:rPr>
                  <w:rStyle w:val="35"/>
                  <w:rFonts w:cs="Times New Roman" w:eastAsiaTheme="minorHAnsi"/>
                  <w:b/>
                  <w:sz w:val="20"/>
                  <w:szCs w:val="20"/>
                </w:rPr>
                <w:t>Hole analysis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_Toc201089522 \h </w:instrText>
              </w:r>
              <w:r>
                <w:rPr>
                  <w:rFonts w:ascii="Times New Roman" w:hAnsi="Times New Roman" w:cs="Times New Roman"/>
                  <w:sz w:val="20"/>
                  <w:szCs w:val="20"/>
                </w:rPr>
                <w:fldChar w:fldCharType="separate"/>
              </w:r>
              <w:r>
                <w:rPr>
                  <w:rFonts w:ascii="Times New Roman" w:hAnsi="Times New Roman" w:cs="Times New Roman"/>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527E6E30">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"_Toc201089523" </w:instrText>
              </w:r>
              <w:r>
                <w:fldChar w:fldCharType="separate"/>
              </w:r>
              <w:r>
                <w:rPr>
                  <w:rStyle w:val="35"/>
                  <w:rFonts w:cs="Times New Roman" w:eastAsiaTheme="minorHAnsi"/>
                  <w:b/>
                  <w:sz w:val="20"/>
                  <w:szCs w:val="20"/>
                </w:rPr>
                <w:t>4.6</w:t>
              </w:r>
              <w:r>
                <w:rPr>
                  <w:rFonts w:ascii="Times New Roman" w:hAnsi="Times New Roman" w:cs="Times New Roman" w:eastAsiaTheme="minorEastAsia"/>
                  <w:b w:val="0"/>
                  <w:bCs w:val="0"/>
                  <w:sz w:val="20"/>
                  <w:szCs w:val="20"/>
                </w:rPr>
                <w:tab/>
              </w:r>
              <w:r>
                <w:rPr>
                  <w:rStyle w:val="35"/>
                  <w:rFonts w:cs="Times New Roman" w:eastAsiaTheme="minorHAnsi"/>
                  <w:b/>
                  <w:sz w:val="20"/>
                  <w:szCs w:val="20"/>
                </w:rPr>
                <w:t>Discussion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_Toc201089523 \h </w:instrText>
              </w:r>
              <w:r>
                <w:rPr>
                  <w:rFonts w:ascii="Times New Roman" w:hAnsi="Times New Roman" w:cs="Times New Roman"/>
                  <w:sz w:val="20"/>
                  <w:szCs w:val="20"/>
                </w:rPr>
                <w:fldChar w:fldCharType="separate"/>
              </w:r>
              <w:r>
                <w:rPr>
                  <w:rFonts w:ascii="Times New Roman" w:hAnsi="Times New Roman" w:cs="Times New Roman"/>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575602D9">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"_Toc201089524" </w:instrText>
              </w:r>
              <w:r>
                <w:fldChar w:fldCharType="separate"/>
              </w:r>
              <w:r>
                <w:rPr>
                  <w:rStyle w:val="35"/>
                  <w:rFonts w:cs="Times New Roman" w:eastAsiaTheme="minorHAnsi"/>
                  <w:b/>
                  <w:sz w:val="20"/>
                  <w:szCs w:val="20"/>
                </w:rPr>
                <w:t>4.7</w:t>
              </w:r>
              <w:r>
                <w:rPr>
                  <w:rFonts w:ascii="Times New Roman" w:hAnsi="Times New Roman" w:cs="Times New Roman" w:eastAsiaTheme="minorEastAsia"/>
                  <w:b w:val="0"/>
                  <w:bCs w:val="0"/>
                  <w:sz w:val="20"/>
                  <w:szCs w:val="20"/>
                </w:rPr>
                <w:tab/>
              </w:r>
              <w:r>
                <w:rPr>
                  <w:rStyle w:val="35"/>
                  <w:rFonts w:cs="Times New Roman" w:eastAsiaTheme="minorHAnsi"/>
                  <w:b/>
                  <w:sz w:val="20"/>
                  <w:szCs w:val="20"/>
                </w:rPr>
                <w:t>Concluding remarks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_Toc201089524 \h </w:instrText>
              </w:r>
              <w:r>
                <w:rPr>
                  <w:rFonts w:ascii="Times New Roman" w:hAnsi="Times New Roman" w:cs="Times New Roman"/>
                  <w:sz w:val="20"/>
                  <w:szCs w:val="20"/>
                </w:rPr>
                <w:fldChar w:fldCharType="separate"/>
              </w:r>
              <w:r>
                <w:rPr>
                  <w:rFonts w:ascii="Times New Roman" w:hAnsi="Times New Roman" w:cs="Times New Roman"/>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19B82FC0">
              <w:pPr>
                <w:pStyle w:val="19"/>
                <w:tabs>
                  <w:tab w:val="left" w:pos="1470"/>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"_Toc201089525" </w:instrText>
              </w:r>
              <w:r>
                <w:fldChar w:fldCharType="separate"/>
              </w:r>
              <w:r>
                <w:rPr>
                  <w:rStyle w:val="35"/>
                  <w:rFonts w:cs="Times New Roman" w:eastAsiaTheme="minorHAnsi"/>
                  <w:b/>
                  <w:i/>
                  <w:sz w:val="20"/>
                  <w:szCs w:val="20"/>
                </w:rPr>
                <w:t>Chapter 5</w:t>
              </w:r>
              <w:r>
                <w:rPr>
                  <w:rFonts w:ascii="Times New Roman" w:hAnsi="Times New Roman" w:cs="Times New Roman" w:eastAsiaTheme="minorEastAsia"/>
                  <w:b w:val="0"/>
                  <w:bCs w:val="0"/>
                  <w:i w:val="0"/>
                  <w:iCs w:val="0"/>
                  <w:sz w:val="20"/>
                  <w:szCs w:val="20"/>
                </w:rPr>
                <w:tab/>
              </w:r>
              <w:r>
                <w:rPr>
                  <w:rStyle w:val="35"/>
                  <w:rFonts w:cs="Times New Roman" w:eastAsiaTheme="minorHAnsi"/>
                  <w:b/>
                  <w:i/>
                  <w:sz w:val="20"/>
                  <w:szCs w:val="20"/>
                </w:rPr>
                <w:t>Conclusion</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_Toc201089525 \h </w:instrText>
              </w:r>
              <w:r>
                <w:rPr>
                  <w:rFonts w:ascii="Times New Roman" w:hAnsi="Times New Roman" w:cs="Times New Roman"/>
                  <w:sz w:val="20"/>
                  <w:szCs w:val="20"/>
                </w:rPr>
                <w:fldChar w:fldCharType="separate"/>
              </w:r>
              <w:r>
                <w:rPr>
                  <w:rFonts w:ascii="Times New Roman" w:hAnsi="Times New Roman" w:cs="Times New Roman"/>
                  <w:sz w:val="20"/>
                  <w:szCs w:val="20"/>
                </w:rPr>
                <w:t>11</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4A0CA853">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"_Toc201089526" </w:instrText>
              </w:r>
              <w:r>
                <w:fldChar w:fldCharType="separate"/>
              </w:r>
              <w:r>
                <w:rPr>
                  <w:rStyle w:val="35"/>
                  <w:rFonts w:cs="Times New Roman" w:eastAsiaTheme="minorHAnsi"/>
                  <w:b/>
                  <w:sz w:val="20"/>
                  <w:szCs w:val="20"/>
                </w:rPr>
                <w:t>5.1</w:t>
              </w:r>
              <w:r>
                <w:rPr>
                  <w:rFonts w:ascii="Times New Roman" w:hAnsi="Times New Roman" w:cs="Times New Roman" w:eastAsiaTheme="minorEastAsia"/>
                  <w:b w:val="0"/>
                  <w:bCs w:val="0"/>
                  <w:sz w:val="20"/>
                  <w:szCs w:val="20"/>
                </w:rPr>
                <w:tab/>
              </w:r>
              <w:r>
                <w:rPr>
                  <w:rStyle w:val="35"/>
                  <w:rFonts w:cs="Times New Roman" w:eastAsiaTheme="minorHAnsi"/>
                  <w:b/>
                  <w:sz w:val="20"/>
                  <w:szCs w:val="20"/>
                </w:rPr>
                <w:t>XXX</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_Toc201089526 \h </w:instrText>
              </w:r>
              <w:r>
                <w:rPr>
                  <w:rFonts w:ascii="Times New Roman" w:hAnsi="Times New Roman" w:cs="Times New Roman"/>
                  <w:sz w:val="20"/>
                  <w:szCs w:val="20"/>
                </w:rPr>
                <w:fldChar w:fldCharType="separate"/>
              </w:r>
              <w:r>
                <w:rPr>
                  <w:rFonts w:ascii="Times New Roman" w:hAnsi="Times New Roman" w:cs="Times New Roman"/>
                  <w:sz w:val="20"/>
                  <w:szCs w:val="20"/>
                </w:rPr>
                <w:t>11</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62A24E3E">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"_Toc201089527" </w:instrText>
              </w:r>
              <w:r>
                <w:fldChar w:fldCharType="separate"/>
              </w:r>
              <w:r>
                <w:rPr>
                  <w:rStyle w:val="35"/>
                  <w:rFonts w:cs="Times New Roman" w:eastAsiaTheme="minorHAnsi"/>
                  <w:b/>
                  <w:sz w:val="20"/>
                  <w:szCs w:val="20"/>
                </w:rPr>
                <w:t>5.2</w:t>
              </w:r>
              <w:r>
                <w:rPr>
                  <w:rFonts w:ascii="Times New Roman" w:hAnsi="Times New Roman" w:cs="Times New Roman" w:eastAsiaTheme="minorEastAsia"/>
                  <w:b w:val="0"/>
                  <w:bCs w:val="0"/>
                  <w:sz w:val="20"/>
                  <w:szCs w:val="20"/>
                </w:rPr>
                <w:tab/>
              </w:r>
              <w:r>
                <w:rPr>
                  <w:rStyle w:val="35"/>
                  <w:rFonts w:cs="Times New Roman" w:eastAsiaTheme="minorHAnsi"/>
                  <w:b/>
                  <w:sz w:val="20"/>
                  <w:szCs w:val="20"/>
                </w:rPr>
                <w:t>XXX</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_Toc201089527 \h </w:instrText>
              </w:r>
              <w:r>
                <w:rPr>
                  <w:rFonts w:ascii="Times New Roman" w:hAnsi="Times New Roman" w:cs="Times New Roman"/>
                  <w:sz w:val="20"/>
                  <w:szCs w:val="20"/>
                </w:rPr>
                <w:fldChar w:fldCharType="separate"/>
              </w:r>
              <w:r>
                <w:rPr>
                  <w:rFonts w:ascii="Times New Roman" w:hAnsi="Times New Roman" w:cs="Times New Roman"/>
                  <w:sz w:val="20"/>
                  <w:szCs w:val="20"/>
                </w:rPr>
                <w:t>12</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07A0956A">
              <w:pPr>
                <w:pStyle w:val="25"/>
                <w:tabs>
                  <w:tab w:val="left" w:pos="840"/>
                  <w:tab w:val="right" w:leader="underscore" w:pos="7926"/>
                </w:tabs>
                <w:rPr>
                  <w:rFonts w:ascii="Times New Roman" w:hAnsi="Times New Roman" w:cs="Times New Roman" w:eastAsiaTheme="minorEastAsia"/>
                  <w:b w:val="0"/>
                  <w:bCs w:val="0"/>
                  <w:sz w:val="20"/>
                  <w:szCs w:val="20"/>
                </w:rPr>
              </w:pPr>
              <w:r>
                <w:fldChar w:fldCharType="begin"/>
              </w:r>
              <w:r>
                <w:instrText xml:space="preserve"> HYPERLINK \l "_Toc201089528" </w:instrText>
              </w:r>
              <w:r>
                <w:fldChar w:fldCharType="separate"/>
              </w:r>
              <w:r>
                <w:rPr>
                  <w:rStyle w:val="35"/>
                  <w:rFonts w:cs="Times New Roman" w:eastAsiaTheme="minorHAnsi"/>
                  <w:b/>
                  <w:sz w:val="20"/>
                  <w:szCs w:val="20"/>
                </w:rPr>
                <w:t>5.3</w:t>
              </w:r>
              <w:r>
                <w:rPr>
                  <w:rFonts w:ascii="Times New Roman" w:hAnsi="Times New Roman" w:cs="Times New Roman" w:eastAsiaTheme="minorEastAsia"/>
                  <w:b w:val="0"/>
                  <w:bCs w:val="0"/>
                  <w:sz w:val="20"/>
                  <w:szCs w:val="20"/>
                </w:rPr>
                <w:tab/>
              </w:r>
              <w:r>
                <w:rPr>
                  <w:rStyle w:val="35"/>
                  <w:rFonts w:cs="Times New Roman" w:eastAsiaTheme="minorHAnsi"/>
                  <w:b/>
                  <w:sz w:val="20"/>
                  <w:szCs w:val="20"/>
                </w:rPr>
                <w:t>Limitations and prospects</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_Toc201089528 \h </w:instrText>
              </w:r>
              <w:r>
                <w:rPr>
                  <w:rFonts w:ascii="Times New Roman" w:hAnsi="Times New Roman" w:cs="Times New Roman"/>
                  <w:sz w:val="20"/>
                  <w:szCs w:val="20"/>
                </w:rPr>
                <w:fldChar w:fldCharType="separate"/>
              </w:r>
              <w:r>
                <w:rPr>
                  <w:rFonts w:ascii="Times New Roman" w:hAnsi="Times New Roman" w:cs="Times New Roman"/>
                  <w:sz w:val="20"/>
                  <w:szCs w:val="20"/>
                </w:rPr>
                <w:t>12</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3690C4C5">
              <w:pPr>
                <w:pStyle w:val="19"/>
                <w:tabs>
                  <w:tab w:val="right" w:leader="underscore" w:pos="7926"/>
                </w:tabs>
                <w:rPr>
                  <w:rFonts w:ascii="Times New Roman" w:hAnsi="Times New Roman" w:cs="Times New Roman" w:eastAsiaTheme="minorEastAsia"/>
                  <w:b w:val="0"/>
                  <w:bCs w:val="0"/>
                  <w:i w:val="0"/>
                  <w:iCs w:val="0"/>
                  <w:sz w:val="20"/>
                  <w:szCs w:val="20"/>
                </w:rPr>
              </w:pPr>
              <w:r>
                <w:fldChar w:fldCharType="begin"/>
              </w:r>
              <w:r>
                <w:instrText xml:space="preserve"> HYPERLINK \l "_Toc201089529" </w:instrText>
              </w:r>
              <w:r>
                <w:fldChar w:fldCharType="separate"/>
              </w:r>
              <w:r>
                <w:rPr>
                  <w:rStyle w:val="35"/>
                  <w:rFonts w:cs="Times New Roman" w:eastAsiaTheme="minorHAnsi"/>
                  <w:b/>
                  <w:i/>
                  <w:sz w:val="20"/>
                  <w:szCs w:val="20"/>
                </w:rPr>
                <w:t>Bibliography</w:t>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PAGEREF _Toc201089529 \h </w:instrText>
              </w:r>
              <w:r>
                <w:rPr>
                  <w:rFonts w:ascii="Times New Roman" w:hAnsi="Times New Roman" w:cs="Times New Roman"/>
                  <w:sz w:val="20"/>
                  <w:szCs w:val="20"/>
                </w:rPr>
                <w:fldChar w:fldCharType="separate"/>
              </w:r>
              <w:r>
                <w:rPr>
                  <w:rFonts w:ascii="Times New Roman" w:hAnsi="Times New Roman" w:cs="Times New Roman"/>
                  <w:sz w:val="20"/>
                  <w:szCs w:val="20"/>
                </w:rPr>
                <w:t>13</w:t>
              </w:r>
              <w:r>
                <w:rPr>
                  <w:rFonts w:ascii="Times New Roman" w:hAnsi="Times New Roman" w:cs="Times New Roman"/>
                  <w:sz w:val="20"/>
                  <w:szCs w:val="20"/>
                </w:rPr>
                <w:fldChar w:fldCharType="end"/>
              </w:r>
              <w:r>
                <w:rPr>
                  <w:rFonts w:ascii="Times New Roman" w:hAnsi="Times New Roman" w:cs="Times New Roman"/>
                  <w:sz w:val="20"/>
                  <w:szCs w:val="20"/>
                </w:rPr>
                <w:fldChar w:fldCharType="end"/>
              </w:r>
            </w:p>
            <w:p w14:paraId="45F52179">
              <w:pPr>
                <w:rPr>
                  <w:rFonts w:ascii="Times New Roman" w:hAnsi="Times New Roman" w:cs="Times New Roman"/>
                  <w:sz w:val="20"/>
                  <w:szCs w:val="20"/>
                </w:rPr>
              </w:pPr>
              <w:r>
                <w:rPr>
                  <w:rFonts w:ascii="Times New Roman" w:hAnsi="Times New Roman" w:cs="Times New Roman" w:eastAsiaTheme="minorHAnsi"/>
                  <w:b/>
                  <w:bCs/>
                  <w:i/>
                  <w:iCs/>
                  <w:caps/>
                  <w:smallCaps/>
                  <w:sz w:val="20"/>
                  <w:szCs w:val="20"/>
                </w:rPr>
                <w:fldChar w:fldCharType="end"/>
              </w:r>
            </w:p>
          </w:sdtContent>
        </w:sdt>
        <w:p w14:paraId="2B154F13">
          <w:pPr>
            <w:pStyle w:val="83"/>
          </w:pPr>
        </w:p>
      </w:sdtContent>
    </w:sdt>
    <w:p w14:paraId="12672813">
      <w:pPr>
        <w:pStyle w:val="61"/>
        <w:spacing w:before="156" w:beforeLines="50" w:after="156" w:afterLines="50"/>
        <w:ind w:firstLine="640"/>
        <w:rPr>
          <w:i/>
          <w:iCs/>
          <w:sz w:val="32"/>
          <w:szCs w:val="32"/>
        </w:rPr>
        <w:sectPr>
          <w:headerReference r:id="rId9" w:type="default"/>
          <w:pgSz w:w="11906" w:h="16838"/>
          <w:pgMar w:top="1418" w:right="1985" w:bottom="1418" w:left="1985" w:header="851" w:footer="992" w:gutter="0"/>
          <w:pgNumType w:fmt="lowerRoman"/>
          <w:cols w:space="425" w:num="1"/>
          <w:titlePg/>
          <w:docGrid w:type="lines" w:linePitch="312" w:charSpace="0"/>
        </w:sectPr>
      </w:pPr>
    </w:p>
    <w:p w14:paraId="65E8FF4C">
      <w:pPr>
        <w:pStyle w:val="81"/>
      </w:pPr>
      <w:bookmarkStart w:id="9" w:name="_Toc199729353"/>
      <w:bookmarkStart w:id="10" w:name="_Toc201089486"/>
      <w:r>
        <w:rPr>
          <w:rFonts w:hint="eastAsia"/>
        </w:rPr>
        <w:t>List of Figures</w:t>
      </w:r>
      <w:bookmarkEnd w:id="9"/>
      <w:bookmarkEnd w:id="10"/>
    </w:p>
    <w:p w14:paraId="58C1AEB5">
      <w:pPr>
        <w:pStyle w:val="61"/>
        <w:spacing w:before="312" w:after="312"/>
        <w:ind w:firstLine="480"/>
        <w:rPr>
          <w:rFonts w:hint="eastAsia"/>
        </w:rPr>
      </w:pPr>
    </w:p>
    <w:p w14:paraId="34BE0D99">
      <w:pPr>
        <w:pStyle w:val="24"/>
        <w:rPr>
          <w:rFonts w:asciiTheme="minorHAnsi" w:hAnsiTheme="minorHAnsi" w:eastAsiaTheme="minorEastAsia" w:cstheme="minorBidi"/>
          <w:sz w:val="22"/>
        </w:rPr>
      </w:pPr>
      <w:r>
        <w:fldChar w:fldCharType="begin"/>
      </w:r>
      <w:r>
        <w:instrText xml:space="preserve"> TOC \h \z \t "Figures" \c </w:instrText>
      </w:r>
      <w:r>
        <w:fldChar w:fldCharType="separate"/>
      </w:r>
      <w:r>
        <w:fldChar w:fldCharType="begin"/>
      </w:r>
      <w:r>
        <w:instrText xml:space="preserve"> HYPERLINK \l "_Toc201077425" </w:instrText>
      </w:r>
      <w:r>
        <w:fldChar w:fldCharType="separate"/>
      </w:r>
      <w:r>
        <w:rPr>
          <w:rStyle w:val="35"/>
          <w:rFonts w:eastAsiaTheme="majorEastAsia"/>
        </w:rPr>
        <w:t>Figure 1.1</w:t>
      </w:r>
      <w:r>
        <w:rPr>
          <w:rFonts w:asciiTheme="minorHAnsi" w:hAnsiTheme="minorHAnsi" w:eastAsiaTheme="minorEastAsia" w:cstheme="minorBidi"/>
          <w:sz w:val="22"/>
        </w:rPr>
        <w:tab/>
      </w:r>
      <w:r>
        <w:rPr>
          <w:rStyle w:val="35"/>
          <w:rFonts w:eastAsiaTheme="majorEastAsia"/>
        </w:rPr>
        <w:t>Illustration of XXX (Liu &amp; Liu, 2025).</w:t>
      </w:r>
      <w:r>
        <w:tab/>
      </w:r>
      <w:r>
        <w:fldChar w:fldCharType="begin"/>
      </w:r>
      <w:r>
        <w:instrText xml:space="preserve"> PAGEREF _Toc201077425 \h </w:instrText>
      </w:r>
      <w:r>
        <w:fldChar w:fldCharType="separate"/>
      </w:r>
      <w:r>
        <w:t>1</w:t>
      </w:r>
      <w:r>
        <w:fldChar w:fldCharType="end"/>
      </w:r>
      <w:r>
        <w:fldChar w:fldCharType="end"/>
      </w:r>
    </w:p>
    <w:p w14:paraId="7A1C807E">
      <w:pPr>
        <w:pStyle w:val="24"/>
        <w:rPr>
          <w:rFonts w:asciiTheme="minorHAnsi" w:hAnsiTheme="minorHAnsi" w:eastAsiaTheme="minorEastAsia" w:cstheme="minorBidi"/>
          <w:sz w:val="22"/>
        </w:rPr>
      </w:pPr>
      <w:r>
        <w:fldChar w:fldCharType="begin"/>
      </w:r>
      <w:r>
        <w:instrText xml:space="preserve"> HYPERLINK \l "_Toc201077426" </w:instrText>
      </w:r>
      <w:r>
        <w:fldChar w:fldCharType="separate"/>
      </w:r>
      <w:r>
        <w:rPr>
          <w:rStyle w:val="35"/>
          <w:rFonts w:eastAsiaTheme="majorEastAsia"/>
        </w:rPr>
        <w:t>Figure 2.1</w:t>
      </w:r>
      <w:r>
        <w:rPr>
          <w:rFonts w:asciiTheme="minorHAnsi" w:hAnsiTheme="minorHAnsi" w:eastAsiaTheme="minorEastAsia" w:cstheme="minorBidi"/>
          <w:sz w:val="22"/>
        </w:rPr>
        <w:tab/>
      </w:r>
      <w:r>
        <w:rPr>
          <w:rStyle w:val="35"/>
          <w:rFonts w:eastAsiaTheme="majorEastAsia"/>
        </w:rPr>
        <w:t>Time and length scale of phenomena in urban climate (Oke et al., 2017)</w:t>
      </w:r>
      <w:r>
        <w:tab/>
      </w:r>
      <w:r>
        <w:fldChar w:fldCharType="begin"/>
      </w:r>
      <w:r>
        <w:instrText xml:space="preserve"> PAGEREF _Toc201077426 \h </w:instrText>
      </w:r>
      <w:r>
        <w:fldChar w:fldCharType="separate"/>
      </w:r>
      <w:r>
        <w:t>3</w:t>
      </w:r>
      <w:r>
        <w:fldChar w:fldCharType="end"/>
      </w:r>
      <w:r>
        <w:fldChar w:fldCharType="end"/>
      </w:r>
    </w:p>
    <w:p w14:paraId="327A60C7">
      <w:pPr>
        <w:pStyle w:val="24"/>
        <w:rPr>
          <w:rFonts w:asciiTheme="minorHAnsi" w:hAnsiTheme="minorHAnsi" w:eastAsiaTheme="minorEastAsia" w:cstheme="minorBidi"/>
          <w:sz w:val="22"/>
        </w:rPr>
      </w:pPr>
      <w:r>
        <w:fldChar w:fldCharType="begin"/>
      </w:r>
      <w:r>
        <w:instrText xml:space="preserve"> HYPERLINK \l "_Toc201077427" </w:instrText>
      </w:r>
      <w:r>
        <w:fldChar w:fldCharType="separate"/>
      </w:r>
      <w:r>
        <w:rPr>
          <w:rStyle w:val="35"/>
          <w:rFonts w:eastAsiaTheme="majorEastAsia"/>
        </w:rPr>
        <w:t>Figure 2.2</w:t>
      </w:r>
      <w:r>
        <w:rPr>
          <w:rFonts w:asciiTheme="minorHAnsi" w:hAnsiTheme="minorHAnsi" w:eastAsiaTheme="minorEastAsia" w:cstheme="minorBidi"/>
          <w:sz w:val="22"/>
        </w:rPr>
        <w:tab/>
      </w:r>
      <w:r>
        <w:rPr>
          <w:rStyle w:val="35"/>
          <w:rFonts w:eastAsiaTheme="majorEastAsia"/>
        </w:rPr>
        <w:t>XXX (Schmidt, 2022).</w:t>
      </w:r>
      <w:r>
        <w:tab/>
      </w:r>
      <w:r>
        <w:fldChar w:fldCharType="begin"/>
      </w:r>
      <w:r>
        <w:instrText xml:space="preserve"> PAGEREF _Toc201077427 \h </w:instrText>
      </w:r>
      <w:r>
        <w:fldChar w:fldCharType="separate"/>
      </w:r>
      <w:r>
        <w:t>5</w:t>
      </w:r>
      <w:r>
        <w:fldChar w:fldCharType="end"/>
      </w:r>
      <w:r>
        <w:fldChar w:fldCharType="end"/>
      </w:r>
    </w:p>
    <w:p w14:paraId="1BDF87A4">
      <w:pPr>
        <w:pStyle w:val="24"/>
        <w:rPr>
          <w:rFonts w:asciiTheme="minorHAnsi" w:hAnsiTheme="minorHAnsi" w:eastAsiaTheme="minorEastAsia" w:cstheme="minorBidi"/>
          <w:sz w:val="22"/>
        </w:rPr>
      </w:pPr>
      <w:r>
        <w:fldChar w:fldCharType="begin"/>
      </w:r>
      <w:r>
        <w:instrText xml:space="preserve"> HYPERLINK \l "_Toc201077428" </w:instrText>
      </w:r>
      <w:r>
        <w:fldChar w:fldCharType="separate"/>
      </w:r>
      <w:r>
        <w:rPr>
          <w:rStyle w:val="35"/>
          <w:rFonts w:eastAsiaTheme="majorEastAsia"/>
        </w:rPr>
        <w:t>Figure 3.1</w:t>
      </w:r>
      <w:r>
        <w:rPr>
          <w:rFonts w:asciiTheme="minorHAnsi" w:hAnsiTheme="minorHAnsi" w:eastAsiaTheme="minorEastAsia" w:cstheme="minorBidi"/>
          <w:sz w:val="22"/>
        </w:rPr>
        <w:tab/>
      </w:r>
      <w:r>
        <w:rPr>
          <w:rStyle w:val="35"/>
          <w:rFonts w:eastAsiaTheme="majorEastAsia"/>
        </w:rPr>
        <w:t>Scheme.</w:t>
      </w:r>
      <w:r>
        <w:tab/>
      </w:r>
      <w:r>
        <w:fldChar w:fldCharType="begin"/>
      </w:r>
      <w:r>
        <w:instrText xml:space="preserve"> PAGEREF _Toc201077428 \h </w:instrText>
      </w:r>
      <w:r>
        <w:fldChar w:fldCharType="separate"/>
      </w:r>
      <w:r>
        <w:t>7</w:t>
      </w:r>
      <w:r>
        <w:fldChar w:fldCharType="end"/>
      </w:r>
      <w:r>
        <w:fldChar w:fldCharType="end"/>
      </w:r>
    </w:p>
    <w:p w14:paraId="69634DC8">
      <w:pPr>
        <w:pStyle w:val="24"/>
        <w:rPr>
          <w:rFonts w:asciiTheme="minorHAnsi" w:hAnsiTheme="minorHAnsi" w:eastAsiaTheme="minorEastAsia" w:cstheme="minorBidi"/>
          <w:sz w:val="22"/>
        </w:rPr>
      </w:pPr>
      <w:r>
        <w:fldChar w:fldCharType="begin"/>
      </w:r>
      <w:r>
        <w:instrText xml:space="preserve"> HYPERLINK \l "_Toc201077429" </w:instrText>
      </w:r>
      <w:r>
        <w:fldChar w:fldCharType="separate"/>
      </w:r>
      <w:r>
        <w:rPr>
          <w:rStyle w:val="35"/>
          <w:rFonts w:eastAsiaTheme="majorEastAsia"/>
        </w:rPr>
        <w:t>Figure 4.1</w:t>
      </w:r>
      <w:r>
        <w:rPr>
          <w:rFonts w:asciiTheme="minorHAnsi" w:hAnsiTheme="minorHAnsi" w:eastAsiaTheme="minorEastAsia" w:cstheme="minorBidi"/>
          <w:sz w:val="22"/>
        </w:rPr>
        <w:tab/>
      </w:r>
      <w:r>
        <w:rPr>
          <w:rStyle w:val="35"/>
          <w:rFonts w:eastAsiaTheme="majorEastAsia"/>
        </w:rPr>
        <w:t>The XXXXXX</w:t>
      </w:r>
      <w:r>
        <w:tab/>
      </w:r>
      <w:r>
        <w:fldChar w:fldCharType="begin"/>
      </w:r>
      <w:r>
        <w:instrText xml:space="preserve"> PAGEREF _Toc201077429 \h </w:instrText>
      </w:r>
      <w:r>
        <w:fldChar w:fldCharType="separate"/>
      </w:r>
      <w:r>
        <w:t>10</w:t>
      </w:r>
      <w:r>
        <w:fldChar w:fldCharType="end"/>
      </w:r>
      <w:r>
        <w:fldChar w:fldCharType="end"/>
      </w:r>
    </w:p>
    <w:p w14:paraId="62BCBE49">
      <w:pPr>
        <w:pStyle w:val="61"/>
        <w:spacing w:before="312" w:after="312"/>
        <w:ind w:firstLine="480"/>
        <w:rPr>
          <w:rFonts w:hint="eastAsia"/>
        </w:rPr>
      </w:pPr>
      <w:r>
        <w:fldChar w:fldCharType="end"/>
      </w:r>
    </w:p>
    <w:p w14:paraId="77564668">
      <w:pPr>
        <w:pStyle w:val="61"/>
        <w:spacing w:before="156" w:beforeLines="50" w:after="156" w:afterLines="50"/>
        <w:ind w:firstLine="640"/>
        <w:rPr>
          <w:i/>
          <w:iCs/>
          <w:sz w:val="32"/>
          <w:szCs w:val="32"/>
        </w:rPr>
        <w:sectPr>
          <w:pgSz w:w="11906" w:h="16838"/>
          <w:pgMar w:top="1418" w:right="1985" w:bottom="1418" w:left="1985" w:header="851" w:footer="992" w:gutter="0"/>
          <w:pgNumType w:fmt="lowerRoman"/>
          <w:cols w:space="425" w:num="1"/>
          <w:docGrid w:type="lines" w:linePitch="312" w:charSpace="0"/>
        </w:sectPr>
      </w:pPr>
    </w:p>
    <w:p w14:paraId="6965896F">
      <w:pPr>
        <w:pStyle w:val="81"/>
      </w:pPr>
      <w:bookmarkStart w:id="11" w:name="_Toc199729354"/>
      <w:bookmarkStart w:id="12" w:name="_Toc201089487"/>
      <w:r>
        <w:rPr>
          <w:rFonts w:hint="eastAsia"/>
        </w:rPr>
        <w:t>List of Tables</w:t>
      </w:r>
      <w:bookmarkEnd w:id="11"/>
      <w:bookmarkEnd w:id="12"/>
    </w:p>
    <w:p w14:paraId="40AD9DAF">
      <w:pPr>
        <w:pStyle w:val="61"/>
        <w:spacing w:before="312" w:after="312"/>
        <w:ind w:firstLine="480"/>
      </w:pPr>
    </w:p>
    <w:p w14:paraId="7EE616F2">
      <w:pPr>
        <w:pStyle w:val="24"/>
        <w:rPr>
          <w:rFonts w:asciiTheme="minorHAnsi" w:hAnsiTheme="minorHAnsi" w:eastAsiaTheme="minorEastAsia" w:cstheme="minorBidi"/>
          <w:sz w:val="22"/>
        </w:rPr>
      </w:pPr>
      <w:r>
        <w:fldChar w:fldCharType="begin"/>
      </w:r>
      <w:r>
        <w:instrText xml:space="preserve"> </w:instrText>
      </w:r>
      <w:r>
        <w:rPr>
          <w:rFonts w:hint="eastAsia"/>
        </w:rPr>
        <w:instrText xml:space="preserve">TOC \h \z \t "Tables" \c</w:instrText>
      </w:r>
      <w:r>
        <w:instrText xml:space="preserve"> </w:instrText>
      </w:r>
      <w:r>
        <w:fldChar w:fldCharType="separate"/>
      </w:r>
      <w:r>
        <w:fldChar w:fldCharType="begin"/>
      </w:r>
      <w:r>
        <w:instrText xml:space="preserve"> HYPERLINK \l "_Toc201077405" </w:instrText>
      </w:r>
      <w:r>
        <w:fldChar w:fldCharType="separate"/>
      </w:r>
      <w:r>
        <w:rPr>
          <w:rStyle w:val="35"/>
          <w:rFonts w:eastAsiaTheme="majorEastAsia"/>
        </w:rPr>
        <w:t>Table 2.1</w:t>
      </w:r>
      <w:r>
        <w:rPr>
          <w:rFonts w:asciiTheme="minorHAnsi" w:hAnsiTheme="minorHAnsi" w:eastAsiaTheme="minorEastAsia" w:cstheme="minorBidi"/>
          <w:sz w:val="22"/>
        </w:rPr>
        <w:tab/>
      </w:r>
      <w:r>
        <w:rPr>
          <w:rStyle w:val="35"/>
          <w:rFonts w:eastAsiaTheme="majorEastAsia"/>
        </w:rPr>
        <w:t>XXX.</w:t>
      </w:r>
      <w:r>
        <w:tab/>
      </w:r>
      <w:r>
        <w:fldChar w:fldCharType="begin"/>
      </w:r>
      <w:r>
        <w:instrText xml:space="preserve"> PAGEREF _Toc201077405 \h </w:instrText>
      </w:r>
      <w:r>
        <w:fldChar w:fldCharType="separate"/>
      </w:r>
      <w:r>
        <w:t>4</w:t>
      </w:r>
      <w:r>
        <w:fldChar w:fldCharType="end"/>
      </w:r>
      <w:r>
        <w:fldChar w:fldCharType="end"/>
      </w:r>
    </w:p>
    <w:p w14:paraId="5C0B300F">
      <w:pPr>
        <w:pStyle w:val="24"/>
        <w:rPr>
          <w:rFonts w:asciiTheme="minorHAnsi" w:hAnsiTheme="minorHAnsi" w:eastAsiaTheme="minorEastAsia" w:cstheme="minorBidi"/>
          <w:sz w:val="22"/>
        </w:rPr>
      </w:pPr>
      <w:r>
        <w:fldChar w:fldCharType="begin"/>
      </w:r>
      <w:r>
        <w:instrText xml:space="preserve"> HYPERLINK \l "_Toc201077406" </w:instrText>
      </w:r>
      <w:r>
        <w:fldChar w:fldCharType="separate"/>
      </w:r>
      <w:r>
        <w:rPr>
          <w:rStyle w:val="35"/>
          <w:rFonts w:eastAsiaTheme="majorEastAsia"/>
        </w:rPr>
        <w:t>Table 2.2</w:t>
      </w:r>
      <w:r>
        <w:rPr>
          <w:rFonts w:asciiTheme="minorHAnsi" w:hAnsiTheme="minorHAnsi" w:eastAsiaTheme="minorEastAsia" w:cstheme="minorBidi"/>
          <w:sz w:val="22"/>
        </w:rPr>
        <w:tab/>
      </w:r>
      <w:r>
        <w:rPr>
          <w:rStyle w:val="35"/>
          <w:rFonts w:eastAsiaTheme="majorEastAsia"/>
        </w:rPr>
        <w:t>Applications.</w:t>
      </w:r>
      <w:r>
        <w:tab/>
      </w:r>
      <w:r>
        <w:fldChar w:fldCharType="begin"/>
      </w:r>
      <w:r>
        <w:instrText xml:space="preserve"> PAGEREF _Toc201077406 \h </w:instrText>
      </w:r>
      <w:r>
        <w:fldChar w:fldCharType="separate"/>
      </w:r>
      <w:r>
        <w:t>5</w:t>
      </w:r>
      <w:r>
        <w:fldChar w:fldCharType="end"/>
      </w:r>
      <w:r>
        <w:fldChar w:fldCharType="end"/>
      </w:r>
    </w:p>
    <w:p w14:paraId="343F89BD">
      <w:pPr>
        <w:pStyle w:val="24"/>
        <w:rPr>
          <w:rFonts w:asciiTheme="minorHAnsi" w:hAnsiTheme="minorHAnsi" w:eastAsiaTheme="minorEastAsia" w:cstheme="minorBidi"/>
          <w:sz w:val="22"/>
        </w:rPr>
      </w:pPr>
      <w:r>
        <w:fldChar w:fldCharType="begin"/>
      </w:r>
      <w:r>
        <w:instrText xml:space="preserve"> HYPERLINK \l "_Toc201077407" </w:instrText>
      </w:r>
      <w:r>
        <w:fldChar w:fldCharType="separate"/>
      </w:r>
      <w:r>
        <w:rPr>
          <w:rStyle w:val="35"/>
          <w:rFonts w:eastAsiaTheme="majorEastAsia"/>
        </w:rPr>
        <w:t>Table 5.1</w:t>
      </w:r>
      <w:r>
        <w:rPr>
          <w:rFonts w:asciiTheme="minorHAnsi" w:hAnsiTheme="minorHAnsi" w:eastAsiaTheme="minorEastAsia" w:cstheme="minorBidi"/>
          <w:sz w:val="22"/>
        </w:rPr>
        <w:tab/>
      </w:r>
      <w:r>
        <w:rPr>
          <w:rStyle w:val="35"/>
          <w:rFonts w:eastAsiaTheme="majorEastAsia"/>
        </w:rPr>
        <w:t>XXXXX</w:t>
      </w:r>
      <w:r>
        <w:tab/>
      </w:r>
      <w:r>
        <w:fldChar w:fldCharType="begin"/>
      </w:r>
      <w:r>
        <w:instrText xml:space="preserve"> PAGEREF _Toc201077407 \h </w:instrText>
      </w:r>
      <w:r>
        <w:fldChar w:fldCharType="separate"/>
      </w:r>
      <w:r>
        <w:t>11</w:t>
      </w:r>
      <w:r>
        <w:fldChar w:fldCharType="end"/>
      </w:r>
      <w:r>
        <w:fldChar w:fldCharType="end"/>
      </w:r>
    </w:p>
    <w:p w14:paraId="7E36D183">
      <w:pPr>
        <w:pStyle w:val="61"/>
        <w:spacing w:before="312" w:after="312"/>
        <w:ind w:firstLine="480"/>
        <w:sectPr>
          <w:pgSz w:w="11906" w:h="16838"/>
          <w:pgMar w:top="1418" w:right="1985" w:bottom="1418" w:left="1985" w:header="851" w:footer="992" w:gutter="0"/>
          <w:pgNumType w:fmt="lowerRoman"/>
          <w:cols w:space="425" w:num="1"/>
          <w:titlePg/>
          <w:docGrid w:type="lines" w:linePitch="312" w:charSpace="0"/>
        </w:sectPr>
      </w:pPr>
      <w:r>
        <w:fldChar w:fldCharType="end"/>
      </w:r>
    </w:p>
    <w:p w14:paraId="706E374E">
      <w:pPr>
        <w:pStyle w:val="81"/>
      </w:pPr>
      <w:bookmarkStart w:id="13" w:name="_Toc201089488"/>
      <w:r>
        <w:rPr>
          <w:rFonts w:hint="eastAsia"/>
        </w:rPr>
        <w:t>List of Abbreviations</w:t>
      </w:r>
      <w:bookmarkEnd w:id="13"/>
    </w:p>
    <w:p w14:paraId="4F4C9236"/>
    <w:tbl>
      <w:tblPr>
        <w:tblStyle w:val="31"/>
        <w:tblW w:w="4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7"/>
        <w:gridCol w:w="4975"/>
      </w:tblGrid>
      <w:tr w14:paraId="6CFEF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6" w:type="dxa"/>
            <w:vAlign w:val="center"/>
          </w:tcPr>
          <w:p w14:paraId="438C45DF">
            <w:pPr>
              <w:rPr>
                <w:rFonts w:ascii="Times New Roman" w:hAnsi="Times New Roman" w:cs="Times New Roman"/>
              </w:rPr>
            </w:pPr>
            <w:r>
              <w:rPr>
                <w:rFonts w:hint="eastAsia" w:ascii="Times New Roman" w:hAnsi="Times New Roman" w:cs="Times New Roman"/>
              </w:rPr>
              <w:t>FFT</w:t>
            </w:r>
          </w:p>
        </w:tc>
        <w:tc>
          <w:tcPr>
            <w:tcW w:w="4843" w:type="dxa"/>
            <w:vAlign w:val="center"/>
          </w:tcPr>
          <w:p w14:paraId="77615B78">
            <w:pPr>
              <w:rPr>
                <w:rFonts w:ascii="Times New Roman" w:hAnsi="Times New Roman" w:cs="Times New Roman"/>
              </w:rPr>
            </w:pPr>
            <w:r>
              <w:rPr>
                <w:rFonts w:hint="eastAsia" w:ascii="Times New Roman" w:hAnsi="Times New Roman" w:cs="Times New Roman"/>
              </w:rPr>
              <w:t>Fast-Fourier Transform</w:t>
            </w:r>
          </w:p>
        </w:tc>
      </w:tr>
      <w:tr w14:paraId="4BEAD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6" w:type="dxa"/>
            <w:vAlign w:val="center"/>
          </w:tcPr>
          <w:p w14:paraId="63440EED">
            <w:pPr>
              <w:rPr>
                <w:rFonts w:ascii="Times New Roman" w:hAnsi="Times New Roman" w:cs="Times New Roman"/>
              </w:rPr>
            </w:pPr>
            <w:r>
              <w:rPr>
                <w:rFonts w:hint="eastAsia" w:ascii="Times New Roman" w:hAnsi="Times New Roman" w:cs="Times New Roman"/>
              </w:rPr>
              <w:t>LES</w:t>
            </w:r>
          </w:p>
        </w:tc>
        <w:tc>
          <w:tcPr>
            <w:tcW w:w="4843" w:type="dxa"/>
            <w:vAlign w:val="center"/>
          </w:tcPr>
          <w:p w14:paraId="44FD7E80">
            <w:pPr>
              <w:rPr>
                <w:rFonts w:ascii="Times New Roman" w:hAnsi="Times New Roman" w:cs="Times New Roman"/>
              </w:rPr>
            </w:pPr>
            <w:r>
              <w:rPr>
                <w:rFonts w:hint="eastAsia" w:ascii="Times New Roman" w:hAnsi="Times New Roman" w:cs="Times New Roman"/>
              </w:rPr>
              <w:t>Large-eddy Simulation</w:t>
            </w:r>
          </w:p>
        </w:tc>
      </w:tr>
      <w:tr w14:paraId="672CC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6" w:type="dxa"/>
            <w:vAlign w:val="center"/>
          </w:tcPr>
          <w:p w14:paraId="76420A2C">
            <w:pPr>
              <w:rPr>
                <w:rFonts w:ascii="Times New Roman" w:hAnsi="Times New Roman" w:cs="Times New Roman"/>
              </w:rPr>
            </w:pPr>
            <w:r>
              <w:rPr>
                <w:rFonts w:hint="eastAsia" w:ascii="Times New Roman" w:hAnsi="Times New Roman" w:cs="Times New Roman"/>
              </w:rPr>
              <w:t>TKE</w:t>
            </w:r>
          </w:p>
        </w:tc>
        <w:tc>
          <w:tcPr>
            <w:tcW w:w="4843" w:type="dxa"/>
            <w:vAlign w:val="center"/>
          </w:tcPr>
          <w:p w14:paraId="5E8D20B6">
            <w:pPr>
              <w:rPr>
                <w:rFonts w:ascii="Times New Roman" w:hAnsi="Times New Roman" w:cs="Times New Roman"/>
              </w:rPr>
            </w:pPr>
            <w:r>
              <w:rPr>
                <w:rFonts w:hint="eastAsia" w:ascii="Times New Roman" w:hAnsi="Times New Roman" w:cs="Times New Roman"/>
              </w:rPr>
              <w:t>Turbulence Kinetic Energy</w:t>
            </w:r>
          </w:p>
        </w:tc>
      </w:tr>
    </w:tbl>
    <w:p w14:paraId="3AFAE99B"/>
    <w:p w14:paraId="19D85D73">
      <w:pPr>
        <w:sectPr>
          <w:type w:val="oddPage"/>
          <w:pgSz w:w="11906" w:h="16838"/>
          <w:pgMar w:top="1418" w:right="1985" w:bottom="1418" w:left="1985" w:header="851" w:footer="992" w:gutter="0"/>
          <w:pgNumType w:fmt="lowerRoman"/>
          <w:cols w:space="425" w:num="1"/>
          <w:titlePg/>
          <w:docGrid w:type="lines" w:linePitch="312" w:charSpace="0"/>
        </w:sectPr>
      </w:pPr>
    </w:p>
    <w:p w14:paraId="38460E9F">
      <w:pPr>
        <w:pStyle w:val="81"/>
      </w:pPr>
      <w:bookmarkStart w:id="14" w:name="_Toc201089489"/>
      <w:r>
        <w:rPr>
          <w:rFonts w:hint="eastAsia"/>
        </w:rPr>
        <w:t>List of Symbols</w:t>
      </w:r>
      <w:bookmarkEnd w:id="14"/>
    </w:p>
    <w:p w14:paraId="72ABC552"/>
    <w:tbl>
      <w:tblPr>
        <w:tblStyle w:val="31"/>
        <w:tblW w:w="4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0"/>
        <w:gridCol w:w="4743"/>
        <w:gridCol w:w="639"/>
      </w:tblGrid>
      <w:tr w14:paraId="113BB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0" w:type="dxa"/>
            <w:vAlign w:val="center"/>
          </w:tcPr>
          <w:p w14:paraId="42BDD9A5">
            <w:pPr>
              <w:snapToGrid w:val="0"/>
              <w:rPr>
                <w:rFonts w:ascii="Times New Roman" w:hAnsi="Times New Roman" w:cs="Times New Roman"/>
                <w:i/>
                <w:iCs/>
              </w:rPr>
            </w:pPr>
            <m:oMathPara>
              <m:oMath>
                <m:r>
                  <m:rPr/>
                  <w:rPr>
                    <w:rFonts w:ascii="Cambria Math" w:hAnsi="Cambria Math" w:eastAsia="等线" w:cs="Times New Roman"/>
                    <w:color w:val="000000"/>
                  </w:rPr>
                  <m:t>a</m:t>
                </m:r>
              </m:oMath>
            </m:oMathPara>
          </w:p>
        </w:tc>
        <w:tc>
          <w:tcPr>
            <w:tcW w:w="4617" w:type="dxa"/>
            <w:vAlign w:val="center"/>
          </w:tcPr>
          <w:p w14:paraId="0853565A">
            <w:pPr>
              <w:snapToGrid w:val="0"/>
              <w:rPr>
                <w:rFonts w:ascii="Times New Roman" w:hAnsi="Times New Roman" w:cs="Times New Roman"/>
              </w:rPr>
            </w:pPr>
            <w:r>
              <w:rPr>
                <w:rFonts w:ascii="Times New Roman" w:hAnsi="Times New Roman" w:cs="Times New Roman"/>
              </w:rPr>
              <w:t>W</w:t>
            </w:r>
            <w:r>
              <w:rPr>
                <w:rFonts w:hint="eastAsia" w:ascii="Times New Roman" w:hAnsi="Times New Roman" w:cs="Times New Roman"/>
              </w:rPr>
              <w:t>avelet time scale</w:t>
            </w:r>
          </w:p>
        </w:tc>
        <w:tc>
          <w:tcPr>
            <w:tcW w:w="622" w:type="dxa"/>
            <w:vAlign w:val="center"/>
          </w:tcPr>
          <w:p w14:paraId="00247225">
            <w:pPr>
              <w:snapToGrid w:val="0"/>
              <w:rPr>
                <w:rFonts w:ascii="Times New Roman" w:hAnsi="Times New Roman" w:cs="Times New Roman"/>
              </w:rPr>
            </w:pPr>
            <w:r>
              <w:rPr>
                <w:rFonts w:hint="eastAsia" w:ascii="Times New Roman" w:hAnsi="Times New Roman" w:cs="Times New Roman"/>
              </w:rPr>
              <w:t>-</w:t>
            </w:r>
          </w:p>
        </w:tc>
      </w:tr>
      <w:tr w14:paraId="6E545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0" w:type="dxa"/>
            <w:vAlign w:val="center"/>
          </w:tcPr>
          <w:p w14:paraId="2FF912DD">
            <w:pPr>
              <w:snapToGrid w:val="0"/>
              <w:rPr>
                <w:rFonts w:ascii="Times New Roman" w:hAnsi="Times New Roman" w:eastAsia="等线" w:cs="Times New Roman"/>
                <w:lang w:val="en-GB"/>
              </w:rPr>
            </w:pPr>
            <m:oMathPara>
              <m:oMath>
                <m:r>
                  <m:rPr/>
                  <w:rPr>
                    <w:rFonts w:ascii="Cambria Math" w:hAnsi="Cambria Math" w:eastAsia="等线" w:cs="Times New Roman"/>
                    <w:lang w:val="en-GB"/>
                  </w:rPr>
                  <m:t>ϕ</m:t>
                </m:r>
              </m:oMath>
            </m:oMathPara>
          </w:p>
        </w:tc>
        <w:tc>
          <w:tcPr>
            <w:tcW w:w="4617" w:type="dxa"/>
            <w:vAlign w:val="center"/>
          </w:tcPr>
          <w:p w14:paraId="0155782A">
            <w:pPr>
              <w:snapToGrid w:val="0"/>
              <w:rPr>
                <w:rFonts w:ascii="Times New Roman" w:hAnsi="Times New Roman" w:cs="Times New Roman"/>
              </w:rPr>
            </w:pPr>
            <w:r>
              <w:rPr>
                <w:rFonts w:hint="eastAsia" w:ascii="Times New Roman" w:hAnsi="Times New Roman" w:cs="Times New Roman"/>
              </w:rPr>
              <w:t>Scalar concentration</w:t>
            </w:r>
          </w:p>
        </w:tc>
        <w:tc>
          <w:tcPr>
            <w:tcW w:w="622" w:type="dxa"/>
            <w:vAlign w:val="center"/>
          </w:tcPr>
          <w:p w14:paraId="46EF887F">
            <w:pPr>
              <w:snapToGrid w:val="0"/>
              <w:rPr>
                <w:rFonts w:ascii="Times New Roman" w:hAnsi="Times New Roman" w:cs="Times New Roman"/>
              </w:rPr>
            </w:pPr>
            <w:r>
              <w:rPr>
                <w:rFonts w:hint="eastAsia" w:ascii="Times New Roman" w:hAnsi="Times New Roman" w:cs="Times New Roman"/>
              </w:rPr>
              <w:t>-</w:t>
            </w:r>
          </w:p>
        </w:tc>
      </w:tr>
      <w:tr w14:paraId="685AD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0" w:type="dxa"/>
            <w:vAlign w:val="center"/>
          </w:tcPr>
          <w:p w14:paraId="343C26B9">
            <w:pPr>
              <w:snapToGrid w:val="0"/>
              <w:rPr>
                <w:rFonts w:ascii="Times New Roman" w:hAnsi="Times New Roman" w:eastAsia="等线" w:cs="Times New Roman"/>
                <w:lang w:val="en-GB"/>
              </w:rPr>
            </w:pPr>
            <m:oMathPara>
              <m:oMath>
                <m:r>
                  <m:rPr/>
                  <w:rPr>
                    <w:rFonts w:ascii="Cambria Math" w:hAnsi="Cambria Math" w:eastAsia="等线" w:cs="Times New Roman"/>
                    <w:lang w:val="en-GB"/>
                  </w:rPr>
                  <m:t>λ</m:t>
                </m:r>
              </m:oMath>
            </m:oMathPara>
          </w:p>
        </w:tc>
        <w:tc>
          <w:tcPr>
            <w:tcW w:w="4617" w:type="dxa"/>
            <w:vAlign w:val="center"/>
          </w:tcPr>
          <w:p w14:paraId="02A652F7">
            <w:pPr>
              <w:snapToGrid w:val="0"/>
              <w:rPr>
                <w:rFonts w:ascii="Times New Roman" w:hAnsi="Times New Roman" w:cs="Times New Roman"/>
              </w:rPr>
            </w:pPr>
            <w:r>
              <w:rPr>
                <w:rFonts w:hint="eastAsia" w:ascii="Times New Roman" w:hAnsi="Times New Roman" w:cs="Times New Roman"/>
              </w:rPr>
              <w:t>Eigen value</w:t>
            </w:r>
          </w:p>
        </w:tc>
        <w:tc>
          <w:tcPr>
            <w:tcW w:w="622" w:type="dxa"/>
            <w:vAlign w:val="center"/>
          </w:tcPr>
          <w:p w14:paraId="41C97358">
            <w:pPr>
              <w:snapToGrid w:val="0"/>
              <w:rPr>
                <w:rFonts w:ascii="Times New Roman" w:hAnsi="Times New Roman" w:cs="Times New Roman"/>
              </w:rPr>
            </w:pPr>
            <w:r>
              <w:rPr>
                <w:rFonts w:hint="eastAsia" w:ascii="Times New Roman" w:hAnsi="Times New Roman" w:cs="Times New Roman"/>
              </w:rPr>
              <w:t>-</w:t>
            </w:r>
          </w:p>
        </w:tc>
      </w:tr>
    </w:tbl>
    <w:p w14:paraId="30F34898">
      <w:pPr>
        <w:pStyle w:val="61"/>
        <w:spacing w:before="312" w:after="312"/>
        <w:ind w:firstLine="0" w:firstLineChars="0"/>
      </w:pPr>
    </w:p>
    <w:p w14:paraId="0034AF5D">
      <w:pPr>
        <w:rPr>
          <w:rFonts w:ascii="Times New Roman" w:hAnsi="Times New Roman" w:cs="Times New Roman"/>
          <w:i/>
          <w:iCs/>
          <w:sz w:val="32"/>
          <w:szCs w:val="32"/>
        </w:rPr>
      </w:pPr>
      <w:r>
        <w:rPr>
          <w:rFonts w:hint="eastAsia" w:ascii="Times New Roman" w:hAnsi="Times New Roman" w:cs="Times New Roman"/>
          <w:i/>
          <w:iCs/>
          <w:sz w:val="32"/>
          <w:szCs w:val="32"/>
        </w:rPr>
        <w:t>Subscripts</w:t>
      </w:r>
      <w:r>
        <w:rPr>
          <w:rFonts w:ascii="Times New Roman" w:hAnsi="Times New Roman" w:cs="Times New Roman"/>
          <w:i/>
          <w:iCs/>
          <w:sz w:val="32"/>
          <w:szCs w:val="32"/>
        </w:rPr>
        <w:t>:</w:t>
      </w:r>
    </w:p>
    <w:p w14:paraId="0038227C">
      <w:pPr>
        <w:rPr>
          <w:rFonts w:ascii="Times New Roman" w:hAnsi="Times New Roman" w:cs="Times New Roman"/>
        </w:rPr>
      </w:pPr>
    </w:p>
    <w:tbl>
      <w:tblPr>
        <w:tblStyle w:val="31"/>
        <w:tblW w:w="4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9"/>
        <w:gridCol w:w="5373"/>
      </w:tblGrid>
      <w:tr w14:paraId="3A585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9" w:type="dxa"/>
            <w:vAlign w:val="center"/>
          </w:tcPr>
          <w:p w14:paraId="048F9C29">
            <w:pPr>
              <w:jc w:val="cente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ve</w:t>
            </w:r>
          </w:p>
        </w:tc>
        <w:tc>
          <w:tcPr>
            <w:tcW w:w="5230" w:type="dxa"/>
            <w:vAlign w:val="center"/>
          </w:tcPr>
          <w:p w14:paraId="146679B9">
            <w:pPr>
              <w:rPr>
                <w:rFonts w:ascii="Times New Roman" w:hAnsi="Times New Roman" w:cs="Times New Roman"/>
              </w:rPr>
            </w:pPr>
            <w:r>
              <w:rPr>
                <w:rFonts w:hint="eastAsia" w:ascii="Times New Roman" w:hAnsi="Times New Roman" w:cs="Times New Roman"/>
              </w:rPr>
              <w:t>Spatial- / Time- averaged</w:t>
            </w:r>
          </w:p>
        </w:tc>
      </w:tr>
    </w:tbl>
    <w:p w14:paraId="67801BE1">
      <w:pPr>
        <w:sectPr>
          <w:pgSz w:w="11906" w:h="16838"/>
          <w:pgMar w:top="1418" w:right="1985" w:bottom="1418" w:left="1985" w:header="851" w:footer="992" w:gutter="0"/>
          <w:pgNumType w:fmt="lowerRoman"/>
          <w:cols w:space="425" w:num="1"/>
          <w:titlePg/>
          <w:docGrid w:type="lines" w:linePitch="312" w:charSpace="0"/>
        </w:sectPr>
      </w:pPr>
    </w:p>
    <w:p w14:paraId="0AC44A27">
      <w:pPr>
        <w:pStyle w:val="55"/>
        <w:rPr>
          <w:u w:val="none"/>
        </w:rPr>
      </w:pPr>
      <w:r>
        <w:rPr>
          <w:u w:val="none"/>
        </w:rPr>
        <w:br w:type="textWrapping"/>
      </w:r>
      <w:bookmarkStart w:id="15" w:name="_Ref197977292"/>
      <w:bookmarkStart w:id="16" w:name="_Toc201089490"/>
      <w:bookmarkStart w:id="17" w:name="_Toc199729355"/>
      <w:r>
        <w:rPr>
          <w:rFonts w:hint="eastAsia"/>
          <w:u w:val="none"/>
        </w:rPr>
        <w:t>Introduction</w:t>
      </w:r>
      <w:bookmarkEnd w:id="15"/>
      <w:bookmarkEnd w:id="16"/>
      <w:bookmarkEnd w:id="17"/>
    </w:p>
    <w:p w14:paraId="275D7344">
      <w:pPr>
        <w:pStyle w:val="56"/>
      </w:pPr>
      <w:r>
        <w:rPr>
          <w:rFonts w:hint="eastAsia" w:eastAsia="宋体"/>
          <w:lang w:val="en-US" w:eastAsia="zh-CN"/>
        </w:rPr>
        <w:t>General Introduction</w:t>
      </w:r>
    </w:p>
    <w:p w14:paraId="093C8809">
      <w:pPr>
        <w:pStyle w:val="61"/>
        <w:spacing w:before="312" w:after="312"/>
        <w:ind w:firstLine="420" w:firstLineChars="0"/>
        <w:rPr>
          <w:rFonts w:hint="eastAsia"/>
        </w:rPr>
      </w:pPr>
      <w:r>
        <w:rPr>
          <w:rFonts w:hint="eastAsia"/>
        </w:rPr>
        <w:t>糖尿病（Diabetes Mellitus, DM）是一种以慢性高血糖为特征的代谢性疾病，已成为全球公共卫生的重大挑战。据国际糖尿病联盟（IDF）统计，全球糖尿病患者人数持续攀升，其并发症涉及心脑血管、肾脏、视网膜及神经系统，严重影响患者生活质量 [1]。临床研究一致表明，严格且稳定的血糖控制是降低糖尿病相关并发症风险的关键 [1]。</w:t>
      </w:r>
    </w:p>
    <w:p w14:paraId="4CF94209">
      <w:pPr>
        <w:pStyle w:val="61"/>
        <w:spacing w:before="312" w:after="312"/>
        <w:ind w:firstLine="420" w:firstLineChars="0"/>
        <w:rPr>
          <w:rFonts w:hint="eastAsia"/>
        </w:rPr>
      </w:pPr>
      <w:r>
        <w:rPr>
          <w:rFonts w:hint="eastAsia"/>
        </w:rPr>
        <w:t>在糖尿病管理中，血糖监测是至关重要的环节。传统的血糖监测方法，如空腹血糖、餐后血糖及糖化血红蛋白（HbA1c），虽然能够反映一定时间段内的血糖平均水平，但难以捕捉血糖的动态变化。特别是 HbA1c，作为一种“平均值”指标，往往掩盖了血糖的波动情况，无法反映低血糖和高血糖事件的频率 and 严重程度 [2]。此外，传统的指尖血自我血糖监测（SMBG）受限于测量频次和操作复杂性，难以实现全天候的连续覆盖，尤其容易遗漏夜间或餐后的血糖波动，导致患者依从性较差。</w:t>
      </w:r>
    </w:p>
    <w:p w14:paraId="224DB9F8">
      <w:pPr>
        <w:pStyle w:val="61"/>
        <w:spacing w:before="312" w:after="312"/>
        <w:ind w:firstLine="420" w:firstLineChars="0"/>
        <w:rPr>
          <w:rFonts w:hint="eastAsia"/>
        </w:rPr>
      </w:pPr>
      <w:r>
        <w:rPr>
          <w:rFonts w:hint="eastAsia"/>
        </w:rPr>
        <w:t>因此，连续血糖监测技术（Continuous Glucose Monitoring, CGM）应运而生，并逐渐成为糖尿病管理的重要工具 [2]。CGM 技术通过皮下传感器实时监测组织间液中的葡萄糖浓度，能够提供高时间分辨率的连续血糖数据，为患者和临床医生提供了更全面、动态的血糖信息，是实现精细化血糖管理的基础。</w:t>
      </w:r>
    </w:p>
    <w:p w14:paraId="07C9D85F">
      <w:pPr>
        <w:pStyle w:val="61"/>
        <w:spacing w:before="312" w:after="312"/>
        <w:ind w:firstLine="420" w:firstLineChars="0"/>
        <w:rPr>
          <w:rFonts w:hint="eastAsia"/>
        </w:rPr>
      </w:pPr>
      <w:r>
        <w:rPr>
          <w:rFonts w:hint="eastAsia"/>
        </w:rPr>
        <w:t>从技术特点来看，CGM 通过对组织间液中的葡萄糖浓度进行高频采样（常见采样间隔为 5 分钟），极大地丰富了可利用的时间序列信息。一个典型的 CGM 系统由传感器、发射器和接收终端组成，能够实现全天候的血糖动态追踪 [3]。</w:t>
      </w:r>
    </w:p>
    <w:p w14:paraId="7340D780">
      <w:pPr>
        <w:pStyle w:val="61"/>
        <w:spacing w:before="312" w:after="312"/>
        <w:ind w:firstLine="0" w:firstLineChars="0"/>
        <w:rPr>
          <w:rFonts w:hint="eastAsia"/>
        </w:rPr>
      </w:pPr>
    </w:p>
    <w:p w14:paraId="288B6A45">
      <w:pPr>
        <w:pStyle w:val="61"/>
        <w:spacing w:before="312" w:after="312"/>
        <w:ind w:firstLine="420" w:firstLineChars="0"/>
        <w:rPr>
          <w:rFonts w:hint="eastAsia"/>
        </w:rPr>
      </w:pPr>
      <w:r>
        <w:rPr>
          <w:rFonts w:hint="eastAsia"/>
        </w:rPr>
        <w:t>CGM 的核心应用价值在于其对血糖动态过程的完整记录，这使得“范围内时间”（Time in Range, TIR）等指标成为评估血糖控制质量的重要补充。TIR 指标反映了患者血糖处于目标范围（通常为 3.9–10.0 mmol/L）的时间百分比，已被美国糖尿病协会（ADA）等权威机构纳入临床指南，作为评估血糖控制质量和预测微血管并发症风险的关键指标，与传统的 HbA1c 具有互补作用 [1]。</w:t>
      </w:r>
    </w:p>
    <w:p w14:paraId="1829B35A">
      <w:pPr>
        <w:pStyle w:val="61"/>
        <w:spacing w:before="312" w:after="312"/>
        <w:ind w:firstLine="420" w:firstLineChars="0"/>
        <w:rPr>
          <w:rFonts w:hint="eastAsia"/>
        </w:rPr>
      </w:pPr>
      <w:r>
        <w:rPr>
          <w:rFonts w:hint="eastAsia"/>
        </w:rPr>
        <w:t>然而，CGM 数据并非完美无缺。传感器监测的是组织间液中的葡萄糖浓度，与血液中的葡萄糖浓度之间存在生理延迟（通常为 5-10 分钟），特别是在血糖快速变化时，两者可能出现短暂偏差 [4]。此外，传感器性能、佩戴位置、以及环境干扰等因素，都会导致数据中不可避免地出现噪声、漂移和缺失值 [5]。这些数据质量问题对后续的血糖预测模型提出了严峻挑战，使得数据清洗、滤波和异常值处理成为本研究在工程实现中必须首先解决的关键环节。</w:t>
      </w:r>
    </w:p>
    <w:p w14:paraId="59A2C8BA">
      <w:pPr>
        <w:pStyle w:val="61"/>
        <w:spacing w:before="312" w:after="312"/>
        <w:ind w:firstLine="420" w:firstLineChars="0"/>
        <w:rPr>
          <w:rFonts w:hint="eastAsia"/>
        </w:rPr>
      </w:pPr>
      <w:r>
        <w:rPr>
          <w:rFonts w:hint="eastAsia"/>
        </w:rPr>
        <w:t>在 CGM 等先进技术的支持下，糖尿病管理模式正从传统的“事后评估”向“事前预判”转变。血糖预测（Glucose Prediction, GP）研究的目标是基于历史 CGM 数据及相关生理因素，推断未来一段时间内（如 30 分钟或 60 分钟）的血糖变化趋势和大致水平，从而提前识别潜在的高血糖或低血糖风险 [3]。</w:t>
      </w:r>
    </w:p>
    <w:p w14:paraId="1000B0C4">
      <w:pPr>
        <w:pStyle w:val="61"/>
        <w:spacing w:before="312" w:after="312"/>
        <w:ind w:firstLine="420" w:firstLineChars="0"/>
        <w:rPr>
          <w:rFonts w:hint="eastAsia"/>
        </w:rPr>
      </w:pPr>
      <w:r>
        <w:rPr>
          <w:rFonts w:hint="eastAsia"/>
        </w:rPr>
        <w:t>短期血糖预测具有直接的临床实用价值。例如，当预测模型提示未来 30 分钟内血糖可能下降至低血糖阈值附近时，患者可以提前采取干预措施（如少量进食），有效避免或减轻无症状低血糖事件的发生 [6]。同样，对餐后血糖上冲趋势的预测，可以指导患者及时调整胰岛素剂量或进食速度，以减轻血糖波动。通过这种方式，血糖预测能够帮助患者从被动应对转变为主动规避极端血糖事件，显著提升患者的安全性。</w:t>
      </w:r>
    </w:p>
    <w:p w14:paraId="5EC10879">
      <w:pPr>
        <w:pStyle w:val="61"/>
        <w:spacing w:before="312" w:after="312"/>
        <w:ind w:firstLine="420" w:firstLineChars="0"/>
        <w:rPr>
          <w:rFonts w:hint="eastAsia"/>
        </w:rPr>
      </w:pPr>
      <w:r>
        <w:rPr>
          <w:rFonts w:hint="eastAsia"/>
        </w:rPr>
        <w:t>从临床决策角度来看，血糖预测模型为个体化治疗方案的优化提供了辅助工具。医生可以结合预测模型，模拟不同治疗方案下的血糖轨迹，从而做出更合理、更精准的调整。鉴于血糖预测结果直接关系到患者的生命安全，模型必须具备高度的安全性和可靠性，这使得血糖预测不仅是一个时间序列回归问题，更是一个与医疗安全紧密相关的复杂工程问题。</w:t>
      </w:r>
    </w:p>
    <w:p w14:paraId="325AC9F9">
      <w:pPr>
        <w:pStyle w:val="61"/>
        <w:spacing w:before="312" w:after="312"/>
        <w:ind w:firstLine="420" w:firstLineChars="0"/>
        <w:rPr>
          <w:rFonts w:hint="eastAsia"/>
        </w:rPr>
      </w:pPr>
      <w:r>
        <w:rPr>
          <w:rFonts w:hint="eastAsia"/>
        </w:rPr>
        <w:t>值得注意的是，现有许多高性能的预测模型依赖于多模态数据（如饮食、运动、胰岛素注射量等）[8]，然而在实际商业应用中，用户难以持续、准确地提供这些信息，导致模型输入数据往往仅限于 CGM 序列和基础生理指标（如年龄、BMI）。本研究的核心价值，正是针对这种数据受限的真实应用场景，探索高效、鲁棒的血糖预测方法。已有研究表明，在仅有易于获取的“原位数据”（In situ data）时，通过合理的模型设计依然可以实现准确的血糖预测 [18]，这为商用血糖预测模型的发展提供了重要依据。</w:t>
      </w:r>
    </w:p>
    <w:p w14:paraId="7A4A9641">
      <w:pPr>
        <w:pStyle w:val="61"/>
        <w:spacing w:before="312" w:after="312"/>
        <w:ind w:firstLine="0" w:firstLineChars="0"/>
        <w:rPr>
          <w:rFonts w:hint="eastAsia"/>
        </w:rPr>
      </w:pPr>
    </w:p>
    <w:p w14:paraId="1449D0A4">
      <w:pPr>
        <w:pStyle w:val="56"/>
        <w:rPr>
          <w:rFonts w:hint="eastAsia"/>
        </w:rPr>
      </w:pPr>
      <w:r>
        <w:rPr>
          <w:rFonts w:hint="eastAsia" w:eastAsia="宋体"/>
          <w:lang w:val="en-US" w:eastAsia="zh-CN"/>
        </w:rPr>
        <w:t>Literature Review</w:t>
      </w:r>
    </w:p>
    <w:p w14:paraId="062ED5F7">
      <w:pPr>
        <w:pStyle w:val="61"/>
        <w:spacing w:before="312" w:after="312"/>
        <w:ind w:firstLine="420" w:firstLineChars="0"/>
        <w:rPr>
          <w:rFonts w:hint="eastAsia"/>
        </w:rPr>
      </w:pPr>
      <w:r>
        <w:rPr>
          <w:rFonts w:hint="eastAsia"/>
        </w:rPr>
        <w:t>基于 CGM 时间序列的血糖预测已成为国内外研究热点，其发展大致经历了三个阶段 [3]：</w:t>
      </w:r>
    </w:p>
    <w:p w14:paraId="26D49552">
      <w:pPr>
        <w:pStyle w:val="61"/>
        <w:spacing w:before="312" w:after="312"/>
        <w:ind w:firstLine="0" w:firstLineChars="0"/>
        <w:rPr>
          <w:rFonts w:hint="eastAsia"/>
        </w:rPr>
      </w:pPr>
      <w:r>
        <w:rPr>
          <w:rFonts w:hint="eastAsia"/>
        </w:rPr>
        <w:t>1.  生理机理模型阶段： 早期研究主要采用一组微分方程来描述葡萄糖代谢、胰岛素动力学等生理过程（如 Bergman Minimal Model 或 Hovorka Model）。这类模型的优点是可解释性强，符合临床生理直觉；但缺点是参数多、结构复杂，需要大量的个体化参数辨识，难以在真实环境中大规模推广。</w:t>
      </w:r>
    </w:p>
    <w:p w14:paraId="08518E1D">
      <w:pPr>
        <w:pStyle w:val="61"/>
        <w:spacing w:before="312" w:after="312"/>
        <w:ind w:firstLine="0" w:firstLineChars="0"/>
        <w:rPr>
          <w:rFonts w:hint="eastAsia"/>
        </w:rPr>
      </w:pPr>
      <w:r>
        <w:rPr>
          <w:rFonts w:hint="eastAsia"/>
        </w:rPr>
        <w:t>2.  统计时间序列模型阶段： 随着高频 CGM 数据的积累，研究者开始采用更偏向数据驱动的统计方法，如自回归（AR）、自回归滑动平均（ARMA）和自回归积分滑动平均（ARIMA）模型。此外，卡尔曼滤波等状态空间方法也被广泛用于实时滤波和平滑 CGM 数据，以减弱噪声影响 [7]。这类模型计算开销小，在短期预测中表现基本可用。</w:t>
      </w:r>
    </w:p>
    <w:p w14:paraId="20B3FBED">
      <w:pPr>
        <w:pStyle w:val="61"/>
        <w:spacing w:before="312" w:after="312"/>
        <w:ind w:firstLine="0" w:firstLineChars="0"/>
        <w:rPr>
          <w:rFonts w:hint="eastAsia"/>
        </w:rPr>
      </w:pPr>
      <w:r>
        <w:rPr>
          <w:rFonts w:hint="eastAsia"/>
        </w:rPr>
        <w:t>3.  机器学习与深度学习阶段： 近十年来，机器学习（ML）和深度学习（DL）方法被广泛应用于血糖预测。传统 ML 方法（如支持向量回归、随机森林）通常依赖于精细的特征工程，将历史血糖值、饮食、运动等信息编码为特征 [8]。深度学习则利用网络自身的表示学习能力，直接从原始序列中提取特征。其中，循环神经网络（RNN）、长短期记忆网络（LSTM）和门控循环单元（GRU）因其处理序列数据的天然优势而被大量采用 [9] [10]。</w:t>
      </w:r>
    </w:p>
    <w:p w14:paraId="6E3071AF">
      <w:pPr>
        <w:pStyle w:val="61"/>
        <w:spacing w:before="312" w:after="312"/>
        <w:ind w:firstLine="420" w:firstLineChars="0"/>
        <w:rPr>
          <w:rFonts w:hint="eastAsia"/>
        </w:rPr>
      </w:pPr>
      <w:r>
        <w:rPr>
          <w:rFonts w:hint="eastAsia"/>
        </w:rPr>
        <w:t>在此基础上，研究者还探索了更复杂的模型结构，例如将一维卷积网络（CNN）与循环结构结合，以同时捕捉局部变化模式和长期趋势 [10]。针对多步预测和较长预测时域，注意力机制（Attention Mechanism）和 序列到序列（Seq2Seq）结构也被引入，以更有效地刻画血糖随时间的演变过程 [9]。</w:t>
      </w:r>
    </w:p>
    <w:p w14:paraId="3AF2CC4B">
      <w:pPr>
        <w:pStyle w:val="61"/>
        <w:spacing w:before="312" w:after="312"/>
        <w:ind w:firstLine="420" w:firstLineChars="0"/>
        <w:rPr>
          <w:rFonts w:hint="eastAsia"/>
        </w:rPr>
      </w:pPr>
      <w:r>
        <w:rPr>
          <w:rFonts w:hint="eastAsia"/>
        </w:rPr>
        <w:t>从应用现状来看，机器学习和深度学习方法因其强大的非线性拟合能力，成为血糖预测的主流技术路线 [8]。</w:t>
      </w:r>
    </w:p>
    <w:p w14:paraId="333FCCD4">
      <w:pPr>
        <w:pStyle w:val="61"/>
        <w:spacing w:before="312" w:after="312"/>
        <w:ind w:firstLine="420" w:firstLineChars="0"/>
        <w:rPr>
          <w:rFonts w:hint="eastAsia"/>
        </w:rPr>
      </w:pPr>
      <w:r>
        <w:rPr>
          <w:rFonts w:hint="eastAsia"/>
        </w:rPr>
        <w:t>在传统机器学习框架下，关键在于特征设计。研究者通常从历史 CGM 序列中提取滞后项、滑动窗口统计量（如均值、方差、变化率）等，并结合饮食、运动、药物等辅助信息作为输入特征。在特征工程合理的前提下，这些模型在短期预测任务中往往能明显优于简单的线性模型。</w:t>
      </w:r>
    </w:p>
    <w:p w14:paraId="794C2EF2">
      <w:pPr>
        <w:pStyle w:val="61"/>
        <w:spacing w:before="312" w:after="312"/>
        <w:ind w:firstLine="420" w:firstLineChars="0"/>
        <w:rPr>
          <w:rFonts w:hint="eastAsia"/>
        </w:rPr>
      </w:pPr>
      <w:r>
        <w:rPr>
          <w:rFonts w:hint="eastAsia"/>
        </w:rPr>
        <w:t>随着深度学习的成熟，以 LSTM 和 GRU 为代表的序列模型被广泛应用。这些模型通过其内部的门控机制，能够有效地在时间轴上传递和筛选历史信息，非常适合处理血糖这种具有明显时序依赖性的信号 [10]。研究表明，在预测时域适当延长（例如 30 分钟及以上）时，深度序列模型在预测精度和对复杂模式的刻画能力上，相对传统方法具有一定优势 [9]。此外，Transformer 架构凭借其强大的并行处理能力和长程依赖建模能力，在处理复杂血糖波动预测中也展现出优越性 [20]。</w:t>
      </w:r>
    </w:p>
    <w:p w14:paraId="7E3CCFB9">
      <w:pPr>
        <w:pStyle w:val="61"/>
        <w:spacing w:before="312" w:after="312"/>
        <w:ind w:firstLine="0" w:firstLineChars="0"/>
        <w:rPr>
          <w:rFonts w:hint="eastAsia"/>
        </w:rPr>
      </w:pPr>
    </w:p>
    <w:p w14:paraId="16666C78">
      <w:pPr>
        <w:pStyle w:val="61"/>
        <w:spacing w:before="312" w:after="312"/>
        <w:ind w:firstLine="420" w:firstLineChars="0"/>
        <w:rPr>
          <w:rFonts w:hint="eastAsia"/>
        </w:rPr>
      </w:pPr>
      <w:r>
        <w:rPr>
          <w:rFonts w:hint="eastAsia"/>
        </w:rPr>
        <w:t>然而，这类数据驱动方法在实际应用中也面临挑战。首先，模型性能高度依赖于训练数据的规模和代表性，而高质量、大规模的 CGM 数据集相对稀缺，限制了模型的泛化能力 [8]。其次，复杂深度模型的“黑箱”特性与医疗领域对可解释性和可追溯性的要求之间存在一定矛盾，需要在实际部署时进行权衡。此外，在工程实现层面，模型的实时性和部署效率也是必须考虑的问题，需要在保证预测性能的前提下，简化模型结构以适应移动终端或可穿戴设备的资源约束。</w:t>
      </w:r>
    </w:p>
    <w:p w14:paraId="723C9EA6">
      <w:pPr>
        <w:pStyle w:val="61"/>
        <w:spacing w:before="312" w:after="312"/>
        <w:ind w:firstLine="420" w:firstLineChars="0"/>
        <w:rPr>
          <w:rFonts w:hint="eastAsia"/>
        </w:rPr>
      </w:pPr>
      <w:r>
        <w:rPr>
          <w:rFonts w:hint="eastAsia"/>
        </w:rPr>
        <w:t>尽管基于 CGM 的血糖预测已取得显著进展，但从工程落地和临床应用的角度看，现有工作仍存在以下不足：</w:t>
      </w:r>
    </w:p>
    <w:p w14:paraId="0BD40DC4">
      <w:pPr>
        <w:pStyle w:val="61"/>
        <w:spacing w:before="312" w:after="312"/>
        <w:ind w:firstLine="420" w:firstLineChars="0"/>
        <w:rPr>
          <w:rFonts w:hint="eastAsia"/>
        </w:rPr>
      </w:pPr>
      <w:r>
        <w:rPr>
          <w:rFonts w:hint="eastAsia"/>
        </w:rPr>
        <w:t>首先，多模态数据依赖与实际应用场景的脱节是主要挑战之一。现有高性能模型往往建立在理想的、数据丰富的实验环境下，而忽略了商业化应用中用户数据采集的难度和不完整性。</w:t>
      </w:r>
    </w:p>
    <w:p w14:paraId="6012B075">
      <w:pPr>
        <w:pStyle w:val="61"/>
        <w:spacing w:before="312" w:after="312"/>
        <w:ind w:firstLine="420" w:firstLineChars="0"/>
        <w:rPr>
          <w:rFonts w:hint="eastAsia"/>
        </w:rPr>
      </w:pPr>
      <w:r>
        <w:rPr>
          <w:rFonts w:hint="eastAsia"/>
        </w:rPr>
        <w:t>其次，个体差异与模型泛化挑战尚未得到充分解决。针对单个患者训练的个体化模型精度高，但难以推广；利用多名受试者数据训练的群体模型泛化性强，但可能无法充分反映个体间的差异特征。如何在有限数据条件下，设计出既能利用跨个体信息，又能兼顾个体差异的迁移学习（Transfer Learning）策略，是当前的研究重点 [13] [14]。</w:t>
      </w:r>
    </w:p>
    <w:p w14:paraId="5F09C9C1">
      <w:pPr>
        <w:pStyle w:val="61"/>
        <w:spacing w:before="312" w:after="312"/>
        <w:ind w:firstLine="420" w:firstLineChars="0"/>
        <w:rPr>
          <w:rFonts w:hint="eastAsia"/>
        </w:rPr>
      </w:pPr>
      <w:r>
        <w:rPr>
          <w:rFonts w:hint="eastAsia"/>
        </w:rPr>
        <w:t>针对上述问题，本研究将重点探索在仅有 CGM 序列和基础生理指标的约束下，如何通过迁移学习实现高效的个体化模型微调。已有研究提出了元迁移学习（Meta-Transfer Learning）框架 [11] 和增量重训练策略 [12]，证明了在小样本（Few-shot）场景下实现快速个体化适配的可能性。此外，引入元学习（Meta-Learning）策略（如 MAML）可以使模型通过极少量的个体数据快速适配新用户 [15] [16]，并能有效处理异构协变量带来的影响 [17]。</w:t>
      </w:r>
    </w:p>
    <w:p w14:paraId="0DDE7A3A">
      <w:pPr>
        <w:pStyle w:val="61"/>
        <w:spacing w:before="312" w:after="312"/>
        <w:ind w:firstLine="420" w:firstLineChars="0"/>
      </w:pPr>
      <w:r>
        <w:rPr>
          <w:rFonts w:hint="eastAsia"/>
        </w:rPr>
        <w:t>在实验设计与评估方面，本课题将严格遵循时间序列划分原则，并在传统回归误差指标的基础上，引入对低、高血糖事件的分类预测指标，使评估结果更贴近实际临床需求。通过上述工作，期望在现有研究基础上，形成一套相对完整、可复现的基于 CGM 的血糖预测研究流程，为后续模型的工程化实现和可能的临床转化提供参考。</w:t>
      </w:r>
    </w:p>
    <w:p w14:paraId="440BD709">
      <w:pPr>
        <w:sectPr>
          <w:headerReference r:id="rId12" w:type="first"/>
          <w:headerReference r:id="rId10" w:type="default"/>
          <w:headerReference r:id="rId11" w:type="even"/>
          <w:pgSz w:w="11906" w:h="16838"/>
          <w:pgMar w:top="1418" w:right="1985" w:bottom="1418" w:left="1985" w:header="851" w:footer="992" w:gutter="0"/>
          <w:pgNumType w:start="1"/>
          <w:cols w:space="425" w:num="1"/>
          <w:titlePg/>
          <w:docGrid w:type="lines" w:linePitch="312" w:charSpace="0"/>
        </w:sectPr>
      </w:pPr>
    </w:p>
    <w:p w14:paraId="33B69381">
      <w:pPr>
        <w:pStyle w:val="55"/>
        <w:wordWrap w:val="0"/>
      </w:pPr>
      <w:r>
        <w:rPr>
          <w:u w:val="none"/>
        </w:rPr>
        <w:br w:type="textWrapping"/>
      </w:r>
      <w:bookmarkEnd w:id="0"/>
      <w:bookmarkStart w:id="18" w:name="_Toc201089502"/>
      <w:r>
        <w:rPr>
          <w:rFonts w:hint="eastAsia" w:eastAsia="宋体"/>
          <w:sz w:val="44"/>
          <w:szCs w:val="44"/>
          <w:u w:val="none"/>
          <w:lang w:val="en-US" w:eastAsia="zh-CN"/>
        </w:rPr>
        <w:t>Data</w:t>
      </w:r>
      <w:r>
        <w:rPr>
          <w:rFonts w:hint="eastAsia"/>
          <w:sz w:val="44"/>
          <w:szCs w:val="44"/>
          <w:u w:val="none"/>
        </w:rPr>
        <w:t xml:space="preserve"> </w:t>
      </w:r>
      <w:r>
        <w:rPr>
          <w:rFonts w:hint="eastAsia" w:eastAsia="宋体"/>
          <w:sz w:val="44"/>
          <w:szCs w:val="44"/>
          <w:u w:val="none"/>
          <w:lang w:val="en-US" w:eastAsia="zh-CN"/>
        </w:rPr>
        <w:t>S</w:t>
      </w:r>
      <w:bookmarkEnd w:id="18"/>
      <w:r>
        <w:rPr>
          <w:rFonts w:hint="eastAsia" w:eastAsia="宋体"/>
          <w:sz w:val="44"/>
          <w:szCs w:val="44"/>
          <w:u w:val="none"/>
          <w:lang w:val="en-US" w:eastAsia="zh-CN"/>
        </w:rPr>
        <w:t>election and Standardization</w:t>
      </w:r>
    </w:p>
    <w:p w14:paraId="5F76EF65">
      <w:pPr>
        <w:pStyle w:val="56"/>
      </w:pPr>
      <w:r>
        <w:rPr>
          <w:rFonts w:hint="eastAsia" w:eastAsia="宋体"/>
          <w:lang w:val="en-US" w:eastAsia="zh-CN"/>
        </w:rPr>
        <w:t>Dataset Selection</w:t>
      </w:r>
      <w:r>
        <w:rPr>
          <w:rFonts w:hint="eastAsia"/>
        </w:rPr>
        <w:t xml:space="preserve"> </w:t>
      </w:r>
    </w:p>
    <w:p w14:paraId="26ABC556">
      <w:pPr>
        <w:pStyle w:val="61"/>
        <w:spacing w:before="312" w:after="312"/>
        <w:ind w:firstLine="480"/>
        <w:rPr>
          <w:rFonts w:hint="eastAsia"/>
        </w:rPr>
      </w:pPr>
      <w:r>
        <w:rPr>
          <w:rFonts w:hint="eastAsia"/>
        </w:rPr>
        <w:t>为了验证本研究提出的迁移学习框架在不同人群、不同监测设备以及不同生理状态下的泛化能力，本研究并未局限于单一的数据来源，而是整合了三个在学术界广泛认可且具有显著差异性的公开连续血糖监测（CGM）数据集，构建了一个覆盖正常人、1型糖尿病、2型糖尿病的全面数据集：Colas 数据集、Hall 数据集 以及 OhioT1DM 数据集。</w:t>
      </w:r>
    </w:p>
    <w:p w14:paraId="4E07E54A">
      <w:pPr>
        <w:pStyle w:val="61"/>
        <w:spacing w:before="312" w:after="312"/>
        <w:ind w:firstLine="480"/>
        <w:rPr>
          <w:rFonts w:hint="eastAsia"/>
        </w:rPr>
      </w:pPr>
      <w:r>
        <w:rPr>
          <w:rFonts w:hint="eastAsia"/>
        </w:rPr>
        <w:t>1.  Colas 数据集 [21]：</w:t>
      </w:r>
    </w:p>
    <w:p w14:paraId="554A9AE0">
      <w:pPr>
        <w:pStyle w:val="61"/>
        <w:spacing w:before="312" w:after="312"/>
        <w:ind w:firstLine="480"/>
        <w:rPr>
          <w:rFonts w:hint="eastAsia"/>
        </w:rPr>
      </w:pPr>
      <w:r>
        <w:rPr>
          <w:rFonts w:hint="eastAsia"/>
        </w:rPr>
        <w:t xml:space="preserve">    该数据集由 Colás 等人于 2019 年发布，其研究重点在于评估 CGM 数据在 2 型糖尿病（T2D）高风险人群中的早期预警价值。该数据集的独特性在于其受试者群体具有较高的临床异质性，涵盖了从正常糖耐量（NGT）到前驱糖尿病及确诊 T2D 的多种代谢状态。在数据采集层面，该研究采用了 Medtronic MiniMed iPro 监测系统。对于本研究而言，Colas 数据集提供了丰富的 T2D 及前驱病理状态样本。</w:t>
      </w:r>
    </w:p>
    <w:p w14:paraId="137B0C3C">
      <w:pPr>
        <w:pStyle w:val="61"/>
        <w:spacing w:before="312" w:after="312"/>
        <w:ind w:firstLine="480"/>
        <w:rPr>
          <w:rFonts w:hint="eastAsia"/>
        </w:rPr>
      </w:pPr>
      <w:r>
        <w:rPr>
          <w:rFonts w:hint="eastAsia"/>
        </w:rPr>
        <w:t>2.  Hall 数据集 [22]：</w:t>
      </w:r>
    </w:p>
    <w:p w14:paraId="49D7D1DD">
      <w:pPr>
        <w:pStyle w:val="61"/>
        <w:spacing w:before="312" w:after="312"/>
        <w:ind w:firstLine="480"/>
        <w:rPr>
          <w:rFonts w:hint="eastAsia"/>
        </w:rPr>
      </w:pPr>
      <w:r>
        <w:rPr>
          <w:rFonts w:hint="eastAsia"/>
        </w:rPr>
        <w:t xml:space="preserve">    由斯坦福大学 Hall 等人于 2018 年发布，该研究提出了“血糖类型”（Glucotypes）的概念，揭示了即使在传统诊断指标（如 HbA1c）正常的个体中，也存在显著的血糖失调现象。Hall 数据集采用了 Dexcom G4 监测系统。该数据集包含大量的健康及亚健康样本，且提供了更详尽的静态生理指标（如 BMI、年龄）。</w:t>
      </w:r>
    </w:p>
    <w:p w14:paraId="08D2B479">
      <w:pPr>
        <w:pStyle w:val="61"/>
        <w:spacing w:before="312" w:after="312"/>
        <w:ind w:firstLine="480"/>
        <w:rPr>
          <w:rFonts w:hint="eastAsia"/>
        </w:rPr>
      </w:pPr>
      <w:r>
        <w:rPr>
          <w:rFonts w:hint="eastAsia"/>
        </w:rPr>
        <w:t>3.  OhioT1DM 数据集 [44]：</w:t>
      </w:r>
    </w:p>
    <w:p w14:paraId="65DE29DA">
      <w:pPr>
        <w:pStyle w:val="61"/>
        <w:spacing w:before="312" w:after="312"/>
        <w:ind w:firstLine="480"/>
        <w:rPr>
          <w:rFonts w:hint="eastAsia"/>
        </w:rPr>
      </w:pPr>
      <w:r>
        <w:rPr>
          <w:rFonts w:hint="eastAsia"/>
        </w:rPr>
        <w:t xml:space="preserve">    由俄亥俄大学 Marling 和 Bunescu 等人发布（2018/2020），是针对血糖预测任务专门构建的基准数据集。该数据集包含了 12 名确诊为 1型糖尿病（T1D） 的受试者数据，这一群体通常面临最剧烈的血糖波动挑战，且均使用胰岛素泵治疗。数据内容极为丰富，除 5 分钟间隔的 CGM 读数外，还包含了胰岛素剂量（基础率、大剂量）、自我报告的饮食、运动、睡眠、压力等生活事件数据，以及来自手环的心率、皮肤电反应等生理信号。引入 OhioT1DM 数据集填补了本研究在 1 型糖尿病极端血糖波动场景下的数据空白。</w:t>
      </w:r>
    </w:p>
    <w:p w14:paraId="65034B0E">
      <w:pPr>
        <w:pStyle w:val="61"/>
        <w:spacing w:before="312" w:after="312"/>
        <w:ind w:firstLine="480"/>
        <w:rPr>
          <w:rFonts w:hint="eastAsia"/>
        </w:rPr>
      </w:pPr>
      <w:r>
        <w:rPr>
          <w:rFonts w:hint="eastAsia"/>
        </w:rPr>
        <w:t>通过整合上述三个数据集，本研究成功构建了一个全谱系（Full-Spectrum）的血糖监测数据库，涵盖了从“健康 -&gt; 前驱糖尿病 -&gt; 2型糖尿病 -&gt; 1型糖尿病”的完整病理演变过程。这种跨人群、跨设备的异构数据融合，极大增强了模型在不同生理状态下的泛化验证能力，特别是在验证迁移学习策略对极端个体差异（如 T1D 与健康人之间）的适应性方面具有重要意义。</w:t>
      </w:r>
    </w:p>
    <w:p w14:paraId="12096191">
      <w:pPr>
        <w:pStyle w:val="61"/>
        <w:spacing w:before="312" w:after="312"/>
        <w:ind w:firstLine="480"/>
        <w:rPr>
          <w:rFonts w:hint="eastAsia"/>
        </w:rPr>
      </w:pPr>
      <w:r>
        <w:rPr>
          <w:rFonts w:hint="eastAsia"/>
        </w:rPr>
        <w:t xml:space="preserve">为了确保模型输入的科学性，本研究对整合后的数据进行了严格的受试者筛选，剔除了记录时长不足 48 小时或缺失率超过 30% 的无效样本。最终纳入研究的受试者共计 </w:t>
      </w:r>
      <w:r>
        <w:rPr>
          <w:rFonts w:hint="eastAsia" w:eastAsia="宋体"/>
          <w:lang w:eastAsia="zh-CN"/>
        </w:rPr>
        <w:t>174</w:t>
      </w:r>
      <w:r>
        <w:rPr>
          <w:rFonts w:hint="eastAsia"/>
        </w:rPr>
        <w:t xml:space="preserve"> 名，总观测点数达到</w:t>
      </w:r>
      <w:r>
        <w:rPr>
          <w:rFonts w:hint="eastAsia" w:eastAsia="宋体"/>
          <w:lang w:val="en-US" w:eastAsia="zh-CN"/>
        </w:rPr>
        <w:t xml:space="preserve"> 117570</w:t>
      </w:r>
      <w:r>
        <w:rPr>
          <w:rFonts w:hint="eastAsia"/>
        </w:rPr>
        <w:t xml:space="preserve"> 个。表 2-1 展示了受试者的基础生理指标及血糖分布的统计特征。</w:t>
      </w:r>
    </w:p>
    <w:p w14:paraId="6F6A5184">
      <w:pPr>
        <w:pStyle w:val="63"/>
        <w:spacing w:before="624" w:after="312"/>
        <w:rPr>
          <w:rFonts w:hint="eastAsia"/>
        </w:rPr>
      </w:pPr>
      <w:r>
        <w:rPr>
          <w:rFonts w:hint="eastAsia"/>
        </w:rPr>
        <w:t>physiological parameters and blood glucose distribution.</w:t>
      </w:r>
    </w:p>
    <w:tbl>
      <w:tblPr>
        <w:tblStyle w:val="31"/>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3"/>
        <w:gridCol w:w="2678"/>
        <w:gridCol w:w="2762"/>
      </w:tblGrid>
      <w:tr w14:paraId="720E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713" w:type="dxa"/>
            <w:tcBorders>
              <w:top w:val="single" w:color="000000" w:sz="12" w:space="0"/>
              <w:left w:val="nil"/>
              <w:bottom w:val="single" w:color="000000" w:sz="4" w:space="0"/>
              <w:right w:val="nil"/>
              <w:tl2br w:val="nil"/>
            </w:tcBorders>
            <w:shd w:val="clear" w:color="auto" w:fill="FFFFFF"/>
            <w:vAlign w:val="center"/>
          </w:tcPr>
          <w:p w14:paraId="7754A992">
            <w:pPr>
              <w:pStyle w:val="61"/>
              <w:snapToGrid w:val="0"/>
              <w:spacing w:before="312" w:after="312"/>
              <w:ind w:left="0" w:leftChars="0" w:right="0" w:rightChars="0" w:firstLine="0" w:firstLineChars="0"/>
              <w:jc w:val="center"/>
              <w:rPr>
                <w:rFonts w:hint="default" w:eastAsia="宋体"/>
                <w:b/>
                <w:bCs/>
                <w:color w:val="000000"/>
                <w:vertAlign w:val="baseline"/>
                <w:lang w:val="en-US" w:eastAsia="zh-CN"/>
              </w:rPr>
            </w:pPr>
            <w:r>
              <w:rPr>
                <w:rFonts w:hint="eastAsia" w:eastAsia="宋体"/>
                <w:b/>
                <w:bCs/>
                <w:color w:val="000000"/>
                <w:vertAlign w:val="baseline"/>
                <w:lang w:val="en-US" w:eastAsia="zh-CN"/>
              </w:rPr>
              <w:t>特征指标</w:t>
            </w:r>
          </w:p>
        </w:tc>
        <w:tc>
          <w:tcPr>
            <w:tcW w:w="2678" w:type="dxa"/>
            <w:tcBorders>
              <w:top w:val="single" w:color="000000" w:sz="12" w:space="0"/>
              <w:left w:val="nil"/>
              <w:bottom w:val="single" w:color="000000" w:sz="4" w:space="0"/>
              <w:right w:val="nil"/>
            </w:tcBorders>
            <w:shd w:val="clear" w:color="auto" w:fill="FFFFFF"/>
            <w:vAlign w:val="center"/>
          </w:tcPr>
          <w:p w14:paraId="520E95C2">
            <w:pPr>
              <w:pStyle w:val="61"/>
              <w:snapToGrid w:val="0"/>
              <w:spacing w:before="312" w:after="312"/>
              <w:ind w:left="0" w:leftChars="0" w:right="0" w:rightChars="0" w:firstLine="0" w:firstLineChars="0"/>
              <w:jc w:val="center"/>
              <w:rPr>
                <w:rFonts w:hint="default" w:eastAsia="宋体"/>
                <w:b/>
                <w:bCs/>
                <w:color w:val="000000"/>
                <w:vertAlign w:val="baseline"/>
                <w:lang w:val="en-US" w:eastAsia="zh-CN"/>
              </w:rPr>
            </w:pPr>
            <w:r>
              <w:rPr>
                <w:rFonts w:hint="eastAsia" w:eastAsia="宋体"/>
                <w:b/>
                <w:bCs/>
                <w:color w:val="000000"/>
                <w:vertAlign w:val="baseline"/>
                <w:lang w:val="en-US" w:eastAsia="zh-CN"/>
              </w:rPr>
              <w:t>统计值(均值±标准差)</w:t>
            </w:r>
          </w:p>
        </w:tc>
        <w:tc>
          <w:tcPr>
            <w:tcW w:w="2762" w:type="dxa"/>
            <w:tcBorders>
              <w:top w:val="single" w:color="000000" w:sz="12" w:space="0"/>
              <w:left w:val="nil"/>
              <w:bottom w:val="single" w:color="000000" w:sz="4" w:space="0"/>
              <w:right w:val="nil"/>
            </w:tcBorders>
            <w:shd w:val="clear" w:color="auto" w:fill="FFFFFF"/>
            <w:vAlign w:val="center"/>
          </w:tcPr>
          <w:p w14:paraId="332096F1">
            <w:pPr>
              <w:pStyle w:val="61"/>
              <w:snapToGrid w:val="0"/>
              <w:spacing w:before="312" w:after="312"/>
              <w:ind w:left="0" w:leftChars="0" w:right="0" w:rightChars="0" w:firstLine="0" w:firstLineChars="0"/>
              <w:jc w:val="center"/>
              <w:rPr>
                <w:rFonts w:hint="default" w:eastAsia="宋体"/>
                <w:b/>
                <w:bCs/>
                <w:color w:val="000000"/>
                <w:vertAlign w:val="baseline"/>
                <w:lang w:val="en-US" w:eastAsia="zh-CN"/>
              </w:rPr>
            </w:pPr>
            <w:r>
              <w:rPr>
                <w:rFonts w:hint="eastAsia" w:eastAsia="宋体"/>
                <w:b/>
                <w:bCs/>
                <w:color w:val="000000"/>
                <w:vertAlign w:val="baseline"/>
                <w:lang w:val="en-US" w:eastAsia="zh-CN"/>
              </w:rPr>
              <w:t>取值范围（Min-Max）</w:t>
            </w:r>
          </w:p>
        </w:tc>
      </w:tr>
      <w:tr w14:paraId="62D9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3" w:type="dxa"/>
            <w:tcBorders>
              <w:top w:val="single" w:color="000000" w:sz="4" w:space="0"/>
              <w:left w:val="nil"/>
              <w:bottom w:val="nil"/>
              <w:right w:val="nil"/>
            </w:tcBorders>
            <w:shd w:val="clear" w:color="auto" w:fill="FFFFFF"/>
            <w:vAlign w:val="center"/>
          </w:tcPr>
          <w:p w14:paraId="471ACCDC">
            <w:pPr>
              <w:pStyle w:val="61"/>
              <w:snapToGrid w:val="0"/>
              <w:spacing w:before="312" w:after="312"/>
              <w:ind w:left="0" w:leftChars="0" w:right="0" w:rightChars="0" w:firstLine="0" w:firstLineChars="0"/>
              <w:jc w:val="left"/>
              <w:rPr>
                <w:rFonts w:hint="default" w:ascii="Times New Roman" w:eastAsia="Times New Roman"/>
                <w:b w:val="0"/>
                <w:bCs/>
                <w:color w:val="000000"/>
                <w:sz w:val="24"/>
                <w:vertAlign w:val="baseline"/>
                <w:lang w:val="en-US" w:eastAsia="zh-CN"/>
              </w:rPr>
            </w:pPr>
            <w:r>
              <w:rPr>
                <w:rFonts w:hint="eastAsia" w:ascii="Times New Roman" w:eastAsia="Times New Roman"/>
                <w:b w:val="0"/>
                <w:bCs/>
                <w:color w:val="000000"/>
                <w:sz w:val="24"/>
                <w:vertAlign w:val="baseline"/>
                <w:lang w:val="en-US" w:eastAsia="zh-CN"/>
              </w:rPr>
              <w:t>受试者总数</w:t>
            </w:r>
          </w:p>
        </w:tc>
        <w:tc>
          <w:tcPr>
            <w:tcW w:w="2678" w:type="dxa"/>
            <w:tcBorders>
              <w:top w:val="single" w:color="000000" w:sz="4" w:space="0"/>
              <w:left w:val="nil"/>
              <w:bottom w:val="nil"/>
              <w:right w:val="nil"/>
            </w:tcBorders>
            <w:shd w:val="clear" w:color="auto" w:fill="FFFFFF"/>
            <w:vAlign w:val="center"/>
          </w:tcPr>
          <w:p w14:paraId="07311EF0">
            <w:pPr>
              <w:pStyle w:val="61"/>
              <w:snapToGrid w:val="0"/>
              <w:spacing w:before="312" w:after="312"/>
              <w:ind w:left="0" w:leftChars="0" w:right="0" w:rightChars="0" w:firstLine="0" w:firstLineChars="0"/>
              <w:jc w:val="center"/>
              <w:rPr>
                <w:rFonts w:hint="default" w:ascii="Times New Roman" w:eastAsia="Times New Roman"/>
                <w:b w:val="0"/>
                <w:bCs/>
                <w:color w:val="000000"/>
                <w:sz w:val="24"/>
                <w:vertAlign w:val="baseline"/>
                <w:lang w:val="en-US" w:eastAsia="zh-CN"/>
              </w:rPr>
            </w:pPr>
            <w:r>
              <w:rPr>
                <w:rFonts w:hint="eastAsia"/>
                <w:b w:val="0"/>
                <w:bCs/>
                <w:color w:val="000000"/>
                <w:sz w:val="24"/>
                <w:vertAlign w:val="baseline"/>
                <w:lang w:val="en-US" w:eastAsia="zh-CN"/>
              </w:rPr>
              <w:t>174</w:t>
            </w:r>
          </w:p>
        </w:tc>
        <w:tc>
          <w:tcPr>
            <w:tcW w:w="2762" w:type="dxa"/>
            <w:tcBorders>
              <w:top w:val="single" w:color="000000" w:sz="4" w:space="0"/>
              <w:left w:val="nil"/>
              <w:bottom w:val="nil"/>
              <w:right w:val="nil"/>
            </w:tcBorders>
            <w:shd w:val="clear" w:color="auto" w:fill="FFFFFF"/>
            <w:vAlign w:val="center"/>
          </w:tcPr>
          <w:p w14:paraId="72194BEA">
            <w:pPr>
              <w:pStyle w:val="61"/>
              <w:snapToGrid w:val="0"/>
              <w:spacing w:before="312" w:after="312"/>
              <w:ind w:left="0" w:leftChars="0" w:right="0" w:rightChars="0" w:firstLine="0" w:firstLineChars="0"/>
              <w:jc w:val="center"/>
              <w:rPr>
                <w:rFonts w:hint="eastAsia" w:ascii="Times New Roman" w:eastAsia="Times New Roman"/>
                <w:b w:val="0"/>
                <w:bCs/>
                <w:color w:val="000000"/>
                <w:sz w:val="24"/>
                <w:vertAlign w:val="baseline"/>
                <w:lang w:val="en-US" w:eastAsia="zh-CN"/>
              </w:rPr>
            </w:pPr>
            <w:r>
              <w:rPr>
                <w:rFonts w:hint="eastAsia" w:ascii="Times New Roman" w:eastAsia="Times New Roman"/>
                <w:b w:val="0"/>
                <w:bCs/>
                <w:color w:val="000000"/>
                <w:sz w:val="24"/>
                <w:vertAlign w:val="baseline"/>
                <w:lang w:val="en-US" w:eastAsia="zh-CN"/>
              </w:rPr>
              <w:t>-</w:t>
            </w:r>
          </w:p>
        </w:tc>
      </w:tr>
      <w:tr w14:paraId="73E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3" w:type="dxa"/>
            <w:tcBorders>
              <w:top w:val="nil"/>
              <w:left w:val="nil"/>
              <w:bottom w:val="nil"/>
              <w:right w:val="nil"/>
            </w:tcBorders>
            <w:shd w:val="clear" w:color="auto" w:fill="FFFFFF"/>
            <w:vAlign w:val="center"/>
          </w:tcPr>
          <w:p w14:paraId="07004338">
            <w:pPr>
              <w:pStyle w:val="61"/>
              <w:snapToGrid w:val="0"/>
              <w:spacing w:before="312" w:after="312"/>
              <w:ind w:left="0" w:leftChars="0" w:right="0" w:rightChars="0" w:firstLine="0" w:firstLineChars="0"/>
              <w:jc w:val="left"/>
              <w:rPr>
                <w:rFonts w:hint="eastAsia" w:ascii="Times New Roman" w:eastAsia="Times New Roman"/>
                <w:b w:val="0"/>
                <w:bCs/>
                <w:color w:val="000000"/>
                <w:sz w:val="24"/>
                <w:vertAlign w:val="baseline"/>
                <w:lang w:val="en-US" w:eastAsia="zh-CN"/>
              </w:rPr>
            </w:pPr>
            <w:r>
              <w:rPr>
                <w:rFonts w:hint="eastAsia" w:ascii="Times New Roman" w:eastAsia="Times New Roman"/>
                <w:b w:val="0"/>
                <w:bCs/>
                <w:color w:val="000000"/>
                <w:sz w:val="24"/>
                <w:vertAlign w:val="baseline"/>
                <w:lang w:val="en-US" w:eastAsia="zh-CN"/>
              </w:rPr>
              <w:t>年龄</w:t>
            </w:r>
          </w:p>
        </w:tc>
        <w:tc>
          <w:tcPr>
            <w:tcW w:w="2678" w:type="dxa"/>
            <w:tcBorders>
              <w:top w:val="nil"/>
              <w:left w:val="nil"/>
              <w:bottom w:val="nil"/>
              <w:right w:val="nil"/>
            </w:tcBorders>
            <w:shd w:val="clear" w:color="auto" w:fill="FFFFFF"/>
            <w:vAlign w:val="center"/>
          </w:tcPr>
          <w:p w14:paraId="7BFB8348">
            <w:pPr>
              <w:pStyle w:val="61"/>
              <w:snapToGrid w:val="0"/>
              <w:spacing w:before="312" w:after="312"/>
              <w:ind w:left="0" w:leftChars="0" w:right="0" w:rightChars="0" w:firstLine="0" w:firstLineChars="0"/>
              <w:jc w:val="center"/>
              <w:rPr>
                <w:rFonts w:hint="default" w:ascii="Times New Roman" w:eastAsia="Times New Roman"/>
                <w:b w:val="0"/>
                <w:bCs/>
                <w:color w:val="000000"/>
                <w:sz w:val="24"/>
                <w:vertAlign w:val="baseline"/>
                <w:lang w:val="en-US" w:eastAsia="zh-CN"/>
              </w:rPr>
            </w:pPr>
            <w:r>
              <w:rPr>
                <w:rFonts w:hint="eastAsia" w:ascii="Times New Roman" w:eastAsia="Times New Roman"/>
                <w:b w:val="0"/>
                <w:bCs/>
                <w:color w:val="000000"/>
                <w:sz w:val="24"/>
                <w:vertAlign w:val="baseline"/>
                <w:lang w:val="en-US" w:eastAsia="zh-CN"/>
              </w:rPr>
              <w:t>5</w:t>
            </w:r>
            <w:r>
              <w:rPr>
                <w:rFonts w:hint="eastAsia"/>
                <w:b w:val="0"/>
                <w:bCs/>
                <w:color w:val="000000"/>
                <w:sz w:val="24"/>
                <w:vertAlign w:val="baseline"/>
                <w:lang w:val="en-US" w:eastAsia="zh-CN"/>
              </w:rPr>
              <w:t>4</w:t>
            </w:r>
            <w:r>
              <w:rPr>
                <w:rFonts w:hint="eastAsia" w:ascii="Times New Roman" w:eastAsia="Times New Roman"/>
                <w:b w:val="0"/>
                <w:bCs/>
                <w:color w:val="000000"/>
                <w:sz w:val="24"/>
                <w:vertAlign w:val="baseline"/>
                <w:lang w:val="en-US" w:eastAsia="zh-CN"/>
              </w:rPr>
              <w:t>.7</w:t>
            </w:r>
            <w:r>
              <w:rPr>
                <w:rFonts w:hint="eastAsia"/>
                <w:b w:val="0"/>
                <w:bCs/>
                <w:color w:val="000000"/>
                <w:sz w:val="24"/>
                <w:vertAlign w:val="baseline"/>
                <w:lang w:val="en-US" w:eastAsia="zh-CN"/>
              </w:rPr>
              <w:t>1</w:t>
            </w:r>
            <w:r>
              <w:rPr>
                <w:rFonts w:hint="eastAsia" w:ascii="Times New Roman" w:eastAsia="Times New Roman"/>
                <w:b w:val="0"/>
                <w:bCs/>
                <w:color w:val="000000"/>
                <w:sz w:val="24"/>
                <w:vertAlign w:val="baseline"/>
                <w:lang w:val="en-US" w:eastAsia="zh-CN"/>
              </w:rPr>
              <w:t>±1</w:t>
            </w:r>
            <w:r>
              <w:rPr>
                <w:rFonts w:hint="eastAsia"/>
                <w:b w:val="0"/>
                <w:bCs/>
                <w:color w:val="000000"/>
                <w:sz w:val="24"/>
                <w:vertAlign w:val="baseline"/>
                <w:lang w:val="en-US" w:eastAsia="zh-CN"/>
              </w:rPr>
              <w:t>3</w:t>
            </w:r>
            <w:r>
              <w:rPr>
                <w:rFonts w:hint="eastAsia" w:ascii="Times New Roman" w:eastAsia="Times New Roman"/>
                <w:b w:val="0"/>
                <w:bCs/>
                <w:color w:val="000000"/>
                <w:sz w:val="24"/>
                <w:vertAlign w:val="baseline"/>
                <w:lang w:val="en-US" w:eastAsia="zh-CN"/>
              </w:rPr>
              <w:t>.</w:t>
            </w:r>
            <w:r>
              <w:rPr>
                <w:rFonts w:hint="eastAsia"/>
                <w:b w:val="0"/>
                <w:bCs/>
                <w:color w:val="000000"/>
                <w:sz w:val="24"/>
                <w:vertAlign w:val="baseline"/>
                <w:lang w:val="en-US" w:eastAsia="zh-CN"/>
              </w:rPr>
              <w:t>2</w:t>
            </w:r>
            <w:r>
              <w:rPr>
                <w:rFonts w:hint="eastAsia" w:ascii="Times New Roman" w:eastAsia="Times New Roman"/>
                <w:b w:val="0"/>
                <w:bCs/>
                <w:color w:val="000000"/>
                <w:sz w:val="24"/>
                <w:vertAlign w:val="baseline"/>
                <w:lang w:val="en-US" w:eastAsia="zh-CN"/>
              </w:rPr>
              <w:t>1</w:t>
            </w:r>
          </w:p>
        </w:tc>
        <w:tc>
          <w:tcPr>
            <w:tcW w:w="2762" w:type="dxa"/>
            <w:tcBorders>
              <w:top w:val="nil"/>
              <w:left w:val="nil"/>
              <w:bottom w:val="nil"/>
              <w:right w:val="nil"/>
            </w:tcBorders>
            <w:shd w:val="clear" w:color="auto" w:fill="FFFFFF"/>
            <w:vAlign w:val="center"/>
          </w:tcPr>
          <w:p w14:paraId="3139D326">
            <w:pPr>
              <w:pStyle w:val="61"/>
              <w:snapToGrid w:val="0"/>
              <w:spacing w:before="312" w:after="312"/>
              <w:ind w:left="0" w:leftChars="0" w:right="0" w:rightChars="0" w:firstLine="0" w:firstLineChars="0"/>
              <w:jc w:val="center"/>
              <w:rPr>
                <w:rFonts w:hint="default" w:ascii="Times New Roman" w:eastAsia="Times New Roman"/>
                <w:b w:val="0"/>
                <w:bCs/>
                <w:color w:val="000000"/>
                <w:sz w:val="24"/>
                <w:vertAlign w:val="baseline"/>
                <w:lang w:val="en-US" w:eastAsia="zh-CN"/>
              </w:rPr>
            </w:pPr>
            <w:r>
              <w:rPr>
                <w:rFonts w:hint="eastAsia" w:ascii="Times New Roman" w:eastAsia="Times New Roman"/>
                <w:b w:val="0"/>
                <w:bCs/>
                <w:color w:val="000000"/>
                <w:sz w:val="24"/>
                <w:vertAlign w:val="baseline"/>
                <w:lang w:val="en-US" w:eastAsia="zh-CN"/>
              </w:rPr>
              <w:t>25.0-8</w:t>
            </w:r>
            <w:r>
              <w:rPr>
                <w:rFonts w:hint="eastAsia"/>
                <w:b w:val="0"/>
                <w:bCs/>
                <w:color w:val="000000"/>
                <w:sz w:val="24"/>
                <w:vertAlign w:val="baseline"/>
                <w:lang w:val="en-US" w:eastAsia="zh-CN"/>
              </w:rPr>
              <w:t>8</w:t>
            </w:r>
            <w:r>
              <w:rPr>
                <w:rFonts w:hint="eastAsia" w:ascii="Times New Roman" w:eastAsia="Times New Roman"/>
                <w:b w:val="0"/>
                <w:bCs/>
                <w:color w:val="000000"/>
                <w:sz w:val="24"/>
                <w:vertAlign w:val="baseline"/>
                <w:lang w:val="en-US" w:eastAsia="zh-CN"/>
              </w:rPr>
              <w:t>.0</w:t>
            </w:r>
          </w:p>
        </w:tc>
      </w:tr>
      <w:tr w14:paraId="0698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3" w:type="dxa"/>
            <w:tcBorders>
              <w:top w:val="nil"/>
              <w:left w:val="nil"/>
              <w:bottom w:val="nil"/>
              <w:right w:val="nil"/>
            </w:tcBorders>
            <w:shd w:val="clear" w:color="auto" w:fill="FFFFFF"/>
            <w:vAlign w:val="center"/>
          </w:tcPr>
          <w:p w14:paraId="27FD5B2C">
            <w:pPr>
              <w:pStyle w:val="61"/>
              <w:snapToGrid w:val="0"/>
              <w:spacing w:before="312" w:after="312"/>
              <w:ind w:left="0" w:leftChars="0" w:right="0" w:rightChars="0" w:firstLine="0" w:firstLineChars="0"/>
              <w:jc w:val="left"/>
              <w:rPr>
                <w:rFonts w:hint="default" w:ascii="Times New Roman" w:eastAsia="Times New Roman"/>
                <w:b w:val="0"/>
                <w:bCs/>
                <w:color w:val="000000"/>
                <w:sz w:val="24"/>
                <w:vertAlign w:val="baseline"/>
                <w:lang w:val="en-US" w:eastAsia="zh-CN"/>
              </w:rPr>
            </w:pPr>
            <w:r>
              <w:rPr>
                <w:rFonts w:hint="eastAsia" w:ascii="Times New Roman" w:eastAsia="Times New Roman"/>
                <w:b w:val="0"/>
                <w:bCs/>
                <w:color w:val="000000"/>
                <w:sz w:val="24"/>
                <w:vertAlign w:val="baseline"/>
                <w:lang w:val="en-US" w:eastAsia="zh-CN"/>
              </w:rPr>
              <w:t>BMI,</w:t>
            </w:r>
            <w:r>
              <w:rPr>
                <w:rFonts w:hint="eastAsia" w:ascii="Times New Roman" w:eastAsia="Times New Roman"/>
                <w:b w:val="0"/>
                <w:bCs/>
                <w:color w:val="000000"/>
                <w:sz w:val="24"/>
              </w:rPr>
              <w:t>kg/m²</w:t>
            </w:r>
          </w:p>
        </w:tc>
        <w:tc>
          <w:tcPr>
            <w:tcW w:w="2678" w:type="dxa"/>
            <w:tcBorders>
              <w:top w:val="nil"/>
              <w:left w:val="nil"/>
              <w:bottom w:val="nil"/>
              <w:right w:val="nil"/>
            </w:tcBorders>
            <w:shd w:val="clear" w:color="auto" w:fill="FFFFFF"/>
            <w:vAlign w:val="center"/>
          </w:tcPr>
          <w:p w14:paraId="1C3A155E">
            <w:pPr>
              <w:pStyle w:val="61"/>
              <w:snapToGrid w:val="0"/>
              <w:spacing w:before="312" w:after="312"/>
              <w:ind w:left="0" w:leftChars="0" w:right="0" w:rightChars="0" w:firstLine="0" w:firstLineChars="0"/>
              <w:jc w:val="center"/>
              <w:rPr>
                <w:rFonts w:hint="default" w:ascii="Times New Roman" w:eastAsia="宋体"/>
                <w:b w:val="0"/>
                <w:bCs/>
                <w:color w:val="000000"/>
                <w:sz w:val="24"/>
                <w:vertAlign w:val="baseline"/>
                <w:lang w:val="en-US" w:eastAsia="zh-CN"/>
              </w:rPr>
            </w:pPr>
            <w:r>
              <w:rPr>
                <w:rFonts w:hint="eastAsia" w:ascii="Times New Roman" w:eastAsia="Times New Roman"/>
                <w:b w:val="0"/>
                <w:bCs/>
                <w:color w:val="000000"/>
                <w:sz w:val="24"/>
              </w:rPr>
              <w:t>29.</w:t>
            </w:r>
            <w:r>
              <w:rPr>
                <w:rFonts w:hint="eastAsia" w:eastAsia="宋体"/>
                <w:b w:val="0"/>
                <w:bCs/>
                <w:color w:val="000000"/>
                <w:sz w:val="24"/>
                <w:lang w:val="en-US" w:eastAsia="zh-CN"/>
              </w:rPr>
              <w:t>07</w:t>
            </w:r>
            <w:r>
              <w:rPr>
                <w:rFonts w:hint="eastAsia" w:ascii="Times New Roman" w:eastAsia="Times New Roman"/>
                <w:b w:val="0"/>
                <w:bCs/>
                <w:color w:val="000000"/>
                <w:sz w:val="24"/>
              </w:rPr>
              <w:t xml:space="preserve"> ± 4.</w:t>
            </w:r>
            <w:r>
              <w:rPr>
                <w:rFonts w:hint="eastAsia" w:eastAsia="宋体"/>
                <w:b w:val="0"/>
                <w:bCs/>
                <w:color w:val="000000"/>
                <w:sz w:val="24"/>
                <w:lang w:val="en-US" w:eastAsia="zh-CN"/>
              </w:rPr>
              <w:t>57</w:t>
            </w:r>
          </w:p>
        </w:tc>
        <w:tc>
          <w:tcPr>
            <w:tcW w:w="2762" w:type="dxa"/>
            <w:tcBorders>
              <w:top w:val="nil"/>
              <w:left w:val="nil"/>
              <w:bottom w:val="nil"/>
              <w:right w:val="nil"/>
            </w:tcBorders>
            <w:shd w:val="clear" w:color="auto" w:fill="FFFFFF"/>
            <w:vAlign w:val="center"/>
          </w:tcPr>
          <w:p w14:paraId="5601A80B">
            <w:pPr>
              <w:pStyle w:val="61"/>
              <w:snapToGrid w:val="0"/>
              <w:spacing w:before="312" w:after="312"/>
              <w:ind w:left="0" w:leftChars="0" w:right="0" w:rightChars="0" w:firstLine="0" w:firstLineChars="0"/>
              <w:jc w:val="center"/>
              <w:rPr>
                <w:rFonts w:hint="eastAsia" w:ascii="Times New Roman" w:eastAsia="宋体"/>
                <w:b w:val="0"/>
                <w:bCs/>
                <w:color w:val="000000"/>
                <w:sz w:val="24"/>
                <w:vertAlign w:val="baseline"/>
                <w:lang w:val="en-US" w:eastAsia="zh-CN"/>
              </w:rPr>
            </w:pPr>
            <w:r>
              <w:rPr>
                <w:rFonts w:hint="eastAsia" w:ascii="Times New Roman" w:eastAsia="Times New Roman"/>
                <w:b w:val="0"/>
                <w:bCs/>
                <w:color w:val="000000"/>
                <w:sz w:val="24"/>
              </w:rPr>
              <w:t>1</w:t>
            </w:r>
            <w:r>
              <w:rPr>
                <w:rFonts w:hint="eastAsia" w:eastAsia="宋体"/>
                <w:b w:val="0"/>
                <w:bCs/>
                <w:color w:val="000000"/>
                <w:sz w:val="24"/>
                <w:lang w:val="en-US" w:eastAsia="zh-CN"/>
              </w:rPr>
              <w:t>8</w:t>
            </w:r>
            <w:r>
              <w:rPr>
                <w:rFonts w:hint="eastAsia" w:ascii="Times New Roman" w:eastAsia="Times New Roman"/>
                <w:b w:val="0"/>
                <w:bCs/>
                <w:color w:val="000000"/>
                <w:sz w:val="24"/>
              </w:rPr>
              <w:t>.</w:t>
            </w:r>
            <w:r>
              <w:rPr>
                <w:rFonts w:hint="eastAsia" w:eastAsia="宋体"/>
                <w:b w:val="0"/>
                <w:bCs/>
                <w:color w:val="000000"/>
                <w:sz w:val="24"/>
                <w:lang w:val="en-US" w:eastAsia="zh-CN"/>
              </w:rPr>
              <w:t>1</w:t>
            </w:r>
            <w:r>
              <w:rPr>
                <w:rFonts w:hint="eastAsia" w:ascii="Times New Roman" w:eastAsia="Times New Roman"/>
                <w:b w:val="0"/>
                <w:bCs/>
                <w:color w:val="000000"/>
                <w:sz w:val="24"/>
              </w:rPr>
              <w:t xml:space="preserve"> - 4</w:t>
            </w:r>
            <w:r>
              <w:rPr>
                <w:rFonts w:hint="eastAsia" w:eastAsia="宋体"/>
                <w:b w:val="0"/>
                <w:bCs/>
                <w:color w:val="000000"/>
                <w:sz w:val="24"/>
                <w:lang w:val="en-US" w:eastAsia="zh-CN"/>
              </w:rPr>
              <w:t>3</w:t>
            </w:r>
            <w:r>
              <w:rPr>
                <w:rFonts w:hint="eastAsia" w:ascii="Times New Roman" w:eastAsia="Times New Roman"/>
                <w:b w:val="0"/>
                <w:bCs/>
                <w:color w:val="000000"/>
                <w:sz w:val="24"/>
              </w:rPr>
              <w:t>.</w:t>
            </w:r>
            <w:r>
              <w:rPr>
                <w:rFonts w:hint="eastAsia" w:eastAsia="宋体"/>
                <w:b w:val="0"/>
                <w:bCs/>
                <w:color w:val="000000"/>
                <w:sz w:val="24"/>
                <w:lang w:val="en-US" w:eastAsia="zh-CN"/>
              </w:rPr>
              <w:t>9</w:t>
            </w:r>
          </w:p>
        </w:tc>
      </w:tr>
      <w:tr w14:paraId="76EF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3" w:type="dxa"/>
            <w:tcBorders>
              <w:top w:val="nil"/>
              <w:left w:val="nil"/>
              <w:bottom w:val="nil"/>
              <w:right w:val="nil"/>
            </w:tcBorders>
            <w:shd w:val="clear" w:color="auto" w:fill="FFFFFF"/>
            <w:vAlign w:val="center"/>
          </w:tcPr>
          <w:p w14:paraId="2676855E">
            <w:pPr>
              <w:pStyle w:val="61"/>
              <w:snapToGrid w:val="0"/>
              <w:spacing w:before="312" w:after="312"/>
              <w:ind w:left="0" w:leftChars="0" w:right="0" w:rightChars="0" w:firstLine="0" w:firstLineChars="0"/>
              <w:jc w:val="left"/>
              <w:rPr>
                <w:rFonts w:hint="eastAsia" w:ascii="Times New Roman" w:eastAsia="Times New Roman"/>
                <w:b w:val="0"/>
                <w:bCs/>
                <w:color w:val="000000"/>
                <w:sz w:val="24"/>
                <w:vertAlign w:val="baseline"/>
              </w:rPr>
            </w:pPr>
            <w:r>
              <w:rPr>
                <w:rFonts w:hint="eastAsia" w:ascii="Times New Roman" w:eastAsia="Times New Roman"/>
                <w:b w:val="0"/>
                <w:bCs/>
                <w:color w:val="000000"/>
                <w:sz w:val="24"/>
              </w:rPr>
              <w:t>平均血糖值mg/dL</w:t>
            </w:r>
          </w:p>
        </w:tc>
        <w:tc>
          <w:tcPr>
            <w:tcW w:w="2678" w:type="dxa"/>
            <w:tcBorders>
              <w:top w:val="nil"/>
              <w:left w:val="nil"/>
              <w:bottom w:val="nil"/>
              <w:right w:val="nil"/>
            </w:tcBorders>
            <w:shd w:val="clear" w:color="auto" w:fill="FFFFFF"/>
            <w:vAlign w:val="center"/>
          </w:tcPr>
          <w:p w14:paraId="23179C7F">
            <w:pPr>
              <w:pStyle w:val="61"/>
              <w:snapToGrid w:val="0"/>
              <w:spacing w:before="312" w:after="312"/>
              <w:ind w:left="0" w:leftChars="0" w:right="0" w:rightChars="0" w:firstLine="0" w:firstLineChars="0"/>
              <w:jc w:val="center"/>
              <w:rPr>
                <w:rFonts w:hint="default" w:ascii="Times New Roman" w:eastAsia="宋体"/>
                <w:b w:val="0"/>
                <w:bCs/>
                <w:color w:val="000000"/>
                <w:sz w:val="24"/>
                <w:vertAlign w:val="baseline"/>
                <w:lang w:val="en-US" w:eastAsia="zh-CN"/>
              </w:rPr>
            </w:pPr>
            <w:r>
              <w:rPr>
                <w:rFonts w:hint="eastAsia" w:ascii="Times New Roman" w:eastAsia="Times New Roman"/>
                <w:b w:val="0"/>
                <w:bCs/>
                <w:color w:val="000000"/>
                <w:sz w:val="24"/>
              </w:rPr>
              <w:t>1</w:t>
            </w:r>
            <w:r>
              <w:rPr>
                <w:rFonts w:hint="eastAsia" w:eastAsia="宋体"/>
                <w:b w:val="0"/>
                <w:bCs/>
                <w:color w:val="000000"/>
                <w:sz w:val="24"/>
                <w:lang w:val="en-US" w:eastAsia="zh-CN"/>
              </w:rPr>
              <w:t>11</w:t>
            </w:r>
            <w:r>
              <w:rPr>
                <w:rFonts w:hint="eastAsia" w:ascii="Times New Roman" w:eastAsia="Times New Roman"/>
                <w:b w:val="0"/>
                <w:bCs/>
                <w:color w:val="000000"/>
                <w:sz w:val="24"/>
              </w:rPr>
              <w:t>.</w:t>
            </w:r>
            <w:r>
              <w:rPr>
                <w:rFonts w:hint="eastAsia" w:eastAsia="宋体"/>
                <w:b w:val="0"/>
                <w:bCs/>
                <w:color w:val="000000"/>
                <w:sz w:val="24"/>
                <w:lang w:val="en-US" w:eastAsia="zh-CN"/>
              </w:rPr>
              <w:t>46</w:t>
            </w:r>
            <w:r>
              <w:rPr>
                <w:rFonts w:hint="eastAsia" w:ascii="Times New Roman" w:eastAsia="Times New Roman"/>
                <w:b w:val="0"/>
                <w:bCs/>
                <w:color w:val="000000"/>
                <w:sz w:val="24"/>
              </w:rPr>
              <w:t xml:space="preserve"> ± </w:t>
            </w:r>
            <w:r>
              <w:rPr>
                <w:rFonts w:hint="eastAsia" w:eastAsia="宋体"/>
                <w:b w:val="0"/>
                <w:bCs/>
                <w:color w:val="000000"/>
                <w:sz w:val="24"/>
                <w:lang w:val="en-US" w:eastAsia="zh-CN"/>
              </w:rPr>
              <w:t>38.42</w:t>
            </w:r>
          </w:p>
        </w:tc>
        <w:tc>
          <w:tcPr>
            <w:tcW w:w="2762" w:type="dxa"/>
            <w:tcBorders>
              <w:top w:val="nil"/>
              <w:left w:val="nil"/>
              <w:bottom w:val="nil"/>
              <w:right w:val="nil"/>
            </w:tcBorders>
            <w:shd w:val="clear" w:color="auto" w:fill="FFFFFF"/>
            <w:vAlign w:val="center"/>
          </w:tcPr>
          <w:p w14:paraId="457305A2">
            <w:pPr>
              <w:pStyle w:val="61"/>
              <w:snapToGrid w:val="0"/>
              <w:spacing w:before="312" w:after="312"/>
              <w:ind w:left="0" w:leftChars="0" w:right="0" w:rightChars="0" w:firstLine="0" w:firstLineChars="0"/>
              <w:jc w:val="center"/>
              <w:rPr>
                <w:rFonts w:hint="eastAsia" w:ascii="Times New Roman" w:eastAsia="Times New Roman"/>
                <w:b w:val="0"/>
                <w:bCs/>
                <w:color w:val="000000"/>
                <w:sz w:val="24"/>
                <w:vertAlign w:val="baseline"/>
              </w:rPr>
            </w:pPr>
            <w:r>
              <w:rPr>
                <w:rFonts w:hint="eastAsia" w:ascii="Times New Roman" w:eastAsia="Times New Roman"/>
                <w:b w:val="0"/>
                <w:bCs/>
                <w:color w:val="000000"/>
                <w:sz w:val="24"/>
              </w:rPr>
              <w:t xml:space="preserve">40.0 - </w:t>
            </w:r>
            <w:r>
              <w:rPr>
                <w:rFonts w:hint="eastAsia" w:ascii="Times New Roman" w:eastAsia="Times New Roman"/>
                <w:b w:val="0"/>
                <w:bCs/>
                <w:color w:val="000000"/>
                <w:sz w:val="24"/>
                <w:lang w:val="en-US" w:eastAsia="zh-CN"/>
              </w:rPr>
              <w:t>3</w:t>
            </w:r>
            <w:r>
              <w:rPr>
                <w:rFonts w:hint="eastAsia" w:ascii="Times New Roman" w:eastAsia="Times New Roman"/>
                <w:b w:val="0"/>
                <w:bCs/>
                <w:color w:val="000000"/>
                <w:sz w:val="24"/>
              </w:rPr>
              <w:t>50.0</w:t>
            </w:r>
          </w:p>
        </w:tc>
      </w:tr>
      <w:tr w14:paraId="1F06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3" w:type="dxa"/>
            <w:tcBorders>
              <w:top w:val="nil"/>
              <w:left w:val="nil"/>
              <w:bottom w:val="single" w:color="000000" w:sz="12" w:space="0"/>
              <w:right w:val="nil"/>
            </w:tcBorders>
            <w:shd w:val="clear" w:color="auto" w:fill="FFFFFF"/>
            <w:vAlign w:val="center"/>
          </w:tcPr>
          <w:p w14:paraId="1B73DC51">
            <w:pPr>
              <w:pStyle w:val="61"/>
              <w:snapToGrid w:val="0"/>
              <w:spacing w:before="312" w:after="312"/>
              <w:ind w:left="0" w:leftChars="0" w:right="0" w:rightChars="0" w:firstLine="0" w:firstLineChars="0"/>
              <w:jc w:val="left"/>
              <w:rPr>
                <w:rFonts w:hint="eastAsia" w:ascii="Times New Roman" w:eastAsia="Times New Roman"/>
                <w:b w:val="0"/>
                <w:bCs/>
                <w:color w:val="000000"/>
                <w:sz w:val="24"/>
              </w:rPr>
            </w:pPr>
            <w:r>
              <w:rPr>
                <w:rFonts w:hint="eastAsia" w:ascii="Times New Roman" w:eastAsia="Times New Roman"/>
                <w:b w:val="0"/>
                <w:bCs/>
                <w:color w:val="000000"/>
                <w:sz w:val="24"/>
              </w:rPr>
              <w:t>血糖变异系数 (CV, %)</w:t>
            </w:r>
          </w:p>
        </w:tc>
        <w:tc>
          <w:tcPr>
            <w:tcW w:w="2678" w:type="dxa"/>
            <w:tcBorders>
              <w:top w:val="nil"/>
              <w:left w:val="nil"/>
              <w:bottom w:val="single" w:color="000000" w:sz="12" w:space="0"/>
              <w:right w:val="nil"/>
            </w:tcBorders>
            <w:shd w:val="clear" w:color="auto" w:fill="FFFFFF"/>
            <w:vAlign w:val="center"/>
          </w:tcPr>
          <w:p w14:paraId="64E6D05C">
            <w:pPr>
              <w:pStyle w:val="61"/>
              <w:snapToGrid w:val="0"/>
              <w:spacing w:before="312" w:after="312"/>
              <w:ind w:left="0" w:leftChars="0" w:right="0" w:rightChars="0" w:firstLine="0" w:firstLineChars="0"/>
              <w:jc w:val="center"/>
              <w:rPr>
                <w:rFonts w:hint="eastAsia" w:ascii="Times New Roman" w:eastAsia="Times New Roman"/>
                <w:b w:val="0"/>
                <w:bCs/>
                <w:color w:val="000000"/>
                <w:sz w:val="24"/>
                <w:vertAlign w:val="baseline"/>
              </w:rPr>
            </w:pPr>
            <w:r>
              <w:rPr>
                <w:rFonts w:hint="eastAsia" w:ascii="Times New Roman" w:eastAsia="Times New Roman"/>
                <w:b w:val="0"/>
                <w:bCs/>
                <w:color w:val="000000"/>
                <w:sz w:val="24"/>
              </w:rPr>
              <w:t>21.49 ± 8.12</w:t>
            </w:r>
          </w:p>
        </w:tc>
        <w:tc>
          <w:tcPr>
            <w:tcW w:w="2762" w:type="dxa"/>
            <w:tcBorders>
              <w:top w:val="nil"/>
              <w:left w:val="nil"/>
              <w:bottom w:val="single" w:color="000000" w:sz="12" w:space="0"/>
              <w:right w:val="nil"/>
            </w:tcBorders>
            <w:shd w:val="clear" w:color="auto" w:fill="FFFFFF"/>
            <w:vAlign w:val="center"/>
          </w:tcPr>
          <w:p w14:paraId="7107BBB1">
            <w:pPr>
              <w:pStyle w:val="61"/>
              <w:snapToGrid w:val="0"/>
              <w:spacing w:before="312" w:after="312"/>
              <w:ind w:left="0" w:leftChars="0" w:right="0" w:rightChars="0" w:firstLine="0" w:firstLineChars="0"/>
              <w:jc w:val="center"/>
              <w:rPr>
                <w:rFonts w:hint="eastAsia" w:ascii="Times New Roman" w:eastAsia="Times New Roman"/>
                <w:b w:val="0"/>
                <w:bCs/>
                <w:color w:val="000000"/>
                <w:sz w:val="24"/>
                <w:vertAlign w:val="baseline"/>
              </w:rPr>
            </w:pPr>
            <w:r>
              <w:rPr>
                <w:rFonts w:hint="eastAsia" w:ascii="Times New Roman" w:eastAsia="Times New Roman"/>
                <w:b w:val="0"/>
                <w:bCs/>
                <w:color w:val="000000"/>
                <w:sz w:val="24"/>
              </w:rPr>
              <w:t>8.5 - 42.3</w:t>
            </w:r>
          </w:p>
        </w:tc>
      </w:tr>
    </w:tbl>
    <w:p w14:paraId="6D58695B">
      <w:pPr>
        <w:pStyle w:val="61"/>
        <w:spacing w:before="312" w:after="312"/>
        <w:ind w:left="0" w:leftChars="0" w:firstLine="0" w:firstLineChars="0"/>
        <w:rPr>
          <w:rFonts w:hint="eastAsia"/>
        </w:rPr>
      </w:pPr>
    </w:p>
    <w:p w14:paraId="3BBA7797">
      <w:pPr>
        <w:pStyle w:val="61"/>
        <w:spacing w:before="312" w:after="312"/>
        <w:ind w:firstLine="480"/>
      </w:pPr>
      <w:r>
        <w:rPr>
          <w:rFonts w:hint="eastAsia"/>
        </w:rPr>
        <w:t>从表 2-1 可以看出，本研究样本呈现出明显的“高龄、高 BMI”特征，平均 BMI 接近 30 kg/m² 的肥胖临界点，这与糖尿病及其并发症的高发人群特征高度吻合。同时，血糖变异系数（CV）的跨度较大（8.5% 至 42.3%），说明数据集中既包含血糖</w:t>
      </w:r>
      <w:r>
        <w:rPr>
          <w:rFonts w:hint="eastAsia" w:eastAsia="宋体"/>
          <w:lang w:val="en-US" w:eastAsia="zh-CN"/>
        </w:rPr>
        <w:t>波动正常</w:t>
      </w:r>
      <w:r>
        <w:rPr>
          <w:rFonts w:hint="eastAsia"/>
        </w:rPr>
        <w:t>的健康个体，也包含波动剧烈的糖尿病患者。这种高度的个体差异性（Inter-individual variability）正是本研究引入迁移学习策略的根本动因——单一的群体模型难以同时适配如此宽泛的生理分布。</w:t>
      </w:r>
    </w:p>
    <w:p w14:paraId="5CC0A10D">
      <w:pPr>
        <w:pStyle w:val="56"/>
      </w:pPr>
      <w:r>
        <w:rPr>
          <w:rFonts w:hint="eastAsia" w:eastAsia="宋体"/>
          <w:lang w:val="en-US" w:eastAsia="zh-CN"/>
        </w:rPr>
        <w:t>Data Standardization</w:t>
      </w:r>
    </w:p>
    <w:p w14:paraId="2892F11C">
      <w:pPr>
        <w:pStyle w:val="61"/>
        <w:spacing w:before="312" w:after="312"/>
        <w:ind w:firstLine="480"/>
        <w:rPr>
          <w:rFonts w:hint="eastAsia"/>
        </w:rPr>
      </w:pPr>
      <w:r>
        <w:rPr>
          <w:rFonts w:hint="eastAsia"/>
        </w:rPr>
        <w:t>原始 CGM 数据通常以杂乱的 CSV 或 Excel 格式存储，且不同研究的列名定义（如 `GlucoseValue` vs `gl`）、时间格式（Unix 时间戳 vs ISO 8601）以及血糖单位（mmol/L vs mg/dL）各不相同。为了构建可供深度学习模型直接读取的张量输入，本研究设计并实现了一套标准化的数据预处理流水线。</w:t>
      </w:r>
    </w:p>
    <w:p w14:paraId="5284E93B">
      <w:pPr>
        <w:pStyle w:val="61"/>
        <w:spacing w:before="312" w:after="312"/>
        <w:ind w:firstLine="480"/>
        <w:rPr>
          <w:rFonts w:hint="eastAsia"/>
        </w:rPr>
      </w:pPr>
      <w:r>
        <w:rPr>
          <w:rFonts w:hint="eastAsia"/>
        </w:rPr>
        <w:t>1.  字段对齐：将所有原始字段统一映射为标准化的四元组：{id, time, gl, age, bmi}。</w:t>
      </w:r>
    </w:p>
    <w:p w14:paraId="121BE0B1">
      <w:pPr>
        <w:pStyle w:val="61"/>
        <w:spacing w:before="312" w:after="312"/>
        <w:ind w:firstLine="480"/>
        <w:rPr>
          <w:rFonts w:hint="eastAsia"/>
        </w:rPr>
      </w:pPr>
      <w:r>
        <w:rPr>
          <w:rFonts w:hint="eastAsia"/>
        </w:rPr>
        <w:t>2.  单位标准化：考虑到国际临床研究中 mg/dL 的通用性，本研究将所有以 mmol/L 为单位的数据统一乘以 18.018 进行换算。</w:t>
      </w:r>
    </w:p>
    <w:p w14:paraId="68C651A3">
      <w:pPr>
        <w:pStyle w:val="61"/>
        <w:spacing w:before="312" w:after="312"/>
        <w:ind w:firstLine="480"/>
        <w:rPr>
          <w:rFonts w:hint="eastAsia"/>
        </w:rPr>
      </w:pPr>
      <w:r>
        <w:rPr>
          <w:rFonts w:hint="eastAsia"/>
        </w:rPr>
        <w:t>3.  全局 ID 重新编号：为了在多中心数据融合时保持唯一性，本研究对 Colas 数据</w:t>
      </w:r>
      <w:r>
        <w:rPr>
          <w:rFonts w:hint="eastAsia" w:eastAsia="宋体"/>
          <w:lang w:val="en-US" w:eastAsia="zh-CN"/>
        </w:rPr>
        <w:t>集、</w:t>
      </w:r>
      <w:r>
        <w:rPr>
          <w:rFonts w:hint="eastAsia"/>
        </w:rPr>
        <w:t>Hall 数据集</w:t>
      </w:r>
      <w:r>
        <w:rPr>
          <w:rFonts w:hint="eastAsia" w:eastAsia="宋体"/>
          <w:lang w:val="en-US" w:eastAsia="zh-CN"/>
        </w:rPr>
        <w:t>和</w:t>
      </w:r>
      <w:r>
        <w:rPr>
          <w:rFonts w:hint="eastAsia"/>
        </w:rPr>
        <w:t>OhioT1DM数据集</w:t>
      </w:r>
      <w:r>
        <w:rPr>
          <w:rFonts w:hint="eastAsia" w:eastAsia="宋体"/>
          <w:lang w:val="en-US" w:eastAsia="zh-CN"/>
        </w:rPr>
        <w:t>重新</w:t>
      </w:r>
      <w:r>
        <w:rPr>
          <w:rFonts w:hint="eastAsia"/>
        </w:rPr>
        <w:t>编</w:t>
      </w:r>
      <w:r>
        <w:rPr>
          <w:rFonts w:hint="eastAsia" w:eastAsia="宋体"/>
          <w:lang w:val="en-US" w:eastAsia="zh-CN"/>
        </w:rPr>
        <w:t>号，保证受试者编号的唯一性</w:t>
      </w:r>
      <w:r>
        <w:rPr>
          <w:rFonts w:hint="eastAsia"/>
        </w:rPr>
        <w:t>。</w:t>
      </w:r>
    </w:p>
    <w:p w14:paraId="57655BD7">
      <w:pPr>
        <w:pStyle w:val="61"/>
        <w:spacing w:before="312" w:after="312"/>
        <w:ind w:firstLine="480"/>
        <w:rPr>
          <w:rFonts w:hint="eastAsia"/>
        </w:rPr>
      </w:pPr>
      <w:r>
        <w:rPr>
          <w:rFonts w:hint="eastAsia"/>
        </w:rPr>
        <w:t>虽然</w:t>
      </w:r>
      <w:r>
        <w:rPr>
          <w:rFonts w:hint="eastAsia" w:eastAsia="宋体"/>
          <w:lang w:val="en-US" w:eastAsia="zh-CN"/>
        </w:rPr>
        <w:t>这几个</w:t>
      </w:r>
      <w:r>
        <w:rPr>
          <w:rFonts w:hint="eastAsia"/>
        </w:rPr>
        <w:t>数据集的标称采样频率均为 5 分钟，但在实际采集过程中，由于传感器内部处理延迟或系统休眠，实际采样间隔往往在 4.8 到 5.2 分钟之间波动。这种非等间距的时间序列会干扰神经网络模型（RNN等）对时间步长的感知。</w:t>
      </w:r>
    </w:p>
    <w:p w14:paraId="29E20301">
      <w:pPr>
        <w:pStyle w:val="61"/>
        <w:spacing w:before="312" w:after="312"/>
        <w:ind w:firstLine="480"/>
        <w:rPr>
          <w:rFonts w:hint="eastAsia"/>
        </w:rPr>
      </w:pPr>
      <w:r>
        <w:rPr>
          <w:rFonts w:hint="eastAsia"/>
        </w:rPr>
        <w:t>本研究采用了线性重采样（Linear Resampling）技术，以严格的 5 分钟为步长对原始序列进行插值对齐。对于重采样过程中出现的微小时间偏移，通过线性加权确保了信号在频域上的失真最小化。</w:t>
      </w:r>
    </w:p>
    <w:p w14:paraId="65DAAD71">
      <w:pPr>
        <w:pStyle w:val="61"/>
        <w:spacing w:before="312" w:after="312"/>
        <w:ind w:firstLine="480"/>
        <w:rPr>
          <w:rFonts w:hint="eastAsia"/>
        </w:rPr>
      </w:pPr>
      <w:r>
        <w:rPr>
          <w:rFonts w:hint="eastAsia"/>
        </w:rPr>
        <w:t>在连续血糖监测（CGM）的实际应用中，数据缺失是不可避免的常见问题。传感器信号丢失、校准中断、设备脱落或无线传输故障均会导致时间序列中出现不同程度的空白 [23]。对于依赖时间连续性的深度学习模型（如 LSTM, RNN）而言，不恰当的缺失值处理（如直接剔除或简单均值填充）会破坏时序依赖关系，引入严重的预测偏差 [24]。因此，本研究基于相关文献 [23][25]，制定了分级处理策略，旨在最大程度保留有效数据的同时，确保输入信号的生理真实性。</w:t>
      </w:r>
    </w:p>
    <w:p w14:paraId="29FD71B3">
      <w:pPr>
        <w:pStyle w:val="61"/>
        <w:spacing w:before="312" w:after="312"/>
        <w:ind w:firstLine="480"/>
        <w:rPr>
          <w:rFonts w:hint="eastAsia"/>
        </w:rPr>
      </w:pPr>
      <w:r>
        <w:rPr>
          <w:rFonts w:hint="eastAsia"/>
        </w:rPr>
        <w:t>根据缺失持续时间的长短，我们将数据缺口（Gap）分为两类，并设定 15分钟（即 3 个连续采样点）作为处理阈值。这一阈值的设定参考了 Martinsson 等人 [25] 的研究，其指出在短时间内血糖变化通常具有较高的自相关性，插值误差可控；而超过该阈值后，饮食或运动等外部因素可能导致血糖发生非线性剧烈波动，插值不再可靠。</w:t>
      </w:r>
    </w:p>
    <w:p w14:paraId="54FA423A">
      <w:pPr>
        <w:pStyle w:val="61"/>
        <w:spacing w:before="312" w:after="312"/>
        <w:ind w:firstLine="480"/>
        <w:rPr>
          <w:rFonts w:hint="eastAsia"/>
        </w:rPr>
      </w:pPr>
      <w:r>
        <w:rPr>
          <w:rFonts w:hint="eastAsia"/>
        </w:rPr>
        <w:t>对于长度 ≤ 15 分钟的短缺口，本研究采用 三次样条插值（Cubic Spline Interpolation） 进行填补。</w:t>
      </w:r>
    </w:p>
    <w:p w14:paraId="561DF932">
      <w:pPr>
        <w:pStyle w:val="61"/>
        <w:spacing w:before="312" w:after="312"/>
        <w:ind w:firstLine="480"/>
        <w:rPr>
          <w:rFonts w:hint="eastAsia"/>
        </w:rPr>
      </w:pPr>
      <w:r>
        <w:rPr>
          <w:rFonts w:hint="eastAsia"/>
        </w:rPr>
        <w:t>相比于简单的线性插值，三次样条插值能够保证插值曲线的一阶和二阶导数连续，从而更好地拟合血糖波动的平滑特性，避免在波峰或波谷处产生不自然的折角 [23]。这对于基于梯度的神经网络训练尤为重要，有助于模型捕捉更准确的血糖变化率特征。</w:t>
      </w:r>
    </w:p>
    <w:p w14:paraId="2754EA11">
      <w:pPr>
        <w:pStyle w:val="61"/>
        <w:spacing w:before="312" w:after="312"/>
        <w:ind w:firstLine="480"/>
        <w:rPr>
          <w:rFonts w:hint="eastAsia"/>
        </w:rPr>
      </w:pPr>
      <w:r>
        <w:rPr>
          <w:rFonts w:hint="eastAsia"/>
        </w:rPr>
        <w:t>对于长度 &gt; 15 分钟的长缺口，本研究严禁进行插值填充，以防止引入虚假数据（Artifacts）。我们采取 序列分段 策略：</w:t>
      </w:r>
    </w:p>
    <w:p w14:paraId="039DD313">
      <w:pPr>
        <w:pStyle w:val="61"/>
        <w:spacing w:before="312" w:after="312"/>
        <w:ind w:firstLine="480"/>
        <w:rPr>
          <w:rFonts w:hint="eastAsia"/>
        </w:rPr>
      </w:pPr>
      <w:r>
        <w:rPr>
          <w:rFonts w:hint="eastAsia"/>
        </w:rPr>
        <w:t>1.  以长缺口为断点，将原始长序列切分为多个独立的连续子序列（Sub-sequences）。</w:t>
      </w:r>
    </w:p>
    <w:p w14:paraId="6413AE01">
      <w:pPr>
        <w:pStyle w:val="61"/>
        <w:spacing w:before="312" w:after="312"/>
        <w:ind w:firstLine="480"/>
        <w:rPr>
          <w:rFonts w:hint="eastAsia"/>
        </w:rPr>
      </w:pPr>
      <w:r>
        <w:rPr>
          <w:rFonts w:hint="eastAsia"/>
        </w:rPr>
        <w:t>2.  对切分后的子序列进行长度筛选，剔除长度不足 6小时（72 个数据点）的碎片片段。设定 6 小时阈值是为了确保每个样本都能提供足够的历史上下文（History Window）用于构建滑动窗口输入，同时保证模型能学习到完整的餐后血糖波动模式。</w:t>
      </w:r>
    </w:p>
    <w:p w14:paraId="04236727">
      <w:pPr>
        <w:pStyle w:val="61"/>
        <w:spacing w:before="312" w:after="312"/>
        <w:ind w:firstLine="480"/>
        <w:rPr>
          <w:rFonts w:hint="eastAsia"/>
        </w:rPr>
      </w:pPr>
      <w:r>
        <w:rPr>
          <w:rFonts w:hint="eastAsia"/>
        </w:rPr>
        <w:t>通过上述策略，我们有效解决了原始数据中的不连续问题。相比于直接剔除含有缺失值的受试者（这将导致大量宝贵数据流失），分段策略显著提高了数据的利用率。最终构建的数据集由一系列严格连续、等间隔（5分钟）且长度满足建模要求的血糖片段组成，为后续的深度学习模型训练提供了高质量的数据基础。</w:t>
      </w:r>
    </w:p>
    <w:p w14:paraId="01834565">
      <w:pPr>
        <w:sectPr>
          <w:pgSz w:w="11906" w:h="16838"/>
          <w:pgMar w:top="1418" w:right="1985" w:bottom="1418" w:left="1985" w:header="851" w:footer="992" w:gutter="0"/>
          <w:cols w:space="425" w:num="1"/>
          <w:titlePg/>
          <w:docGrid w:type="lines" w:linePitch="312" w:charSpace="0"/>
        </w:sectPr>
      </w:pPr>
    </w:p>
    <w:p w14:paraId="64CEAB2E">
      <w:pPr>
        <w:pStyle w:val="55"/>
        <w:wordWrap w:val="0"/>
        <w:rPr>
          <w:u w:val="none"/>
        </w:rPr>
      </w:pPr>
      <w:r>
        <w:rPr>
          <w:u w:val="none"/>
        </w:rPr>
        <w:br w:type="textWrapping"/>
      </w:r>
      <w:r>
        <w:rPr>
          <w:rFonts w:hint="eastAsia" w:eastAsia="宋体"/>
          <w:u w:val="none"/>
          <w:lang w:val="en-US" w:eastAsia="zh-CN"/>
        </w:rPr>
        <w:t>Data Filter</w:t>
      </w:r>
    </w:p>
    <w:p w14:paraId="59268376">
      <w:pPr>
        <w:pStyle w:val="56"/>
        <w:rPr>
          <w:rFonts w:hint="eastAsia"/>
        </w:rPr>
      </w:pPr>
      <w:r>
        <w:rPr>
          <w:rFonts w:hint="eastAsia" w:eastAsia="宋体"/>
          <w:lang w:val="en-US" w:eastAsia="zh-CN"/>
        </w:rPr>
        <w:t>Noise Analysis</w:t>
      </w:r>
    </w:p>
    <w:p w14:paraId="32730517">
      <w:pPr>
        <w:pStyle w:val="61"/>
        <w:spacing w:before="312" w:after="312"/>
        <w:ind w:firstLine="480"/>
        <w:rPr>
          <w:rFonts w:hint="eastAsia"/>
        </w:rPr>
      </w:pPr>
      <w:r>
        <w:rPr>
          <w:rFonts w:hint="eastAsia"/>
        </w:rPr>
        <w:t>连续血糖监测（CGM）系统虽然为糖尿病管理提供了革命性的技术支持，但其数据质量并非完美无缺。CGM传感器输出的信号中不可避免地叠加了各类噪声成分，这些噪声的存在会对后续的血糖预测模型产生显著的负面影响 [26]。理解噪声的来源与特性，是设计有效滤波策略的前提。</w:t>
      </w:r>
    </w:p>
    <w:p w14:paraId="14A0F0A4">
      <w:pPr>
        <w:pStyle w:val="61"/>
        <w:spacing w:before="312" w:after="312"/>
        <w:ind w:firstLine="480"/>
        <w:rPr>
          <w:rFonts w:hint="eastAsia"/>
        </w:rPr>
      </w:pPr>
      <w:r>
        <w:rPr>
          <w:rFonts w:hint="eastAsia"/>
        </w:rPr>
        <w:t>从物理机制角度分析，CGM信号的噪声主要来源于以下几个方面：</w:t>
      </w:r>
    </w:p>
    <w:p w14:paraId="3B7D9E46">
      <w:pPr>
        <w:pStyle w:val="61"/>
        <w:spacing w:before="312" w:after="312"/>
        <w:ind w:firstLine="480"/>
        <w:rPr>
          <w:rFonts w:hint="eastAsia"/>
        </w:rPr>
      </w:pPr>
      <w:r>
        <w:rPr>
          <w:rFonts w:hint="eastAsia"/>
        </w:rPr>
        <w:t>（1）电化学传感器固有噪声</w:t>
      </w:r>
    </w:p>
    <w:p w14:paraId="36A12A63">
      <w:pPr>
        <w:pStyle w:val="61"/>
        <w:spacing w:before="312" w:after="312"/>
        <w:ind w:firstLine="480"/>
        <w:rPr>
          <w:rFonts w:hint="eastAsia"/>
        </w:rPr>
      </w:pPr>
      <w:r>
        <w:rPr>
          <w:rFonts w:hint="eastAsia"/>
        </w:rPr>
        <w:t>CGM传感器基于葡萄糖氧化酶的电化学反应原理工作，传感器电极表面的化学反应过程本身存在随机波动 [27]。葡萄糖分子在酶电极表面的氧化还原反应产生的电流信号具有统计涨落特性，这是传感器本征噪声的主要来源。此外，电极材料的老化、酶活性的衰减以及电解质浓度的变化，都会导致传感器灵敏度随时间漂移（Sensitivity Drift），表现为低频的基线漂移噪声 [28]。</w:t>
      </w:r>
    </w:p>
    <w:p w14:paraId="26F45BD9">
      <w:pPr>
        <w:pStyle w:val="61"/>
        <w:spacing w:before="312" w:after="312"/>
        <w:ind w:firstLine="480"/>
        <w:rPr>
          <w:rFonts w:hint="eastAsia"/>
        </w:rPr>
      </w:pPr>
      <w:r>
        <w:rPr>
          <w:rFonts w:hint="eastAsia"/>
        </w:rPr>
        <w:t>（2）生理延迟与动态误差</w:t>
      </w:r>
    </w:p>
    <w:p w14:paraId="563BF9A6">
      <w:pPr>
        <w:pStyle w:val="61"/>
        <w:spacing w:before="312" w:after="312"/>
        <w:ind w:firstLine="480"/>
        <w:rPr>
          <w:rFonts w:hint="eastAsia"/>
        </w:rPr>
      </w:pPr>
      <w:r>
        <w:rPr>
          <w:rFonts w:hint="eastAsia"/>
        </w:rPr>
        <w:t>CGM传感器测量的是皮下组织间液（Interstitial Fluid, ISF）中的葡萄糖浓度，而非血液中的直接浓度。葡萄糖从血液扩散至组织间液存在5-15分钟的生理延迟（Physiological Lag）[29]。当血糖发生快速变化（如餐后血糖急剧上升或胰岛素注射后快速下降）时，CGM读数与真实血糖值之间会出现显著的动态误差。这种误差虽然本质上是系统性偏差，但在时间序列分析中常被视为噪声成分 [30]。</w:t>
      </w:r>
    </w:p>
    <w:p w14:paraId="715269B7">
      <w:pPr>
        <w:pStyle w:val="61"/>
        <w:spacing w:before="312" w:after="312"/>
        <w:ind w:firstLine="480"/>
        <w:rPr>
          <w:rFonts w:hint="eastAsia"/>
        </w:rPr>
      </w:pPr>
      <w:r>
        <w:rPr>
          <w:rFonts w:hint="eastAsia"/>
        </w:rPr>
        <w:t>（3）运动伪迹与压力干扰</w:t>
      </w:r>
    </w:p>
    <w:p w14:paraId="576A0E05">
      <w:pPr>
        <w:pStyle w:val="61"/>
        <w:spacing w:before="312" w:after="312"/>
        <w:ind w:firstLine="480"/>
        <w:rPr>
          <w:rFonts w:hint="eastAsia"/>
        </w:rPr>
      </w:pPr>
    </w:p>
    <w:p w14:paraId="74E3158A">
      <w:pPr>
        <w:pStyle w:val="61"/>
        <w:spacing w:before="312" w:after="312"/>
        <w:ind w:firstLine="480"/>
        <w:rPr>
          <w:rFonts w:hint="eastAsia"/>
        </w:rPr>
      </w:pPr>
      <w:r>
        <w:rPr>
          <w:rFonts w:hint="eastAsia"/>
        </w:rPr>
        <w:t>受试者的身体运动会导致传感器与皮下组织的相对位移，造成瞬时的测量异常，称为运动伪迹（Motion Artifact）[31]。更为常见的是压力诱导的传感器衰减（Pressure-Induced Sensor Attenuation, PISA）现象，当受试者长时间压迫传感器佩戴部位（如侧卧睡眠时）时，局部组织血流受阻，导致CGM读数异常降低，形成虚假的低血糖事件 [32]。这类噪声具有明显的非平稳特性，且与受试者的行为模式密切相关。</w:t>
      </w:r>
    </w:p>
    <w:p w14:paraId="0EE061B9">
      <w:pPr>
        <w:pStyle w:val="61"/>
        <w:spacing w:before="312" w:after="312"/>
        <w:ind w:firstLine="480"/>
        <w:rPr>
          <w:rFonts w:hint="eastAsia"/>
        </w:rPr>
      </w:pPr>
      <w:r>
        <w:rPr>
          <w:rFonts w:hint="eastAsia"/>
        </w:rPr>
        <w:t>（4）电子系统热噪声与量化误差</w:t>
      </w:r>
    </w:p>
    <w:p w14:paraId="677B3E86">
      <w:pPr>
        <w:pStyle w:val="61"/>
        <w:spacing w:before="312" w:after="312"/>
        <w:ind w:firstLine="480"/>
        <w:rPr>
          <w:rFonts w:hint="eastAsia"/>
        </w:rPr>
      </w:pPr>
      <w:r>
        <w:rPr>
          <w:rFonts w:hint="eastAsia"/>
        </w:rPr>
        <w:t>传感器信号在经过模数转换（ADC）和无线传输过程中，会引入电子系统的热噪声和量化误差。虽然现代CGM设备的电子电路设计已高度成熟，这部分噪声的贡献相对较小，但在低信噪比条件下仍不可忽视 [26]。</w:t>
      </w:r>
    </w:p>
    <w:p w14:paraId="7EA3CFFA">
      <w:pPr>
        <w:pStyle w:val="61"/>
        <w:spacing w:before="312" w:after="312"/>
        <w:ind w:firstLine="480"/>
        <w:rPr>
          <w:rFonts w:hint="eastAsia"/>
        </w:rPr>
      </w:pPr>
      <w:r>
        <w:rPr>
          <w:rFonts w:hint="eastAsia"/>
        </w:rPr>
        <w:t xml:space="preserve">为了量化CGM信号中的噪声水平，本研究采用了多个统计指标进行综合评估。设原始CGM序列为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sSubSup>
      </m:oMath>
      <w:r>
        <w:rPr>
          <w:rFonts w:hint="eastAsia"/>
        </w:rPr>
        <w:t xml:space="preserve">，其中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表示第  </w:t>
      </w:r>
      <m:oMath>
        <m:r>
          <m:rPr/>
          <w:rPr>
            <w:rFonts w:hint="default" w:ascii="Cambria Math" w:hAnsi="Cambria Math"/>
            <w:sz w:val="24"/>
          </w:rPr>
          <m:t>k</m:t>
        </m:r>
      </m:oMath>
      <w:r>
        <w:rPr>
          <w:rFonts w:hint="eastAsia"/>
        </w:rPr>
        <w:t xml:space="preserve">  个采样点的血糖读数，采样间隔为  </w:t>
      </w:r>
      <m:oMath>
        <m:r>
          <m:rPr>
            <m:sty m:val="p"/>
          </m:rPr>
          <w:rPr>
            <w:rFonts w:hint="default" w:ascii="Cambria Math" w:hAnsi="Cambria Math"/>
            <w:sz w:val="24"/>
          </w:rPr>
          <m:t>Δ</m:t>
        </m:r>
        <m:r>
          <m:rPr/>
          <w:rPr>
            <w:rFonts w:hint="default" w:ascii="Cambria Math" w:hAnsi="Cambria Math"/>
            <w:sz w:val="24"/>
          </w:rPr>
          <m:t>t=5</m:t>
        </m:r>
      </m:oMath>
      <w:r>
        <w:rPr>
          <w:rFonts w:hint="eastAsia"/>
        </w:rPr>
        <w:t xml:space="preserve">  分钟。</w:t>
      </w:r>
    </w:p>
    <w:p w14:paraId="4BB6805D">
      <w:pPr>
        <w:pStyle w:val="61"/>
        <w:spacing w:before="312" w:after="312"/>
        <w:ind w:firstLine="480"/>
        <w:rPr>
          <w:rFonts w:hint="eastAsia"/>
        </w:rPr>
      </w:pPr>
      <w:r>
        <w:rPr>
          <w:rFonts w:hint="eastAsia"/>
        </w:rPr>
        <w:t>（1）一阶差分标准差（Noise Standard Deviation）</w:t>
      </w:r>
    </w:p>
    <w:p w14:paraId="44BD72B1">
      <w:pPr>
        <w:pStyle w:val="61"/>
        <w:spacing w:before="312" w:after="312"/>
        <w:ind w:firstLine="480"/>
        <w:rPr>
          <w:rFonts w:hint="eastAsia"/>
        </w:rPr>
      </w:pPr>
      <w:r>
        <w:rPr>
          <w:rFonts w:hint="eastAsia"/>
        </w:rPr>
        <w:t>相邻采样点的一阶差分可以有效分离高频噪声成分与低频血糖趋势：</w:t>
      </w:r>
    </w:p>
    <w:p w14:paraId="0CBA61EA">
      <w:pPr>
        <w:pStyle w:val="61"/>
        <w:spacing w:before="312" w:after="312"/>
        <w:ind w:firstLine="480"/>
        <w:rPr>
          <w:rFonts w:hint="eastAsia"/>
        </w:rPr>
      </w:pPr>
      <m:oMathPara>
        <m:oMath>
          <m:r>
            <m:rPr>
              <m:sty m:val="p"/>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p w14:paraId="5D5987D3">
      <w:pPr>
        <w:pStyle w:val="61"/>
        <w:spacing w:before="312" w:after="312"/>
        <w:ind w:firstLine="480"/>
        <w:rPr>
          <w:rFonts w:hint="eastAsia"/>
        </w:rPr>
      </w:pPr>
      <w:r>
        <w:rPr>
          <w:rFonts w:hint="eastAsia"/>
        </w:rPr>
        <w:t>噪声标准差定义为：</w:t>
      </w:r>
    </w:p>
    <w:p w14:paraId="55C3E73E">
      <w:pPr>
        <w:pStyle w:val="61"/>
        <w:spacing w:before="312" w:after="312"/>
        <w:ind w:firstLine="480"/>
        <w:rPr>
          <w:rFonts w:hint="eastAsia"/>
        </w:rPr>
      </w:pPr>
      <m:oMathPara>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noise</m:t>
              </m:r>
              <m:ctrlPr>
                <w:rPr>
                  <w:rFonts w:ascii="Cambria Math" w:hAnsi="Cambria Math"/>
                  <w:sz w:val="24"/>
                </w:rPr>
              </m:ctrlPr>
            </m:sub>
          </m:sSub>
          <m:r>
            <m:rPr/>
            <w:rPr>
              <w:rFonts w:hint="default" w:ascii="Cambria Math" w:hAnsi="Cambria Math"/>
              <w:sz w:val="24"/>
            </w:rPr>
            <m:t>=std(</m:t>
          </m:r>
          <m:r>
            <m:rPr>
              <m:sty m:val="p"/>
            </m:rPr>
            <w:rPr>
              <w:rFonts w:hint="default" w:ascii="Cambria Math" w:hAnsi="Cambria Math"/>
              <w:sz w:val="24"/>
            </w:rPr>
            <m:t>Δ</m:t>
          </m:r>
          <m:r>
            <m:rPr/>
            <w:rPr>
              <w:rFonts w:hint="default" w:ascii="Cambria Math" w:hAnsi="Cambria Math"/>
              <w:sz w:val="24"/>
            </w:rPr>
            <m:t>g)=</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N−1</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N−1</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r>
                <m:rPr>
                  <m:sty m:val="p"/>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acc>
                <m:accPr>
                  <m:chr m:val="̄"/>
                  <m:ctrlPr>
                    <w:rPr>
                      <w:rFonts w:hint="default" w:ascii="Cambria Math" w:hAnsi="Cambria Math"/>
                      <w:sz w:val="24"/>
                    </w:rPr>
                  </m:ctrlPr>
                </m:accPr>
                <m:e>
                  <m:r>
                    <m:rPr>
                      <m:sty m:val="p"/>
                    </m:rPr>
                    <w:rPr>
                      <w:rFonts w:hint="default" w:ascii="Cambria Math" w:hAnsi="Cambria Math"/>
                      <w:sz w:val="24"/>
                    </w:rPr>
                    <m:t>Δ</m:t>
                  </m:r>
                  <m:r>
                    <m:rPr/>
                    <w:rPr>
                      <w:rFonts w:hint="default" w:ascii="Cambria Math" w:hAnsi="Cambria Math"/>
                      <w:sz w:val="24"/>
                    </w:rPr>
                    <m:t>g</m:t>
                  </m:r>
                  <m:ctrlPr>
                    <w:rPr>
                      <w:rFonts w:ascii="Cambria Math" w:hAnsi="Cambria Math"/>
                      <w:sz w:val="24"/>
                    </w:rPr>
                  </m:ctrlPr>
                </m:e>
              </m:acc>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e>
          </m:rad>
        </m:oMath>
      </m:oMathPara>
    </w:p>
    <w:p w14:paraId="61714A57">
      <w:pPr>
        <w:pStyle w:val="61"/>
        <w:spacing w:before="312" w:after="312"/>
        <w:ind w:firstLine="480"/>
        <w:rPr>
          <w:rFonts w:hint="eastAsia"/>
        </w:rPr>
      </w:pPr>
      <w:r>
        <w:rPr>
          <w:rFonts w:hint="eastAsia"/>
        </w:rPr>
        <w:t>该指标反映了信号在5分钟时间尺度上的随机波动强度。在健康人群中，血糖变化率通常小于</w:t>
      </w:r>
      <m:oMath>
        <m:r>
          <m:rPr/>
          <w:rPr>
            <w:rFonts w:hint="default" w:ascii="Cambria Math" w:hAnsi="Cambria Math"/>
            <w:sz w:val="24"/>
          </w:rPr>
          <m:t>2−3mg/dL/5min</m:t>
        </m:r>
      </m:oMath>
      <w:r>
        <w:rPr>
          <w:rFonts w:hint="eastAsia"/>
        </w:rPr>
        <w:t xml:space="preserve"> [33]，超过该阈值的变化往往归因于测量噪声或异常生理事件。</w:t>
      </w:r>
    </w:p>
    <w:p w14:paraId="409A9712">
      <w:pPr>
        <w:pStyle w:val="61"/>
        <w:spacing w:before="312" w:after="312"/>
        <w:ind w:firstLine="480"/>
        <w:rPr>
          <w:rFonts w:hint="eastAsia"/>
        </w:rPr>
      </w:pPr>
      <w:r>
        <w:rPr>
          <w:rFonts w:hint="eastAsia"/>
        </w:rPr>
        <w:t>（2）信噪比（Signal-to-Noise Ratio, SNR）</w:t>
      </w:r>
    </w:p>
    <w:p w14:paraId="74D71E7A">
      <w:pPr>
        <w:pStyle w:val="61"/>
        <w:spacing w:before="312" w:after="312"/>
        <w:ind w:firstLine="480"/>
        <w:rPr>
          <w:rFonts w:hint="eastAsia"/>
        </w:rPr>
      </w:pPr>
      <w:r>
        <w:rPr>
          <w:rFonts w:hint="eastAsia"/>
        </w:rPr>
        <w:t>信噪比是评估信号质量的经典指标，本研究定义为信号标准差与噪声标准差之比：</w:t>
      </w:r>
    </w:p>
    <w:p w14:paraId="48990AFD">
      <w:pPr>
        <w:pStyle w:val="61"/>
        <w:spacing w:before="312" w:after="312"/>
        <w:ind w:firstLine="480"/>
        <w:rPr>
          <w:rFonts w:hint="eastAsia"/>
        </w:rPr>
      </w:pPr>
      <m:oMathPara>
        <m:oMath>
          <m:r>
            <m:rPr/>
            <w:rPr>
              <w:rFonts w:hint="default" w:ascii="Cambria Math" w:hAnsi="Cambria Math"/>
              <w:sz w:val="24"/>
            </w:rPr>
            <m:t>SNR=</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signal</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noise</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std(g)</m:t>
              </m:r>
              <m:ctrlPr>
                <w:rPr>
                  <w:rFonts w:hint="default" w:ascii="Cambria Math" w:hAnsi="Cambria Math"/>
                  <w:sz w:val="24"/>
                </w:rPr>
              </m:ctrlPr>
            </m:num>
            <m:den>
              <m:r>
                <m:rPr/>
                <w:rPr>
                  <w:rFonts w:hint="default" w:ascii="Cambria Math" w:hAnsi="Cambria Math"/>
                  <w:sz w:val="24"/>
                </w:rPr>
                <m:t>std(</m:t>
              </m:r>
              <m:r>
                <m:rPr>
                  <m:sty m:val="p"/>
                </m:rPr>
                <w:rPr>
                  <w:rFonts w:hint="default" w:ascii="Cambria Math" w:hAnsi="Cambria Math"/>
                  <w:sz w:val="24"/>
                </w:rPr>
                <m:t>Δ</m:t>
              </m:r>
              <m:r>
                <m:rPr/>
                <w:rPr>
                  <w:rFonts w:hint="default" w:ascii="Cambria Math" w:hAnsi="Cambria Math"/>
                  <w:sz w:val="24"/>
                </w:rPr>
                <m:t>g)</m:t>
              </m:r>
              <m:ctrlPr>
                <w:rPr>
                  <w:rFonts w:hint="default" w:ascii="Cambria Math" w:hAnsi="Cambria Math"/>
                  <w:sz w:val="24"/>
                </w:rPr>
              </m:ctrlPr>
            </m:den>
          </m:f>
        </m:oMath>
      </m:oMathPara>
    </w:p>
    <w:p w14:paraId="7BBA0061">
      <w:pPr>
        <w:pStyle w:val="61"/>
        <w:spacing w:before="312" w:after="312"/>
        <w:ind w:firstLine="480"/>
        <w:rPr>
          <w:rFonts w:hint="eastAsia"/>
        </w:rPr>
      </w:pPr>
      <w:r>
        <w:rPr>
          <w:rFonts w:hint="eastAsia"/>
        </w:rPr>
        <w:t xml:space="preserve">其中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signal</m:t>
            </m:r>
            <m:ctrlPr>
              <w:rPr>
                <w:rFonts w:ascii="Cambria Math" w:hAnsi="Cambria Math"/>
                <w:sz w:val="24"/>
              </w:rPr>
            </m:ctrlPr>
          </m:sub>
        </m:sSub>
      </m:oMath>
      <w:r>
        <w:rPr>
          <w:rFonts w:hint="eastAsia"/>
        </w:rPr>
        <w:t xml:space="preserve">  反映了血糖在整个监测期间的变异程度。SNR值越高，表明信号的真实变异成分相对于噪声成分越占主导地位。文献表明，当SNR低于10时，噪声将显著影响血糖预测模型的性能 [26]。</w:t>
      </w:r>
    </w:p>
    <w:p w14:paraId="4AAAC87D">
      <w:pPr>
        <w:pStyle w:val="61"/>
        <w:spacing w:before="312" w:after="312"/>
        <w:ind w:firstLine="480"/>
        <w:rPr>
          <w:rFonts w:hint="eastAsia"/>
        </w:rPr>
      </w:pPr>
      <w:r>
        <w:rPr>
          <w:rFonts w:hint="eastAsia"/>
        </w:rPr>
        <w:t>（3）异常跳变比例（Abnormal Change Ratio）</w:t>
      </w:r>
    </w:p>
    <w:p w14:paraId="1D398B31">
      <w:pPr>
        <w:pStyle w:val="61"/>
        <w:spacing w:before="312" w:after="312"/>
        <w:ind w:firstLine="480"/>
        <w:rPr>
          <w:rFonts w:hint="eastAsia"/>
        </w:rPr>
      </w:pPr>
      <w:r>
        <w:rPr>
          <w:rFonts w:hint="eastAsia"/>
        </w:rPr>
        <w:t>定义5分钟内血糖变化超过</w:t>
      </w:r>
      <m:oMath>
        <m:r>
          <m:rPr/>
          <w:rPr>
            <w:rFonts w:hint="default" w:ascii="Cambria Math" w:hAnsi="Cambria Math"/>
            <w:sz w:val="24"/>
          </w:rPr>
          <m:t>5mg/dL</m:t>
        </m:r>
      </m:oMath>
      <w:r>
        <w:rPr>
          <w:rFonts w:hint="eastAsia"/>
        </w:rPr>
        <w:t>为异常跳变事件：</w:t>
      </w:r>
    </w:p>
    <w:p w14:paraId="0F501B48">
      <w:pPr>
        <w:pStyle w:val="61"/>
        <w:spacing w:before="312" w:after="312"/>
        <w:ind w:firstLine="480"/>
        <w:rPr>
          <w:rFonts w:hint="eastAsia"/>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abnormal</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nary>
                <m:naryPr>
                  <m:chr m:val="∑"/>
                  <m:limLoc m:val="undOvr"/>
                  <m:ctrlPr>
                    <w:rPr>
                      <w:rFonts w:hint="default" w:ascii="Cambria Math" w:hAnsi="Cambria Math"/>
                      <w:i/>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N−1</m:t>
                  </m:r>
                  <m:ctrlPr>
                    <w:rPr>
                      <w:rFonts w:ascii="Cambria Math" w:hAnsi="Cambria Math"/>
                      <w:sz w:val="24"/>
                    </w:rPr>
                  </m:ctrlPr>
                </m:sup>
                <m:e>
                  <m:r>
                    <m:rPr>
                      <m:scr m:val="double-struck"/>
                    </m:rPr>
                    <w:rPr>
                      <w:rFonts w:hint="default" w:ascii="Cambria Math" w:hAnsi="Cambria Math" w:eastAsia="MS Mincho"/>
                      <w:sz w:val="24"/>
                    </w:rPr>
                    <m:t>1</m:t>
                  </m:r>
                  <m:ctrlPr>
                    <w:rPr>
                      <w:rFonts w:ascii="Cambria Math" w:hAnsi="Cambria Math"/>
                      <w:sz w:val="24"/>
                    </w:rPr>
                  </m:ctrlPr>
                </m:e>
              </m:nary>
              <m:r>
                <m:rPr/>
                <w:rPr>
                  <w:rFonts w:hint="default" w:ascii="Cambria Math" w:hAnsi="Cambria Math"/>
                  <w:sz w:val="24"/>
                </w:rPr>
                <m:t>(|</m:t>
              </m:r>
              <m:r>
                <m:rPr>
                  <m:sty m:val="p"/>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|&gt;5)</m:t>
              </m:r>
              <m:ctrlPr>
                <w:rPr>
                  <w:rFonts w:hint="default" w:ascii="Cambria Math" w:hAnsi="Cambria Math"/>
                  <w:sz w:val="24"/>
                </w:rPr>
              </m:ctrlPr>
            </m:num>
            <m:den>
              <m:r>
                <m:rPr/>
                <w:rPr>
                  <w:rFonts w:hint="default" w:ascii="Cambria Math" w:hAnsi="Cambria Math"/>
                  <w:sz w:val="24"/>
                </w:rPr>
                <m:t>N−1</m:t>
              </m:r>
              <m:ctrlPr>
                <w:rPr>
                  <w:rFonts w:hint="default" w:ascii="Cambria Math" w:hAnsi="Cambria Math"/>
                  <w:sz w:val="24"/>
                </w:rPr>
              </m:ctrlPr>
            </m:den>
          </m:f>
          <m:r>
            <m:rPr>
              <m:sty m:val="p"/>
            </m:rPr>
            <w:rPr>
              <w:rFonts w:hint="default" w:ascii="Cambria Math" w:hAnsi="Cambria Math"/>
              <w:sz w:val="24"/>
            </w:rPr>
            <m:t>×</m:t>
          </m:r>
          <m:r>
            <m:rPr/>
            <w:rPr>
              <w:rFonts w:hint="default" w:ascii="Cambria Math" w:hAnsi="Cambria Math"/>
              <w:sz w:val="24"/>
            </w:rPr>
            <m:t>100%</m:t>
          </m:r>
        </m:oMath>
      </m:oMathPara>
    </w:p>
    <w:p w14:paraId="781CDC5C">
      <w:pPr>
        <w:pStyle w:val="61"/>
        <w:spacing w:before="312" w:after="312"/>
        <w:ind w:firstLine="480"/>
        <w:rPr>
          <w:rFonts w:hint="eastAsia"/>
        </w:rPr>
      </w:pPr>
      <w:r>
        <w:rPr>
          <w:rFonts w:hint="eastAsia"/>
        </w:rPr>
        <w:t>该指标反映了信号中可能由噪声或设备故障引起的极端变化事件的发生频率。在正常生理条件下，该比例通常低于10% [34]。</w:t>
      </w:r>
    </w:p>
    <w:p w14:paraId="18AF443B">
      <w:pPr>
        <w:pStyle w:val="61"/>
        <w:spacing w:before="312" w:after="312"/>
        <w:ind w:firstLine="480"/>
        <w:rPr>
          <w:rFonts w:hint="eastAsia"/>
        </w:rPr>
      </w:pPr>
      <w:r>
        <w:rPr>
          <w:rFonts w:hint="eastAsia"/>
        </w:rPr>
        <w:t>基于上述指标体系，本研究对整合后的CGM数据集（共</w:t>
      </w:r>
      <w:r>
        <w:rPr>
          <w:rFonts w:hint="eastAsia" w:eastAsia="宋体"/>
          <w:lang w:eastAsia="zh-CN"/>
        </w:rPr>
        <w:t>174</w:t>
      </w:r>
      <w:r>
        <w:rPr>
          <w:rFonts w:hint="eastAsia"/>
        </w:rPr>
        <w:t>名受试者）进行了系统的噪声评估。评估流程如下：对每个受试者的连续血糖序列计算三项噪声指标</w:t>
      </w:r>
      <w:r>
        <w:rPr>
          <w:rFonts w:hint="eastAsia" w:eastAsia="宋体"/>
          <w:lang w:val="en-US" w:eastAsia="zh-CN"/>
        </w:rPr>
        <w:t>,平均噪声、SNR和异常跳变比例</w:t>
      </w:r>
      <w:r>
        <w:rPr>
          <w:rFonts w:hint="eastAsia"/>
        </w:rPr>
        <w:t>，并基于预设阈值判断是否需要滤波处理。</w:t>
      </w:r>
    </w:p>
    <w:p w14:paraId="4A6DA63F">
      <w:pPr>
        <w:pStyle w:val="61"/>
        <w:spacing w:before="312" w:after="312"/>
        <w:ind w:firstLine="480"/>
        <w:rPr>
          <w:rFonts w:hint="default"/>
          <w:lang w:val="en-US" w:eastAsia="zh-CN"/>
        </w:rPr>
      </w:pPr>
      <w:r>
        <w:rPr>
          <w:rFonts w:hint="eastAsia"/>
          <w:lang w:val="en-US" w:eastAsia="zh-CN"/>
        </w:rPr>
        <w:t>其中异常跳变比例在血糖数据中是非常重要的衡量标准，因为据大量实验显示，人的血糖变化相对平缓，变化速率通常低于</w:t>
      </w:r>
      <m:oMath>
        <m:r>
          <m:rPr>
            <m:sty m:val="p"/>
          </m:rPr>
          <w:rPr>
            <w:rFonts w:hint="default" w:ascii="Times New Roman" w:hAnsi="Times New Roman"/>
          </w:rPr>
          <m:t>2−3mg/dL/5min</m:t>
        </m:r>
      </m:oMath>
      <w:r>
        <w:rPr>
          <w:rFonts w:hint="eastAsia"/>
          <w:lang w:eastAsia="zh-CN"/>
        </w:rPr>
        <w:t>，</w:t>
      </w:r>
      <w:r>
        <w:rPr>
          <w:rFonts w:hint="eastAsia"/>
          <w:lang w:val="en-US" w:eastAsia="zh-CN"/>
        </w:rPr>
        <w:t>因此统计血糖序列中超出变化阈值的数据比例，能够有效衡量数据的有效性。</w:t>
      </w:r>
    </w:p>
    <w:p w14:paraId="1C73007F">
      <w:pPr>
        <w:pStyle w:val="63"/>
        <w:spacing w:before="624" w:after="312"/>
        <w:rPr>
          <w:rFonts w:hint="eastAsia"/>
        </w:rPr>
      </w:pPr>
      <w:r>
        <w:rPr>
          <w:rFonts w:hint="eastAsia" w:eastAsia="宋体"/>
          <w:lang w:val="en-US" w:eastAsia="zh-CN"/>
        </w:rPr>
        <w:t>analysis of noise assessment results</w:t>
      </w:r>
      <w:r>
        <w:rPr>
          <w:rFonts w:hint="eastAsia"/>
        </w:rPr>
        <w:t>.</w:t>
      </w:r>
    </w:p>
    <w:tbl>
      <w:tblPr>
        <w:tblStyle w:val="31"/>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1875"/>
        <w:gridCol w:w="2523"/>
        <w:gridCol w:w="1876"/>
      </w:tblGrid>
      <w:tr w14:paraId="4B39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75" w:type="dxa"/>
            <w:tcBorders>
              <w:top w:val="single" w:color="000000" w:sz="12" w:space="0"/>
              <w:left w:val="nil"/>
              <w:bottom w:val="single" w:color="000000" w:sz="4" w:space="0"/>
              <w:right w:val="nil"/>
              <w:tl2br w:val="nil"/>
            </w:tcBorders>
            <w:shd w:val="clear" w:color="auto" w:fill="FFFFFF"/>
            <w:vAlign w:val="center"/>
          </w:tcPr>
          <w:p w14:paraId="4CA7D534">
            <w:pPr>
              <w:pStyle w:val="61"/>
              <w:snapToGrid w:val="0"/>
              <w:spacing w:before="312" w:after="312"/>
              <w:ind w:left="0" w:leftChars="0" w:right="0" w:rightChars="0" w:firstLine="0" w:firstLineChars="0"/>
              <w:jc w:val="center"/>
              <w:rPr>
                <w:rFonts w:hint="eastAsia" w:eastAsia="宋体"/>
                <w:b/>
                <w:color w:val="000000"/>
                <w:vertAlign w:val="baseline"/>
                <w:lang w:val="en-US" w:eastAsia="zh-CN"/>
              </w:rPr>
            </w:pPr>
            <w:r>
              <w:rPr>
                <w:rFonts w:hint="eastAsia" w:eastAsia="宋体"/>
                <w:b/>
                <w:color w:val="000000"/>
                <w:vertAlign w:val="baseline"/>
                <w:lang w:val="en-US" w:eastAsia="zh-CN"/>
              </w:rPr>
              <w:t>指标</w:t>
            </w:r>
          </w:p>
        </w:tc>
        <w:tc>
          <w:tcPr>
            <w:tcW w:w="1875" w:type="dxa"/>
            <w:tcBorders>
              <w:top w:val="single" w:color="000000" w:sz="12" w:space="0"/>
              <w:left w:val="nil"/>
              <w:bottom w:val="single" w:color="000000" w:sz="4" w:space="0"/>
              <w:right w:val="nil"/>
            </w:tcBorders>
            <w:shd w:val="clear" w:color="auto" w:fill="FFFFFF"/>
            <w:vAlign w:val="center"/>
          </w:tcPr>
          <w:p w14:paraId="392CE8C8">
            <w:pPr>
              <w:pStyle w:val="61"/>
              <w:snapToGrid w:val="0"/>
              <w:spacing w:before="312" w:after="312"/>
              <w:ind w:left="0" w:leftChars="0" w:right="0" w:rightChars="0" w:firstLine="0" w:firstLineChars="0"/>
              <w:jc w:val="center"/>
              <w:rPr>
                <w:rFonts w:hint="eastAsia" w:eastAsia="宋体"/>
                <w:b/>
                <w:color w:val="000000"/>
                <w:vertAlign w:val="baseline"/>
                <w:lang w:val="en-US" w:eastAsia="zh-CN"/>
              </w:rPr>
            </w:pPr>
            <w:r>
              <w:rPr>
                <w:rFonts w:hint="eastAsia" w:eastAsia="宋体"/>
                <w:b/>
                <w:color w:val="000000"/>
                <w:vertAlign w:val="baseline"/>
                <w:lang w:val="en-US" w:eastAsia="zh-CN"/>
              </w:rPr>
              <w:t>均值</w:t>
            </w:r>
          </w:p>
        </w:tc>
        <w:tc>
          <w:tcPr>
            <w:tcW w:w="2523" w:type="dxa"/>
            <w:tcBorders>
              <w:top w:val="single" w:color="000000" w:sz="12" w:space="0"/>
              <w:left w:val="nil"/>
              <w:bottom w:val="single" w:color="000000" w:sz="4" w:space="0"/>
              <w:right w:val="nil"/>
            </w:tcBorders>
            <w:shd w:val="clear" w:color="auto" w:fill="FFFFFF"/>
            <w:vAlign w:val="center"/>
          </w:tcPr>
          <w:p w14:paraId="22ADE47F">
            <w:pPr>
              <w:pStyle w:val="61"/>
              <w:snapToGrid w:val="0"/>
              <w:spacing w:before="312" w:after="312"/>
              <w:ind w:left="0" w:leftChars="0" w:right="0" w:rightChars="0" w:firstLine="0" w:firstLineChars="0"/>
              <w:jc w:val="center"/>
              <w:rPr>
                <w:rFonts w:hint="eastAsia" w:eastAsia="宋体"/>
                <w:b/>
                <w:color w:val="000000"/>
                <w:vertAlign w:val="baseline"/>
                <w:lang w:val="en-US" w:eastAsia="zh-CN"/>
              </w:rPr>
            </w:pPr>
            <w:r>
              <w:rPr>
                <w:rFonts w:hint="eastAsia" w:eastAsia="宋体"/>
                <w:b/>
                <w:color w:val="000000"/>
                <w:vertAlign w:val="baseline"/>
                <w:lang w:val="en-US" w:eastAsia="zh-CN"/>
              </w:rPr>
              <w:t>标准差</w:t>
            </w:r>
          </w:p>
        </w:tc>
        <w:tc>
          <w:tcPr>
            <w:tcW w:w="1876" w:type="dxa"/>
            <w:tcBorders>
              <w:top w:val="single" w:color="000000" w:sz="12" w:space="0"/>
              <w:left w:val="nil"/>
              <w:bottom w:val="single" w:color="000000" w:sz="4" w:space="0"/>
              <w:right w:val="nil"/>
            </w:tcBorders>
            <w:shd w:val="clear" w:color="auto" w:fill="FFFFFF"/>
            <w:vAlign w:val="center"/>
          </w:tcPr>
          <w:p w14:paraId="273B8BAE">
            <w:pPr>
              <w:pStyle w:val="61"/>
              <w:snapToGrid w:val="0"/>
              <w:spacing w:before="312" w:after="312"/>
              <w:ind w:left="0" w:leftChars="0" w:right="0" w:rightChars="0" w:firstLine="0" w:firstLineChars="0"/>
              <w:jc w:val="center"/>
              <w:rPr>
                <w:rFonts w:hint="default" w:eastAsia="宋体"/>
                <w:b/>
                <w:color w:val="000000"/>
                <w:vertAlign w:val="baseline"/>
                <w:lang w:val="en-US" w:eastAsia="zh-CN"/>
              </w:rPr>
            </w:pPr>
            <w:r>
              <w:rPr>
                <w:rFonts w:hint="eastAsia" w:eastAsia="宋体"/>
                <w:b/>
                <w:color w:val="000000"/>
                <w:vertAlign w:val="baseline"/>
                <w:lang w:val="en-US" w:eastAsia="zh-CN"/>
              </w:rPr>
              <w:t>阈值</w:t>
            </w:r>
          </w:p>
        </w:tc>
      </w:tr>
      <w:tr w14:paraId="5725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5" w:type="dxa"/>
            <w:tcBorders>
              <w:top w:val="single" w:color="000000" w:sz="4" w:space="0"/>
              <w:left w:val="nil"/>
              <w:bottom w:val="single" w:color="000000" w:sz="4" w:space="0"/>
              <w:right w:val="nil"/>
            </w:tcBorders>
            <w:shd w:val="clear" w:color="auto" w:fill="FFFFFF"/>
            <w:vAlign w:val="center"/>
          </w:tcPr>
          <w:p w14:paraId="68AFEE29">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平均噪声</w:t>
            </w:r>
          </w:p>
        </w:tc>
        <w:tc>
          <w:tcPr>
            <w:tcW w:w="1875" w:type="dxa"/>
            <w:tcBorders>
              <w:top w:val="single" w:color="000000" w:sz="4" w:space="0"/>
              <w:left w:val="nil"/>
              <w:bottom w:val="single" w:color="000000" w:sz="4" w:space="0"/>
              <w:right w:val="nil"/>
            </w:tcBorders>
            <w:shd w:val="clear" w:color="auto" w:fill="FFFFFF"/>
            <w:vAlign w:val="center"/>
          </w:tcPr>
          <w:p w14:paraId="5FB1443D">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1.54</w:t>
            </w:r>
          </w:p>
        </w:tc>
        <w:tc>
          <w:tcPr>
            <w:tcW w:w="2523" w:type="dxa"/>
            <w:tcBorders>
              <w:top w:val="single" w:color="000000" w:sz="4" w:space="0"/>
              <w:left w:val="nil"/>
              <w:bottom w:val="single" w:color="000000" w:sz="4" w:space="0"/>
              <w:right w:val="nil"/>
            </w:tcBorders>
            <w:shd w:val="clear" w:color="auto" w:fill="FFFFFF"/>
            <w:vAlign w:val="center"/>
          </w:tcPr>
          <w:p w14:paraId="7FBF0C27">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0.56</w:t>
            </w:r>
          </w:p>
        </w:tc>
        <w:tc>
          <w:tcPr>
            <w:tcW w:w="1876" w:type="dxa"/>
            <w:tcBorders>
              <w:top w:val="single" w:color="000000" w:sz="4" w:space="0"/>
              <w:left w:val="nil"/>
              <w:bottom w:val="single" w:color="000000" w:sz="4" w:space="0"/>
              <w:right w:val="nil"/>
            </w:tcBorders>
            <w:shd w:val="clear" w:color="auto" w:fill="FFFFFF"/>
            <w:vAlign w:val="center"/>
          </w:tcPr>
          <w:p w14:paraId="48EF11C4">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1.5</w:t>
            </w:r>
          </w:p>
        </w:tc>
      </w:tr>
      <w:tr w14:paraId="0F5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5" w:type="dxa"/>
            <w:tcBorders>
              <w:top w:val="single" w:color="000000" w:sz="4" w:space="0"/>
              <w:left w:val="nil"/>
              <w:bottom w:val="single" w:color="000000" w:sz="4" w:space="0"/>
              <w:right w:val="nil"/>
            </w:tcBorders>
            <w:shd w:val="clear" w:color="auto" w:fill="FFFFFF"/>
            <w:vAlign w:val="center"/>
          </w:tcPr>
          <w:p w14:paraId="1554BBE6">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SNR</w:t>
            </w:r>
          </w:p>
        </w:tc>
        <w:tc>
          <w:tcPr>
            <w:tcW w:w="1875" w:type="dxa"/>
            <w:tcBorders>
              <w:top w:val="single" w:color="000000" w:sz="4" w:space="0"/>
              <w:left w:val="nil"/>
              <w:bottom w:val="single" w:color="000000" w:sz="4" w:space="0"/>
              <w:right w:val="nil"/>
            </w:tcBorders>
            <w:shd w:val="clear" w:color="auto" w:fill="FFFFFF"/>
            <w:vAlign w:val="center"/>
          </w:tcPr>
          <w:p w14:paraId="2C3E032B">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8.18</w:t>
            </w:r>
          </w:p>
        </w:tc>
        <w:tc>
          <w:tcPr>
            <w:tcW w:w="2523" w:type="dxa"/>
            <w:tcBorders>
              <w:top w:val="single" w:color="000000" w:sz="4" w:space="0"/>
              <w:left w:val="nil"/>
              <w:bottom w:val="single" w:color="000000" w:sz="4" w:space="0"/>
              <w:right w:val="nil"/>
            </w:tcBorders>
            <w:shd w:val="clear" w:color="auto" w:fill="FFFFFF"/>
            <w:vAlign w:val="center"/>
          </w:tcPr>
          <w:p w14:paraId="4A9F0F73">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2.18</w:t>
            </w:r>
          </w:p>
        </w:tc>
        <w:tc>
          <w:tcPr>
            <w:tcW w:w="1876" w:type="dxa"/>
            <w:tcBorders>
              <w:top w:val="single" w:color="000000" w:sz="4" w:space="0"/>
              <w:left w:val="nil"/>
              <w:bottom w:val="single" w:color="000000" w:sz="4" w:space="0"/>
              <w:right w:val="nil"/>
            </w:tcBorders>
            <w:shd w:val="clear" w:color="auto" w:fill="FFFFFF"/>
            <w:vAlign w:val="center"/>
          </w:tcPr>
          <w:p w14:paraId="7F45F4F3">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10.0</w:t>
            </w:r>
          </w:p>
        </w:tc>
      </w:tr>
      <w:tr w14:paraId="7A36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5" w:type="dxa"/>
            <w:tcBorders>
              <w:top w:val="single" w:color="000000" w:sz="4" w:space="0"/>
              <w:left w:val="nil"/>
              <w:bottom w:val="single" w:color="000000" w:sz="12" w:space="0"/>
              <w:right w:val="nil"/>
            </w:tcBorders>
            <w:shd w:val="clear" w:color="auto" w:fill="FFFFFF"/>
            <w:vAlign w:val="center"/>
          </w:tcPr>
          <w:p w14:paraId="412966ED">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异常跳变</w:t>
            </w:r>
          </w:p>
        </w:tc>
        <w:tc>
          <w:tcPr>
            <w:tcW w:w="1875" w:type="dxa"/>
            <w:tcBorders>
              <w:top w:val="single" w:color="000000" w:sz="4" w:space="0"/>
              <w:left w:val="nil"/>
              <w:bottom w:val="single" w:color="000000" w:sz="12" w:space="0"/>
              <w:right w:val="nil"/>
            </w:tcBorders>
            <w:shd w:val="clear" w:color="auto" w:fill="FFFFFF"/>
            <w:vAlign w:val="center"/>
          </w:tcPr>
          <w:p w14:paraId="25D05C5A">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4.2</w:t>
            </w:r>
          </w:p>
        </w:tc>
        <w:tc>
          <w:tcPr>
            <w:tcW w:w="2523" w:type="dxa"/>
            <w:tcBorders>
              <w:top w:val="single" w:color="000000" w:sz="4" w:space="0"/>
              <w:left w:val="nil"/>
              <w:bottom w:val="single" w:color="000000" w:sz="12" w:space="0"/>
              <w:right w:val="nil"/>
            </w:tcBorders>
            <w:shd w:val="clear" w:color="auto" w:fill="FFFFFF"/>
            <w:vAlign w:val="center"/>
          </w:tcPr>
          <w:p w14:paraId="7CF6FD1D">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4.7</w:t>
            </w:r>
          </w:p>
        </w:tc>
        <w:tc>
          <w:tcPr>
            <w:tcW w:w="1876" w:type="dxa"/>
            <w:tcBorders>
              <w:top w:val="single" w:color="000000" w:sz="4" w:space="0"/>
              <w:left w:val="nil"/>
              <w:bottom w:val="single" w:color="000000" w:sz="12" w:space="0"/>
              <w:right w:val="nil"/>
            </w:tcBorders>
            <w:shd w:val="clear" w:color="auto" w:fill="FFFFFF"/>
            <w:vAlign w:val="center"/>
          </w:tcPr>
          <w:p w14:paraId="0132F46A">
            <w:pPr>
              <w:pStyle w:val="61"/>
              <w:snapToGrid w:val="0"/>
              <w:spacing w:before="312" w:after="312"/>
              <w:ind w:left="0" w:leftChars="0" w:right="0" w:rightChars="0" w:firstLine="0" w:firstLineChars="0"/>
              <w:jc w:val="center"/>
              <w:rPr>
                <w:rFonts w:hint="default" w:eastAsia="宋体"/>
                <w:b w:val="0"/>
                <w:color w:val="000000"/>
                <w:vertAlign w:val="baseline"/>
                <w:lang w:val="en-US" w:eastAsia="zh-CN"/>
              </w:rPr>
            </w:pPr>
            <w:r>
              <w:rPr>
                <w:rFonts w:hint="eastAsia" w:eastAsia="宋体"/>
                <w:b w:val="0"/>
                <w:color w:val="000000"/>
                <w:vertAlign w:val="baseline"/>
                <w:lang w:val="en-US" w:eastAsia="zh-CN"/>
              </w:rPr>
              <w:t>10%</w:t>
            </w:r>
          </w:p>
        </w:tc>
      </w:tr>
    </w:tbl>
    <w:p w14:paraId="76311B3C">
      <w:pPr>
        <w:pStyle w:val="61"/>
        <w:spacing w:before="312" w:after="312"/>
        <w:ind w:left="0" w:leftChars="0" w:firstLine="0" w:firstLineChars="0"/>
        <w:rPr>
          <w:rFonts w:hint="eastAsia"/>
        </w:rPr>
      </w:pPr>
    </w:p>
    <w:p w14:paraId="36301463">
      <w:pPr>
        <w:pStyle w:val="61"/>
        <w:spacing w:before="312" w:after="312"/>
        <w:ind w:firstLine="480"/>
        <w:rPr>
          <w:rFonts w:hint="eastAsia"/>
        </w:rPr>
      </w:pPr>
      <w:r>
        <w:rPr>
          <w:rFonts w:hint="eastAsia"/>
        </w:rPr>
        <w:t>基于表3-1的评估结果，本研究设定了滤波需求的判定准则：当受试者的数据满足以下任一条件时，判定为需要滤波处理：（1）平均</w:t>
      </w:r>
      <w:r>
        <w:rPr>
          <w:rFonts w:hint="eastAsia" w:eastAsia="宋体"/>
          <w:lang w:val="en-US" w:eastAsia="zh-CN"/>
        </w:rPr>
        <w:t>噪声</w:t>
      </w:r>
      <w:r>
        <w:rPr>
          <w:rFonts w:hint="eastAsia"/>
        </w:rPr>
        <w:t>超过1.5 mg/dL；（2）SNR低于10.0；（3）异常跳变比例超过10.0%。</w:t>
      </w:r>
    </w:p>
    <w:p w14:paraId="12569903">
      <w:pPr>
        <w:pStyle w:val="61"/>
        <w:spacing w:before="312" w:after="312"/>
        <w:ind w:firstLine="480"/>
        <w:rPr>
          <w:rFonts w:hint="eastAsia"/>
        </w:rPr>
      </w:pPr>
    </w:p>
    <w:p w14:paraId="7B3D71F5">
      <w:pPr>
        <w:pStyle w:val="61"/>
        <w:spacing w:before="312" w:after="312"/>
        <w:ind w:left="0" w:leftChars="0" w:firstLine="0" w:firstLineChars="0"/>
        <w:jc w:val="both"/>
        <w:rPr>
          <w:rFonts w:hint="eastAsia" w:eastAsia="宋体"/>
          <w:lang w:eastAsia="zh-CN"/>
        </w:rPr>
      </w:pPr>
      <w:r>
        <w:rPr>
          <w:rFonts w:hint="eastAsia" w:eastAsia="宋体"/>
          <w:lang w:eastAsia="zh-CN"/>
        </w:rPr>
        <w:drawing>
          <wp:inline distT="0" distB="0" distL="114300" distR="114300">
            <wp:extent cx="5031105" cy="3339465"/>
            <wp:effectExtent l="0" t="0" r="13335" b="13335"/>
            <wp:docPr id="2" name="图片 2" descr="血糖噪声SNR跳变评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血糖噪声SNR跳变评估"/>
                    <pic:cNvPicPr>
                      <a:picLocks noChangeAspect="1"/>
                    </pic:cNvPicPr>
                  </pic:nvPicPr>
                  <pic:blipFill>
                    <a:blip r:embed="rId19"/>
                    <a:stretch>
                      <a:fillRect/>
                    </a:stretch>
                  </pic:blipFill>
                  <pic:spPr>
                    <a:xfrm>
                      <a:off x="0" y="0"/>
                      <a:ext cx="5031105" cy="3339465"/>
                    </a:xfrm>
                    <a:prstGeom prst="rect">
                      <a:avLst/>
                    </a:prstGeom>
                  </pic:spPr>
                </pic:pic>
              </a:graphicData>
            </a:graphic>
          </wp:inline>
        </w:drawing>
      </w:r>
    </w:p>
    <w:p w14:paraId="0C7D7687">
      <w:pPr>
        <w:pStyle w:val="62"/>
        <w:numPr>
          <w:ilvl w:val="5"/>
          <w:numId w:val="9"/>
        </w:numPr>
        <w:spacing w:before="312" w:after="624"/>
        <w:rPr>
          <w:rFonts w:hint="eastAsia"/>
        </w:rPr>
      </w:pPr>
      <w:r>
        <w:rPr>
          <w:lang w:val="en-US"/>
        </w:rPr>
        <w:t xml:space="preserve">The </w:t>
      </w:r>
      <w:r>
        <w:rPr>
          <w:rFonts w:hint="eastAsia"/>
          <w:lang w:val="en-US"/>
        </w:rPr>
        <w:t>XXXXXX</w:t>
      </w:r>
      <w:r>
        <w:rPr>
          <w:rFonts w:hint="eastAsia" w:ascii="宋体" w:hAnsi="宋体" w:eastAsia="宋体" w:cs="宋体"/>
          <w:lang w:val="en-US"/>
        </w:rPr>
        <w:t>.</w:t>
      </w:r>
    </w:p>
    <w:p w14:paraId="1EC62CA1">
      <w:pPr>
        <w:pStyle w:val="61"/>
        <w:spacing w:before="312" w:after="312"/>
        <w:ind w:firstLine="480"/>
        <w:rPr>
          <w:rFonts w:hint="eastAsia"/>
        </w:rPr>
      </w:pPr>
      <w:r>
        <w:rPr>
          <w:rFonts w:hint="eastAsia" w:eastAsia="宋体"/>
          <w:lang w:val="en-US" w:eastAsia="zh-CN"/>
        </w:rPr>
        <w:t>根据图片3.1</w:t>
      </w:r>
      <w:r>
        <w:rPr>
          <w:rFonts w:hint="eastAsia"/>
        </w:rPr>
        <w:t>显示，在</w:t>
      </w:r>
      <w:r>
        <w:rPr>
          <w:rFonts w:hint="eastAsia" w:eastAsia="宋体"/>
          <w:lang w:eastAsia="zh-CN"/>
        </w:rPr>
        <w:t>174</w:t>
      </w:r>
      <w:r>
        <w:rPr>
          <w:rFonts w:hint="eastAsia"/>
        </w:rPr>
        <w:t>名受试者中，有1</w:t>
      </w:r>
      <w:r>
        <w:rPr>
          <w:rFonts w:hint="eastAsia" w:eastAsia="宋体"/>
          <w:lang w:val="en-US" w:eastAsia="zh-CN"/>
        </w:rPr>
        <w:t>58</w:t>
      </w:r>
      <w:r>
        <w:rPr>
          <w:rFonts w:hint="eastAsia"/>
        </w:rPr>
        <w:t>名（</w:t>
      </w:r>
      <w:r>
        <w:rPr>
          <w:rFonts w:hint="eastAsia" w:eastAsia="宋体"/>
          <w:lang w:val="en-US" w:eastAsia="zh-CN"/>
        </w:rPr>
        <w:t>90.8</w:t>
      </w:r>
      <w:r>
        <w:rPr>
          <w:rFonts w:hint="eastAsia"/>
        </w:rPr>
        <w:t>%） 满足至少一项滤波条件。这一比例</w:t>
      </w:r>
      <w:r>
        <w:rPr>
          <w:rFonts w:hint="eastAsia" w:eastAsia="宋体"/>
          <w:lang w:val="en-US" w:eastAsia="zh-CN"/>
        </w:rPr>
        <w:t>非常的高</w:t>
      </w:r>
      <w:r>
        <w:rPr>
          <w:rFonts w:hint="eastAsia"/>
        </w:rPr>
        <w:t>，表明原始CGM数据中存在普遍的噪声问题，对所有数据进行统一的滤波预处理是必要且合理的。</w:t>
      </w:r>
    </w:p>
    <w:p w14:paraId="03DF4119">
      <w:pPr>
        <w:pStyle w:val="61"/>
        <w:spacing w:before="312" w:after="312"/>
        <w:ind w:firstLine="480"/>
        <w:rPr>
          <w:rFonts w:hint="eastAsia"/>
        </w:rPr>
      </w:pPr>
      <w:r>
        <w:rPr>
          <w:rFonts w:hint="eastAsia"/>
        </w:rPr>
        <w:t>从具体原因分析，SNR过低（&lt;10）的受试者占</w:t>
      </w:r>
      <w:r>
        <w:rPr>
          <w:rFonts w:hint="eastAsia" w:eastAsia="宋体"/>
          <w:lang w:val="en-US" w:eastAsia="zh-CN"/>
        </w:rPr>
        <w:t>83.9</w:t>
      </w:r>
      <w:r>
        <w:rPr>
          <w:rFonts w:hint="eastAsia"/>
        </w:rPr>
        <w:t>%，是最主要的滤波需求来源；异常跳变比例过高（&gt;10%）的受试者占</w:t>
      </w:r>
      <w:r>
        <w:rPr>
          <w:rFonts w:hint="eastAsia" w:eastAsia="宋体"/>
          <w:lang w:val="en-US" w:eastAsia="zh-CN"/>
        </w:rPr>
        <w:t>12.6</w:t>
      </w:r>
      <w:r>
        <w:rPr>
          <w:rFonts w:hint="eastAsia"/>
        </w:rPr>
        <w:t>%；平均绝对变化过大（&gt;1.5 mg/dL）的受试者占</w:t>
      </w:r>
      <w:r>
        <w:rPr>
          <w:rFonts w:hint="eastAsia" w:eastAsia="宋体"/>
          <w:lang w:val="en-US" w:eastAsia="zh-CN"/>
        </w:rPr>
        <w:t>45.9</w:t>
      </w:r>
      <w:r>
        <w:rPr>
          <w:rFonts w:hint="eastAsia"/>
        </w:rPr>
        <w:t>%。这些结果与文献报道的CGM噪声特性基本一致 [26][35]，进一步验证了本研究噪声评估方法的有效性。</w:t>
      </w:r>
    </w:p>
    <w:p w14:paraId="6E29A7FC">
      <w:pPr>
        <w:pStyle w:val="64"/>
        <w:spacing w:before="312" w:after="312"/>
        <w:jc w:val="both"/>
        <w:rPr>
          <w:rFonts w:hint="eastAsia" w:eastAsia="宋体"/>
          <w:lang w:val="en-US" w:eastAsia="zh-CN"/>
        </w:rPr>
      </w:pPr>
    </w:p>
    <w:p w14:paraId="562D5E1B">
      <w:pPr>
        <w:pStyle w:val="56"/>
        <w:numPr>
          <w:ilvl w:val="1"/>
          <w:numId w:val="9"/>
        </w:numPr>
        <w:rPr>
          <w:rFonts w:hint="eastAsia"/>
        </w:rPr>
      </w:pPr>
      <w:bookmarkStart w:id="19" w:name="_Toc199729386"/>
      <w:r>
        <w:rPr>
          <w:rFonts w:hint="eastAsia"/>
        </w:rPr>
        <w:t xml:space="preserve"> </w:t>
      </w:r>
      <w:bookmarkEnd w:id="19"/>
      <w:r>
        <w:rPr>
          <w:rFonts w:hint="eastAsia" w:eastAsia="宋体"/>
          <w:lang w:val="en-US" w:eastAsia="zh-CN"/>
        </w:rPr>
        <w:t>Filtering Theory</w:t>
      </w:r>
    </w:p>
    <w:p w14:paraId="14983734">
      <w:pPr>
        <w:pStyle w:val="61"/>
        <w:spacing w:before="312" w:after="312"/>
        <w:ind w:firstLine="480"/>
        <w:rPr>
          <w:rFonts w:hint="eastAsia"/>
        </w:rPr>
      </w:pPr>
      <w:r>
        <w:rPr>
          <w:rFonts w:hint="eastAsia"/>
        </w:rPr>
        <w:t>为了有效抑制CGM信号中的噪声成分，同时最大程度地保留血糖的真实变化特征，本研究比较了三种在生物医学信号处理领域广泛应用的数字滤波方法：卡尔曼滤波器（Kalman Filter）、Savitzky-Golay滤波器（S-G Filter）和巴特沃斯低通滤波器（Butterworth Filter）。以下分别介绍各方法的理论原理及其在CGM信号处理中的适用性。</w:t>
      </w:r>
    </w:p>
    <w:p w14:paraId="65898CBB">
      <w:pPr>
        <w:pStyle w:val="57"/>
        <w:numPr>
          <w:ilvl w:val="2"/>
          <w:numId w:val="9"/>
        </w:numPr>
        <w:ind w:right="210"/>
        <w:rPr>
          <w:rFonts w:hint="eastAsia"/>
        </w:rPr>
      </w:pPr>
      <w:r>
        <w:rPr>
          <w:rFonts w:hint="eastAsia" w:eastAsia="宋体"/>
          <w:lang w:val="en-US" w:eastAsia="zh-CN"/>
        </w:rPr>
        <w:t>卡尔曼滤波器</w:t>
      </w:r>
    </w:p>
    <w:p w14:paraId="2F447ED6">
      <w:pPr>
        <w:pStyle w:val="61"/>
        <w:spacing w:before="312" w:after="312"/>
        <w:ind w:firstLine="480"/>
        <w:rPr>
          <w:rFonts w:hint="eastAsia"/>
        </w:rPr>
      </w:pPr>
      <w:r>
        <w:rPr>
          <w:rFonts w:hint="eastAsia"/>
        </w:rPr>
        <w:t>卡尔曼滤波器是一种基于状态空间模型的最优递推估计算法，最初由Rudolf E. Kalman于1960年提出，在航空航天、机器人导航等领域得到广泛应用 [36]。近年来，卡尔曼滤波被成功引入CGM信号的实时去噪处理 [27][28]。卡尔曼滤波的核心逻辑在于通过对系统状态的预测与观测值的融合，实现对含噪信号的最优估计。既不完全依赖对信号的数学建模，也不完全依赖观测数据，而是将二者进行动态融合，这对含有噪声的血糖数据来讲非常适用。</w:t>
      </w:r>
    </w:p>
    <w:p w14:paraId="3AA9429F">
      <w:pPr>
        <w:pStyle w:val="61"/>
        <w:spacing w:before="312" w:after="312"/>
        <w:ind w:firstLine="480"/>
        <w:rPr>
          <w:rFonts w:hint="eastAsia"/>
        </w:rPr>
      </w:pPr>
      <w:r>
        <w:rPr>
          <w:rFonts w:hint="eastAsia"/>
        </w:rPr>
        <w:t xml:space="preserve">本研究采用恒定速度模型（Constant Velocity Model）描述血糖的动态变化过程。设状态向量为  </w:t>
      </w:r>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oMath>
      <w:r>
        <w:rPr>
          <w:rFonts w:hint="eastAsia"/>
        </w:rPr>
        <w:t xml:space="preserve"> ，其中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为真实血糖浓度，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为血糖变化率。状态转移方程为：</w:t>
      </w:r>
    </w:p>
    <w:p w14:paraId="15E5C27B">
      <w:pPr>
        <w:pStyle w:val="61"/>
        <w:spacing w:before="312" w:after="312"/>
        <w:ind w:firstLine="480"/>
        <w:rPr>
          <w:rFonts w:hint="eastAsia"/>
        </w:rPr>
      </w:pPr>
      <m:oMathPara>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F</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oMath>
      </m:oMathPara>
    </w:p>
    <w:p w14:paraId="5A7EB828">
      <w:pPr>
        <w:pStyle w:val="61"/>
        <w:spacing w:before="312" w:after="312"/>
        <w:ind w:firstLine="480"/>
        <w:rPr>
          <w:rFonts w:hint="eastAsia"/>
        </w:rPr>
      </w:pPr>
      <w:r>
        <w:rPr>
          <w:rFonts w:hint="eastAsia"/>
        </w:rPr>
        <w:t>其中状态转移矩阵：</w:t>
      </w:r>
    </w:p>
    <w:p w14:paraId="47D4FD03">
      <w:pPr>
        <w:pStyle w:val="61"/>
        <w:spacing w:before="312" w:after="312"/>
        <w:ind w:firstLine="480"/>
        <w:rPr>
          <w:rFonts w:hint="eastAsia"/>
        </w:rPr>
      </w:pPr>
      <m:oMathPara>
        <m:oMath>
          <m:r>
            <m:rPr>
              <m:sty m:val="b"/>
            </m:rPr>
            <w:rPr>
              <w:rFonts w:hint="default" w:ascii="Cambria Math" w:hAnsi="Cambria Math"/>
              <w:sz w:val="24"/>
            </w:rPr>
            <m:t>F</m:t>
          </m:r>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Δ</m:t>
                    </m:r>
                    <m:r>
                      <m:rPr/>
                      <w:rPr>
                        <w:rFonts w:hint="default" w:ascii="Cambria Math" w:hAnsi="Cambria Math"/>
                        <w:sz w:val="24"/>
                      </w:rPr>
                      <m:t>t</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sz w:val="24"/>
                      </w:rPr>
                      <m:t>1</m:t>
                    </m:r>
                    <m:ctrlPr>
                      <w:rPr>
                        <w:rFonts w:ascii="Cambria Math" w:hAnsi="Cambria Math"/>
                        <w:sz w:val="24"/>
                      </w:rPr>
                    </m:ctrlPr>
                  </m:e>
                </m:mr>
              </m:m>
              <m:ctrlPr>
                <w:rPr>
                  <w:rFonts w:hint="default" w:ascii="Cambria Math" w:hAnsi="Cambria Math"/>
                  <w:i/>
                  <w:sz w:val="24"/>
                </w:rPr>
              </m:ctrlPr>
            </m:e>
          </m:d>
        </m:oMath>
      </m:oMathPara>
    </w:p>
    <w:p w14:paraId="22882104">
      <w:pPr>
        <w:pStyle w:val="61"/>
        <w:spacing w:before="312" w:after="312"/>
        <w:ind w:firstLine="480"/>
        <w:rPr>
          <w:rFonts w:hint="eastAsia"/>
        </w:rPr>
      </w:pPr>
      <w:r>
        <w:rPr>
          <w:rFonts w:hint="eastAsia"/>
        </w:rPr>
        <w:t>观测方程为：</w:t>
      </w:r>
    </w:p>
    <w:p w14:paraId="6905E97F">
      <w:pPr>
        <w:pStyle w:val="61"/>
        <w:spacing w:before="312" w:after="312"/>
        <w:ind w:firstLine="480"/>
        <w:rPr>
          <w:rFonts w:hint="eastAsia"/>
        </w:rPr>
      </w:pPr>
      <m:oMathPara>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H</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p w14:paraId="45C22A09">
      <w:pPr>
        <w:pStyle w:val="61"/>
        <w:spacing w:before="312" w:after="312"/>
        <w:ind w:firstLine="480"/>
        <w:rPr>
          <w:rFonts w:hint="eastAsia"/>
        </w:rPr>
      </w:pPr>
      <w:r>
        <w:rPr>
          <w:rFonts w:hint="eastAsia"/>
        </w:rPr>
        <w:t xml:space="preserve">其中 </w:t>
      </w:r>
      <m:oMath>
        <m:r>
          <m:rPr>
            <m:sty m:val="b"/>
          </m:rPr>
          <w:rPr>
            <w:rFonts w:hint="default" w:ascii="Cambria Math" w:hAnsi="Cambria Math"/>
            <w:sz w:val="24"/>
          </w:rPr>
          <m:t>H</m:t>
        </m:r>
        <m:r>
          <m:rPr/>
          <w:rPr>
            <w:rFonts w:hint="default" w:ascii="Cambria Math" w:hAnsi="Cambria Math"/>
            <w:sz w:val="24"/>
          </w:rPr>
          <m:t>=[1,0]</m:t>
        </m:r>
      </m:oMath>
      <w:r>
        <w:rPr>
          <w:rFonts w:hint="eastAsia"/>
        </w:rPr>
        <w:t xml:space="preserve">  为观测矩阵， </w:t>
      </w:r>
      <m:oMath>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oMath>
      <w:r>
        <w:rPr>
          <w:rFonts w:hint="eastAsia"/>
        </w:rPr>
        <w:t xml:space="preserve">  和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分别为过程噪声和测量噪声，假设服从零均值高斯分布。</w:t>
      </w:r>
    </w:p>
    <w:p w14:paraId="6CD32A80">
      <w:pPr>
        <w:pStyle w:val="61"/>
        <w:spacing w:before="312" w:after="312"/>
        <w:ind w:firstLine="480"/>
        <w:rPr>
          <w:rFonts w:hint="eastAsia"/>
        </w:rPr>
      </w:pPr>
      <w:r>
        <w:rPr>
          <w:rFonts w:hint="eastAsia"/>
        </w:rPr>
        <w:t>卡尔曼滤波通过以下两步递推实现最优状态估计：</w:t>
      </w:r>
    </w:p>
    <w:p w14:paraId="6B85A3AF">
      <w:pPr>
        <w:pStyle w:val="61"/>
        <w:spacing w:before="312" w:after="312"/>
        <w:ind w:firstLine="480"/>
        <w:rPr>
          <w:rFonts w:hint="eastAsia"/>
        </w:rPr>
      </w:pPr>
      <w:r>
        <w:rPr>
          <w:rFonts w:hint="eastAsia"/>
        </w:rPr>
        <w:t>预测步骤：</w:t>
      </w:r>
    </w:p>
    <w:p w14:paraId="1E2643D4">
      <w:pPr>
        <w:pStyle w:val="61"/>
        <w:spacing w:before="312" w:after="312"/>
        <w:ind w:firstLine="480"/>
        <w:rPr>
          <w:rFonts w:hint="eastAsia"/>
        </w:rPr>
      </w:pPr>
      <m:oMathPara>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k|k−1</m:t>
              </m:r>
              <m:ctrlPr>
                <w:rPr>
                  <w:rFonts w:hint="default" w:ascii="Cambria Math" w:hAnsi="Cambria Math"/>
                  <w:sz w:val="24"/>
                </w:rPr>
              </m:ctrlPr>
            </m:sub>
          </m:sSub>
          <m:r>
            <m:rPr/>
            <w:rPr>
              <w:rFonts w:hint="default" w:ascii="Cambria Math" w:hAnsi="Cambria Math"/>
              <w:sz w:val="24"/>
            </w:rPr>
            <m:t>=</m:t>
          </m:r>
          <m:r>
            <m:rPr>
              <m:sty m:val="b"/>
            </m:rPr>
            <w:rPr>
              <w:rFonts w:hint="default" w:ascii="Cambria Math" w:hAnsi="Cambria Math"/>
              <w:sz w:val="24"/>
            </w:rPr>
            <m:t>F</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k−1|k−1</m:t>
              </m:r>
              <m:ctrlPr>
                <w:rPr>
                  <w:rFonts w:hint="default" w:ascii="Cambria Math" w:hAnsi="Cambria Math"/>
                  <w:sz w:val="24"/>
                </w:rPr>
              </m:ctrlPr>
            </m:sub>
          </m:sSub>
        </m:oMath>
      </m:oMathPara>
    </w:p>
    <w:p w14:paraId="42D318A3">
      <w:pPr>
        <w:pStyle w:val="61"/>
        <w:spacing w:before="312" w:after="312"/>
        <w:ind w:firstLine="480"/>
        <w:rPr>
          <w:rFonts w:hint="eastAsia"/>
        </w:rPr>
      </w:pPr>
      <m:oMathPara>
        <m:oMath>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k|k−1</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F</m:t>
          </m:r>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k−1|k−1</m:t>
              </m:r>
              <m:ctrlPr>
                <w:rPr>
                  <w:rFonts w:ascii="Cambria Math" w:hAnsi="Cambria Math"/>
                  <w:sz w:val="24"/>
                </w:rPr>
              </m:ctrlPr>
            </m:sub>
          </m:sSub>
          <m:sSup>
            <m:sSupPr>
              <m:ctrlPr>
                <w:rPr>
                  <w:rFonts w:hint="default" w:ascii="Cambria Math" w:hAnsi="Cambria Math"/>
                  <w:sz w:val="24"/>
                </w:rPr>
              </m:ctrlPr>
            </m:sSupPr>
            <m:e>
              <m:r>
                <m:rPr>
                  <m:sty m:val="b"/>
                </m:rPr>
                <w:rPr>
                  <w:rFonts w:hint="default" w:ascii="Cambria Math" w:hAnsi="Cambria Math"/>
                  <w:sz w:val="24"/>
                </w:rPr>
                <m:t>F</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
            <m:rPr>
              <m:sty m:val="b"/>
            </m:rPr>
            <w:rPr>
              <w:rFonts w:hint="default" w:ascii="Cambria Math" w:hAnsi="Cambria Math"/>
              <w:sz w:val="24"/>
            </w:rPr>
            <m:t>Q</m:t>
          </m:r>
        </m:oMath>
      </m:oMathPara>
    </w:p>
    <w:p w14:paraId="662D6B43">
      <w:pPr>
        <w:pStyle w:val="61"/>
        <w:spacing w:before="312" w:after="312"/>
        <w:ind w:firstLine="480"/>
        <w:rPr>
          <w:rFonts w:hint="eastAsia"/>
        </w:rPr>
      </w:pPr>
      <w:r>
        <w:rPr>
          <w:rFonts w:hint="eastAsia"/>
        </w:rPr>
        <w:t>更新步骤：</w:t>
      </w:r>
    </w:p>
    <w:p w14:paraId="3DA825B6">
      <w:pPr>
        <w:pStyle w:val="61"/>
        <w:spacing w:before="312" w:after="312"/>
        <w:ind w:firstLine="480"/>
        <w:rPr>
          <w:rFonts w:hint="eastAsia"/>
        </w:rPr>
      </w:pPr>
      <m:oMathPara>
        <m:oMath>
          <m:sSub>
            <m:sSubPr>
              <m:ctrlPr>
                <w:rPr>
                  <w:rFonts w:hint="default" w:ascii="Cambria Math" w:hAnsi="Cambria Math"/>
                  <w:sz w:val="24"/>
                </w:rPr>
              </m:ctrlPr>
            </m:sSubPr>
            <m:e>
              <m:r>
                <m:rPr>
                  <m:sty m:val="b"/>
                </m:rPr>
                <w:rPr>
                  <w:rFonts w:hint="default" w:ascii="Cambria Math" w:hAnsi="Cambria Math"/>
                  <w:sz w:val="24"/>
                </w:rPr>
                <m:t>K</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k|k−1</m:t>
              </m:r>
              <m:ctrlPr>
                <w:rPr>
                  <w:rFonts w:ascii="Cambria Math" w:hAnsi="Cambria Math"/>
                  <w:sz w:val="24"/>
                </w:rPr>
              </m:ctrlPr>
            </m:sub>
          </m:sSub>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
            <m:rPr>
              <m:sty m:val="b"/>
            </m:rPr>
            <w:rPr>
              <w:rFonts w:hint="default" w:ascii="Cambria Math" w:hAnsi="Cambria Math"/>
              <w:sz w:val="24"/>
            </w:rPr>
            <m:t>H</m:t>
          </m:r>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k|k−1</m:t>
              </m:r>
              <m:ctrlPr>
                <w:rPr>
                  <w:rFonts w:ascii="Cambria Math" w:hAnsi="Cambria Math"/>
                  <w:sz w:val="24"/>
                </w:rPr>
              </m:ctrlPr>
            </m:sub>
          </m:sSub>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
            <m:rPr>
              <m:sty m:val="b"/>
            </m:rPr>
            <w:rPr>
              <w:rFonts w:hint="default" w:ascii="Cambria Math" w:hAnsi="Cambria Math"/>
              <w:sz w:val="24"/>
            </w:rPr>
            <m:t>R</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oMath>
      </m:oMathPara>
    </w:p>
    <w:p w14:paraId="5482BBEF">
      <w:pPr>
        <w:pStyle w:val="61"/>
        <w:spacing w:before="312" w:after="312"/>
        <w:ind w:firstLine="480"/>
        <w:rPr>
          <w:rFonts w:hint="eastAsia"/>
        </w:rPr>
      </w:pPr>
      <m:oMathPara>
        <m:oMath>
          <m:r>
            <m:rPr>
              <m:sty m:val="p"/>
            </m:rPr>
            <w:rPr>
              <w:rFonts w:hint="eastAsia" w:ascii="Cambria Math" w:hAnsi="Cambria Math" w:cs="Times New Roman (正文 CS 字体)"/>
              <w:kern w:val="0"/>
              <w:sz w:val="24"/>
              <w:szCs w:val="24"/>
              <w:lang w:val="en-US" w:bidi="ar-SA"/>
              <w14:ligatures w14:val="none"/>
            </w:rPr>
            <m:t xml:space="preserve">   </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k|k</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k|k−1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m:t>
          </m:r>
          <m:r>
            <m:rPr>
              <m:sty m:val="b"/>
            </m:rPr>
            <w:rPr>
              <w:rFonts w:hint="default" w:ascii="Cambria Math" w:hAnsi="Cambria Math"/>
              <w:sz w:val="24"/>
            </w:rPr>
            <m:t>H</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k|k−1</m:t>
              </m:r>
              <m:ctrlPr>
                <w:rPr>
                  <w:rFonts w:hint="default" w:ascii="Cambria Math" w:hAnsi="Cambria Math"/>
                  <w:sz w:val="24"/>
                </w:rPr>
              </m:ctrlPr>
            </m:sub>
          </m:sSub>
          <m:r>
            <m:rPr/>
            <w:rPr>
              <w:rFonts w:hint="default" w:ascii="Cambria Math" w:hAnsi="Cambria Math"/>
              <w:sz w:val="24"/>
            </w:rPr>
            <m:t>)</m:t>
          </m:r>
        </m:oMath>
      </m:oMathPara>
    </w:p>
    <w:p w14:paraId="2D323635">
      <w:pPr>
        <w:pStyle w:val="61"/>
        <w:spacing w:before="312" w:after="312"/>
        <w:ind w:firstLine="480"/>
        <w:rPr>
          <w:rFonts w:hint="eastAsia"/>
        </w:rPr>
      </w:pPr>
      <m:oMathPara>
        <m:oMath>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k|k</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I</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K</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m:sty m:val="b"/>
            </m:rPr>
            <w:rPr>
              <w:rFonts w:hint="default" w:ascii="Cambria Math" w:hAnsi="Cambria Math"/>
              <w:sz w:val="24"/>
            </w:rPr>
            <m:t>H</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k|k−1</m:t>
              </m:r>
              <m:ctrlPr>
                <w:rPr>
                  <w:rFonts w:ascii="Cambria Math" w:hAnsi="Cambria Math"/>
                  <w:sz w:val="24"/>
                </w:rPr>
              </m:ctrlPr>
            </m:sub>
          </m:sSub>
        </m:oMath>
      </m:oMathPara>
    </w:p>
    <w:p w14:paraId="39B4B1FE">
      <w:pPr>
        <w:pStyle w:val="61"/>
        <w:spacing w:before="312" w:after="312"/>
        <w:ind w:firstLine="480"/>
        <w:rPr>
          <w:rFonts w:hint="eastAsia"/>
        </w:rPr>
      </w:pPr>
      <w:r>
        <w:rPr>
          <w:rFonts w:hint="eastAsia"/>
        </w:rPr>
        <w:t xml:space="preserve">其中 </w:t>
      </w:r>
      <m:oMath>
        <m:r>
          <m:rPr>
            <m:sty m:val="b"/>
          </m:rPr>
          <w:rPr>
            <w:rFonts w:hint="default" w:ascii="Cambria Math" w:hAnsi="Cambria Math"/>
            <w:sz w:val="24"/>
          </w:rPr>
          <m:t>Q</m:t>
        </m:r>
      </m:oMath>
      <w:r>
        <w:rPr>
          <w:rFonts w:hint="eastAsia"/>
        </w:rPr>
        <w:t xml:space="preserve">  为过程噪声协方差矩阵， </w:t>
      </w:r>
      <m:oMath>
        <m:r>
          <m:rPr>
            <m:sty m:val="b"/>
          </m:rPr>
          <w:rPr>
            <w:rFonts w:hint="default" w:ascii="Cambria Math" w:hAnsi="Cambria Math"/>
            <w:sz w:val="24"/>
          </w:rPr>
          <m:t>R</m:t>
        </m:r>
      </m:oMath>
      <w:r>
        <w:rPr>
          <w:rFonts w:hint="eastAsia"/>
        </w:rPr>
        <w:t xml:space="preserve">  为测量噪声协方差矩阵， </w:t>
      </w:r>
      <m:oMath>
        <m:sSub>
          <m:sSubPr>
            <m:ctrlPr>
              <w:rPr>
                <w:rFonts w:hint="default" w:ascii="Cambria Math" w:hAnsi="Cambria Math"/>
                <w:sz w:val="24"/>
              </w:rPr>
            </m:ctrlPr>
          </m:sSubPr>
          <m:e>
            <m:r>
              <m:rPr>
                <m:sty m:val="b"/>
              </m:rPr>
              <w:rPr>
                <w:rFonts w:hint="default" w:ascii="Cambria Math" w:hAnsi="Cambria Math"/>
                <w:sz w:val="24"/>
              </w:rPr>
              <m:t>K</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为卡尔曼增益。</w:t>
      </w:r>
    </w:p>
    <w:p w14:paraId="0754857B">
      <w:pPr>
        <w:pStyle w:val="61"/>
        <w:spacing w:before="312" w:after="312"/>
        <w:ind w:firstLine="480"/>
        <w:rPr>
          <w:rFonts w:hint="eastAsia"/>
        </w:rPr>
      </w:pPr>
      <w:r>
        <w:rPr>
          <w:rFonts w:hint="eastAsia"/>
        </w:rPr>
        <w:t xml:space="preserve">在本研究的实现中，关键参数设置如下：过程噪声方差  </w:t>
      </w:r>
      <m:oMath>
        <m:r>
          <m:rPr/>
          <w:rPr>
            <w:rFonts w:hint="default" w:ascii="Cambria Math" w:hAnsi="Cambria Math"/>
            <w:sz w:val="24"/>
          </w:rPr>
          <m:t>Q=0.5</m:t>
        </m:r>
      </m:oMath>
      <w:r>
        <w:rPr>
          <w:rFonts w:hint="eastAsia"/>
        </w:rPr>
        <w:t xml:space="preserve"> ，测量噪声方差  </w:t>
      </w:r>
      <m:oMath>
        <m:r>
          <m:rPr/>
          <w:rPr>
            <w:rFonts w:hint="default" w:ascii="Cambria Math" w:hAnsi="Cambria Math"/>
            <w:sz w:val="24"/>
          </w:rPr>
          <m:t>R=10.0(mg/dL)</m:t>
        </m:r>
        <m:r>
          <m:rPr>
            <m:sty m:val="p"/>
          </m:rPr>
          <w:rPr>
            <w:rFonts w:hint="default" w:ascii="Cambria Math" w:hAnsi="Cambria Math"/>
            <w:sz w:val="24"/>
          </w:rPr>
          <m:t>²</m:t>
        </m:r>
      </m:oMath>
      <w:r>
        <w:rPr>
          <w:rFonts w:hint="eastAsia"/>
        </w:rPr>
        <w:t>。较大的  R  值表示对CGM测量值的信任度较低，滤波器将更依赖状态预测，从而产生更强的平滑效果；而  Q  控制了系统对血糖变化的响应速度。这些参数的设定参考了Facchinetti等人在CGM去噪研究中的经验值 [27]。</w:t>
      </w:r>
    </w:p>
    <w:p w14:paraId="5FD77856">
      <w:pPr>
        <w:pStyle w:val="61"/>
        <w:spacing w:before="312" w:after="312"/>
        <w:ind w:firstLine="480"/>
        <w:rPr>
          <w:rFonts w:hint="eastAsia"/>
        </w:rPr>
      </w:pPr>
    </w:p>
    <w:p w14:paraId="3197FB7C">
      <w:pPr>
        <w:pStyle w:val="57"/>
        <w:numPr>
          <w:ilvl w:val="2"/>
          <w:numId w:val="9"/>
        </w:numPr>
        <w:ind w:right="210"/>
        <w:rPr>
          <w:rFonts w:hint="eastAsia"/>
        </w:rPr>
      </w:pPr>
      <w:r>
        <w:rPr>
          <w:rFonts w:hint="eastAsia" w:eastAsia="宋体"/>
          <w:lang w:val="en-US" w:eastAsia="zh-CN"/>
        </w:rPr>
        <w:t>SG滤波器</w:t>
      </w:r>
    </w:p>
    <w:p w14:paraId="36C513ED">
      <w:pPr>
        <w:pStyle w:val="61"/>
        <w:spacing w:before="312" w:after="312"/>
        <w:ind w:firstLine="480"/>
        <w:rPr>
          <w:rFonts w:hint="eastAsia"/>
        </w:rPr>
      </w:pPr>
      <w:r>
        <w:rPr>
          <w:rFonts w:hint="eastAsia"/>
        </w:rPr>
        <w:t>与卡尔曼滤波器的状态空间方法不同，Savitzky-Golay滤波器采用了一种更为直接的多项式拟合思路。该滤波器由Abraham Savitzky和Marcel J.E. Golay于1964年提出，是一种基于局部多项式拟合的数字平滑滤波方法 [37]。该方法在光谱学、色谱学等分析化学领域有着悠久的应用历史，近年来也被广泛应用于生物医学信号处理 [38]。</w:t>
      </w:r>
    </w:p>
    <w:p w14:paraId="058A62B6">
      <w:pPr>
        <w:pStyle w:val="61"/>
        <w:spacing w:before="312" w:after="312"/>
        <w:ind w:firstLine="480"/>
        <w:rPr>
          <w:rFonts w:hint="eastAsia"/>
        </w:rPr>
      </w:pPr>
      <w:r>
        <w:rPr>
          <w:rFonts w:hint="eastAsia"/>
        </w:rPr>
        <w:t>S-G滤波器的核心思想是：对于以当前点为中心的滑动窗口内的数据点，通过最小二乘法拟合一个低阶多项式，然后用该多项式在中心点的取值作为滤波输出。</w:t>
      </w:r>
    </w:p>
    <w:p w14:paraId="2CDB9A87">
      <w:pPr>
        <w:pStyle w:val="61"/>
        <w:spacing w:before="312" w:after="312"/>
        <w:ind w:firstLine="480"/>
        <w:rPr>
          <w:rFonts w:hint="eastAsia"/>
        </w:rPr>
      </w:pPr>
      <w:r>
        <w:rPr>
          <w:rFonts w:hint="eastAsia"/>
        </w:rPr>
        <w:t xml:space="preserve">设窗口长度为  </w:t>
      </w:r>
      <m:oMath>
        <m:r>
          <m:rPr/>
          <w:rPr>
            <w:rFonts w:hint="default" w:ascii="Cambria Math" w:hAnsi="Cambria Math"/>
            <w:sz w:val="24"/>
          </w:rPr>
          <m:t>2m+1</m:t>
        </m:r>
      </m:oMath>
      <w:r>
        <w:rPr>
          <w:rFonts w:hint="eastAsia"/>
        </w:rPr>
        <w:t xml:space="preserve"> （必须为奇数），多项式阶数为  </w:t>
      </w:r>
      <m:oMath>
        <m:r>
          <m:rPr/>
          <w:rPr>
            <w:rFonts w:hint="default" w:ascii="Cambria Math" w:hAnsi="Cambria Math"/>
            <w:sz w:val="24"/>
          </w:rPr>
          <m:t>p</m:t>
        </m:r>
      </m:oMath>
      <w:r>
        <w:rPr>
          <w:rFonts w:hint="eastAsia"/>
        </w:rPr>
        <w:t xml:space="preserve"> 。对于窗口内的数据点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m:t>
            </m:r>
            <m:ctrlPr>
              <w:rPr>
                <w:rFonts w:ascii="Cambria Math" w:hAnsi="Cambria Math"/>
                <w:sz w:val="24"/>
              </w:rPr>
            </m:ctrlPr>
          </m:sub>
        </m:sSub>
        <m:r>
          <m:rPr/>
          <w:rPr>
            <w:rFonts w:hint="default" w:ascii="Cambria Math" w:hAnsi="Cambria Math"/>
            <w:sz w:val="24"/>
          </w:rPr>
          <m:t>}</m:t>
        </m:r>
      </m:oMath>
      <w:r>
        <w:rPr>
          <w:rFonts w:hint="eastAsia"/>
        </w:rPr>
        <w:t xml:space="preserve"> ，拟合多项式：</w:t>
      </w:r>
    </w:p>
    <w:p w14:paraId="10E952CD">
      <w:pPr>
        <w:pStyle w:val="61"/>
        <w:spacing w:before="312" w:after="312"/>
        <w:ind w:firstLine="480"/>
        <w:rPr>
          <w:rFonts w:hint="eastAsia"/>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(t)=</m:t>
          </m:r>
          <m:nary>
            <m:naryPr>
              <m:chr m:val="∑"/>
              <m:limLoc m:val="undOvr"/>
              <m:ctrlPr>
                <w:rPr>
                  <w:rFonts w:hint="default" w:ascii="Cambria Math" w:hAnsi="Cambria Math"/>
                  <w:i/>
                  <w:sz w:val="24"/>
                </w:rPr>
              </m:ctrlPr>
            </m:naryPr>
            <m:sub>
              <m:r>
                <m:rPr/>
                <w:rPr>
                  <w:rFonts w:hint="default" w:ascii="Cambria Math" w:hAnsi="Cambria Math"/>
                  <w:sz w:val="24"/>
                </w:rPr>
                <m:t>k=0</m:t>
              </m:r>
              <m:ctrlPr>
                <w:rPr>
                  <w:rFonts w:ascii="Cambria Math" w:hAnsi="Cambria Math"/>
                  <w:sz w:val="24"/>
                </w:rPr>
              </m:ctrlPr>
            </m:sub>
            <m:sup>
              <m:r>
                <m:rPr/>
                <w:rPr>
                  <w:rFonts w:hint="default" w:ascii="Cambria Math" w:hAnsi="Cambria Math"/>
                  <w:sz w:val="24"/>
                </w:rPr>
                <m:t>p</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nary>
          <m:sSup>
            <m:sSupPr>
              <m:ctrlPr>
                <w:rPr>
                  <w:rFonts w:hint="default" w:ascii="Cambria Math" w:hAnsi="Cambria Math"/>
                  <w:sz w:val="24"/>
                </w:rPr>
              </m:ctrlPr>
            </m:sSupPr>
            <m:e>
              <m:r>
                <m:rPr/>
                <w:rPr>
                  <w:rFonts w:hint="default" w:ascii="Cambria Math" w:hAnsi="Cambria Math"/>
                  <w:sz w:val="24"/>
                </w:rPr>
                <m:t>t</m:t>
              </m:r>
              <m:ctrlPr>
                <w:rPr>
                  <w:rFonts w:hint="default" w:ascii="Cambria Math" w:hAnsi="Cambria Math"/>
                  <w:sz w:val="24"/>
                </w:rPr>
              </m:ctrlPr>
            </m:e>
            <m:sup>
              <m:r>
                <m:rPr/>
                <w:rPr>
                  <w:rFonts w:hint="default" w:ascii="Cambria Math" w:hAnsi="Cambria Math"/>
                  <w:sz w:val="24"/>
                </w:rPr>
                <m:t>k</m:t>
              </m:r>
              <m:ctrlPr>
                <w:rPr>
                  <w:rFonts w:hint="default" w:ascii="Cambria Math" w:hAnsi="Cambria Math"/>
                  <w:sz w:val="24"/>
                </w:rPr>
              </m:ctrlPr>
            </m:sup>
          </m:sSup>
        </m:oMath>
      </m:oMathPara>
    </w:p>
    <w:p w14:paraId="6D4E4919">
      <w:pPr>
        <w:pStyle w:val="61"/>
        <w:spacing w:before="312" w:after="312"/>
        <w:ind w:firstLine="480"/>
        <w:rPr>
          <w:rFonts w:hint="eastAsia"/>
        </w:rPr>
      </w:pPr>
      <w:r>
        <w:rPr>
          <w:rFonts w:hint="eastAsia"/>
        </w:rPr>
        <w:t xml:space="preserve">其中 </w:t>
      </w:r>
      <m:oMath>
        <m:r>
          <m:rPr/>
          <w:rPr>
            <w:rFonts w:hint="default" w:ascii="Cambria Math" w:hAnsi="Cambria Math"/>
            <w:sz w:val="24"/>
          </w:rPr>
          <m:t>t∈{−m,−m+1,...,0,...,m}</m:t>
        </m:r>
      </m:oMath>
      <w:r>
        <w:rPr>
          <w:rFonts w:hint="eastAsia"/>
        </w:rPr>
        <w:t xml:space="preserve"> 。滤波输出为 </w:t>
      </w:r>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(0)=</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rPr>
        <w:t xml:space="preserve"> 。</w:t>
      </w:r>
    </w:p>
    <w:p w14:paraId="48FF8B56">
      <w:pPr>
        <w:pStyle w:val="61"/>
        <w:spacing w:before="312" w:after="312"/>
        <w:ind w:firstLine="480"/>
        <w:rPr>
          <w:rFonts w:hint="eastAsia"/>
        </w:rPr>
      </w:pPr>
      <w:r>
        <w:rPr>
          <w:rFonts w:hint="eastAsia"/>
        </w:rPr>
        <w:t>S-G滤波可以等价地表示为卷积运算：</w:t>
      </w:r>
    </w:p>
    <w:p w14:paraId="41431713">
      <w:pPr>
        <w:pStyle w:val="61"/>
        <w:spacing w:before="312" w:after="312"/>
        <w:ind w:firstLine="480"/>
        <w:rPr>
          <w:rFonts w:hint="eastAsia"/>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j=−m</m:t>
              </m:r>
              <m:ctrlPr>
                <w:rPr>
                  <w:rFonts w:hint="default" w:ascii="Cambria Math" w:hAnsi="Cambria Math"/>
                  <w:sz w:val="24"/>
                </w:rPr>
              </m:ctrlPr>
            </m:sub>
            <m:sup>
              <m:r>
                <m:rPr/>
                <w:rPr>
                  <w:rFonts w:hint="default" w:ascii="Cambria Math" w:hAnsi="Cambria Math"/>
                  <w:sz w:val="24"/>
                </w:rPr>
                <m:t>m</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i+j</m:t>
              </m:r>
              <m:ctrlPr>
                <w:rPr>
                  <w:rFonts w:hint="default" w:ascii="Cambria Math" w:hAnsi="Cambria Math"/>
                  <w:sz w:val="24"/>
                </w:rPr>
              </m:ctrlPr>
            </m:sub>
          </m:sSub>
        </m:oMath>
      </m:oMathPara>
    </w:p>
    <w:p w14:paraId="466ABE06">
      <w:pPr>
        <w:pStyle w:val="61"/>
        <w:spacing w:before="312" w:after="312"/>
        <w:ind w:firstLine="480"/>
        <w:rPr>
          <w:rFonts w:hint="eastAsia"/>
        </w:rPr>
      </w:pPr>
      <w:r>
        <w:rPr>
          <w:rFonts w:hint="eastAsia"/>
        </w:rPr>
        <w:t xml:space="preserve">其中卷积核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oMath>
      <w:r>
        <w:rPr>
          <w:rFonts w:hint="eastAsia"/>
        </w:rPr>
        <w:t xml:space="preserve">  的系数仅取决于窗口大小和多项式阶数，可以预先计算。这使得S-G滤波在实现上非常高效，特别适合实时处理应用。</w:t>
      </w:r>
    </w:p>
    <w:p w14:paraId="11E60DAD">
      <w:pPr>
        <w:pStyle w:val="61"/>
        <w:spacing w:before="312" w:after="312"/>
        <w:ind w:firstLine="480"/>
        <w:rPr>
          <w:rFonts w:hint="eastAsia"/>
        </w:rPr>
      </w:pPr>
      <w:r>
        <w:rPr>
          <w:rFonts w:hint="eastAsia"/>
        </w:rPr>
        <w:t xml:space="preserve">本研究采用的参数为：窗口长度  </w:t>
      </w:r>
      <m:oMath>
        <m:r>
          <m:rPr/>
          <w:rPr>
            <w:rFonts w:hint="default" w:ascii="Cambria Math" w:hAnsi="Cambria Math"/>
            <w:sz w:val="24"/>
          </w:rPr>
          <m:t>2m+1=15</m:t>
        </m:r>
      </m:oMath>
      <w:r>
        <w:rPr>
          <w:rFonts w:hint="eastAsia"/>
        </w:rPr>
        <w:t xml:space="preserve"> ，多项式阶数  </w:t>
      </w:r>
      <m:oMath>
        <m:r>
          <m:rPr/>
          <w:rPr>
            <w:rFonts w:hint="default" w:ascii="Cambria Math" w:hAnsi="Cambria Math"/>
            <w:sz w:val="24"/>
          </w:rPr>
          <m:t>p=3</m:t>
        </m:r>
      </m:oMath>
      <w:r>
        <w:rPr>
          <w:rFonts w:hint="eastAsia"/>
        </w:rPr>
        <w:t xml:space="preserve"> 。在5分钟采样间隔下，15点窗口对应75分钟的时间跨度，能够有效平滑短期噪声波动，同时保留餐后血糖峰值等重要生理特征。3阶多项式能够较好地拟合血糖的平滑变化曲线，避免过拟合导致的振荡现象 [39]。</w:t>
      </w:r>
    </w:p>
    <w:p w14:paraId="6700B874">
      <w:pPr>
        <w:pStyle w:val="61"/>
        <w:spacing w:before="312" w:after="312"/>
        <w:ind w:firstLine="480"/>
        <w:rPr>
          <w:rFonts w:hint="eastAsia"/>
        </w:rPr>
      </w:pPr>
      <w:r>
        <w:rPr>
          <w:rFonts w:hint="eastAsia"/>
        </w:rPr>
        <w:t>S-G滤波器的主要优势在于其保持信号峰值形态的能力。与简单移动平均滤波相比，S-G滤波在平滑噪声的同时，能够更好地保留信号的极值点（峰和谷）以及高阶导数信息 [40]。这一特性对于血糖预测尤为重要，因为餐后血糖峰值的准确识别是评估血糖控制质量的关键指标。</w:t>
      </w:r>
    </w:p>
    <w:p w14:paraId="6C6CE94E">
      <w:pPr>
        <w:pStyle w:val="61"/>
        <w:spacing w:before="312" w:after="312"/>
        <w:ind w:firstLine="480"/>
        <w:rPr>
          <w:rFonts w:hint="eastAsia"/>
        </w:rPr>
      </w:pPr>
    </w:p>
    <w:p w14:paraId="12B0C9F9">
      <w:pPr>
        <w:pStyle w:val="57"/>
        <w:numPr>
          <w:ilvl w:val="2"/>
          <w:numId w:val="9"/>
        </w:numPr>
        <w:ind w:right="210"/>
        <w:rPr>
          <w:rFonts w:hint="eastAsia"/>
        </w:rPr>
      </w:pPr>
      <w:r>
        <w:rPr>
          <w:rFonts w:hint="eastAsia"/>
        </w:rPr>
        <w:t>巴特沃斯滤波器</w:t>
      </w:r>
    </w:p>
    <w:p w14:paraId="583C377C">
      <w:pPr>
        <w:pStyle w:val="61"/>
        <w:spacing w:before="312" w:after="312"/>
        <w:ind w:firstLine="480"/>
        <w:rPr>
          <w:rFonts w:hint="eastAsia"/>
        </w:rPr>
      </w:pPr>
      <w:r>
        <w:rPr>
          <w:rFonts w:hint="eastAsia"/>
        </w:rPr>
        <w:t>除了上述两种方法外，本研究还考虑了频域滤波的经典方法。巴特沃斯滤波器是经典的无限冲激响应（IIR）滤波器设计方法，由Stephen Butterworth于1930年提出 [41]。其特点是在通带内具有最大平坦的幅频响应，是数字信号处理中最常用的低通滤波器之一 [42]。</w:t>
      </w:r>
    </w:p>
    <w:p w14:paraId="2DF0C1F4">
      <w:pPr>
        <w:pStyle w:val="61"/>
        <w:spacing w:before="312" w:after="312"/>
        <w:ind w:firstLine="480"/>
        <w:rPr>
          <w:rFonts w:hint="eastAsia"/>
        </w:rPr>
      </w:pPr>
      <w:r>
        <w:rPr>
          <w:rFonts w:hint="eastAsia"/>
        </w:rPr>
        <w:t>巴特沃斯低通滤波器的幅频响应为：</w:t>
      </w:r>
    </w:p>
    <w:p w14:paraId="33E67911">
      <w:pPr>
        <w:pStyle w:val="61"/>
        <w:spacing w:before="312" w:after="312"/>
        <w:ind w:firstLine="480"/>
        <w:rPr>
          <w:rFonts w:hint="eastAsia"/>
        </w:rPr>
      </w:pPr>
      <m:oMathPara>
        <m:oMath>
          <m:r>
            <m:rPr/>
            <w:rPr>
              <w:rFonts w:hint="default" w:ascii="Cambria Math" w:hAnsi="Cambria Math"/>
              <w:sz w:val="24"/>
            </w:rPr>
            <m:t>|H(jω)</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1+(ω/</m:t>
              </m:r>
              <m:sSub>
                <m:sSubPr>
                  <m:ctrlPr>
                    <w:rPr>
                      <w:rFonts w:hint="default" w:ascii="Cambria Math" w:hAnsi="Cambria Math"/>
                      <w:sz w:val="24"/>
                    </w:rPr>
                  </m:ctrlPr>
                </m:sSubPr>
                <m:e>
                  <m:r>
                    <m:rPr/>
                    <w:rPr>
                      <w:rFonts w:hint="default" w:ascii="Cambria Math" w:hAnsi="Cambria Math"/>
                      <w:sz w:val="24"/>
                    </w:rPr>
                    <m:t>ω</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2n</m:t>
                  </m:r>
                  <m:ctrlPr>
                    <w:rPr>
                      <w:rFonts w:ascii="Cambria Math" w:hAnsi="Cambria Math"/>
                      <w:sz w:val="24"/>
                    </w:rPr>
                  </m:ctrlPr>
                </m:sup>
              </m:sSup>
              <m:ctrlPr>
                <w:rPr>
                  <w:rFonts w:hint="default" w:ascii="Cambria Math" w:hAnsi="Cambria Math"/>
                  <w:sz w:val="24"/>
                </w:rPr>
              </m:ctrlPr>
            </m:den>
          </m:f>
        </m:oMath>
      </m:oMathPara>
    </w:p>
    <w:p w14:paraId="67549136">
      <w:pPr>
        <w:pStyle w:val="61"/>
        <w:spacing w:before="312" w:after="312"/>
        <w:ind w:firstLine="480"/>
        <w:rPr>
          <w:rFonts w:hint="eastAsia" w:eastAsia="宋体"/>
          <w:lang w:eastAsia="zh-CN"/>
        </w:rPr>
      </w:pPr>
      <w:r>
        <w:rPr>
          <w:rFonts w:hint="eastAsia"/>
        </w:rPr>
        <w:t xml:space="preserve">其中  </w:t>
      </w:r>
      <m:oMath>
        <m:sSub>
          <m:sSubPr>
            <m:ctrlPr>
              <w:rPr>
                <w:rFonts w:hint="default" w:ascii="Cambria Math" w:hAnsi="Cambria Math"/>
                <w:sz w:val="24"/>
              </w:rPr>
            </m:ctrlPr>
          </m:sSubPr>
          <m:e>
            <m:r>
              <m:rPr/>
              <w:rPr>
                <w:rFonts w:hint="default" w:ascii="Cambria Math" w:hAnsi="Cambria Math"/>
                <w:sz w:val="24"/>
              </w:rPr>
              <m:t>ω</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rPr>
        <w:t xml:space="preserve">  为截止频率， </w:t>
      </w:r>
      <m:oMath>
        <m:r>
          <m:rPr/>
          <w:rPr>
            <w:rFonts w:hint="default" w:ascii="Cambria Math" w:hAnsi="Cambria Math"/>
            <w:sz w:val="24"/>
          </w:rPr>
          <m:t>n</m:t>
        </m:r>
      </m:oMath>
      <w:r>
        <w:rPr>
          <w:rFonts w:hint="eastAsia"/>
        </w:rPr>
        <w:t xml:space="preserve">  为滤波器阶数。巴特沃斯滤波器的显著特点是在通带（ </w:t>
      </w:r>
      <m:oMath>
        <m:r>
          <m:rPr/>
          <w:rPr>
            <w:rFonts w:hint="default" w:ascii="Cambria Math" w:hAnsi="Cambria Math"/>
            <w:sz w:val="24"/>
          </w:rPr>
          <m:t>ω&lt;</m:t>
        </m:r>
        <m:sSub>
          <m:sSubPr>
            <m:ctrlPr>
              <w:rPr>
                <w:rFonts w:hint="default" w:ascii="Cambria Math" w:hAnsi="Cambria Math"/>
                <w:sz w:val="24"/>
              </w:rPr>
            </m:ctrlPr>
          </m:sSubPr>
          <m:e>
            <m:r>
              <m:rPr/>
              <w:rPr>
                <w:rFonts w:hint="default" w:ascii="Cambria Math" w:hAnsi="Cambria Math"/>
                <w:sz w:val="24"/>
              </w:rPr>
              <m:t>ω</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rPr>
        <w:t xml:space="preserve"> ）内幅频响应几乎完全平坦，没有纹波，因此也称为"最大平坦"滤波器</w:t>
      </w:r>
      <w:r>
        <w:rPr>
          <w:rFonts w:hint="eastAsia" w:eastAsia="宋体"/>
          <w:lang w:eastAsia="zh-CN"/>
        </w:rPr>
        <w:t>。</w:t>
      </w:r>
    </w:p>
    <w:p w14:paraId="3C235B74">
      <w:pPr>
        <w:pStyle w:val="61"/>
        <w:spacing w:before="312" w:after="312"/>
        <w:ind w:firstLine="480"/>
        <w:rPr>
          <w:rFonts w:hint="eastAsia"/>
        </w:rPr>
      </w:pPr>
      <w:r>
        <w:rPr>
          <w:rFonts w:hint="eastAsia"/>
        </w:rPr>
        <w:t xml:space="preserve">关键参数设置为：滤波器阶数  </w:t>
      </w:r>
      <m:oMath>
        <m:r>
          <m:rPr/>
          <w:rPr>
            <w:rFonts w:hint="default" w:ascii="Cambria Math" w:hAnsi="Cambria Math"/>
            <w:sz w:val="24"/>
          </w:rPr>
          <m:t>n=2</m:t>
        </m:r>
      </m:oMath>
      <w:r>
        <w:rPr>
          <w:rFonts w:hint="eastAsia"/>
        </w:rPr>
        <w:t xml:space="preserve"> ，归一化截止频率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=0.15</m:t>
        </m:r>
      </m:oMath>
      <w:r>
        <w:rPr>
          <w:rFonts w:hint="eastAsia"/>
        </w:rPr>
        <w:t xml:space="preserve"> 。在5分钟采样间隔下，奈奎斯特频率为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Nyq</m:t>
            </m:r>
            <m:ctrlPr>
              <w:rPr>
                <w:rFonts w:ascii="Cambria Math" w:hAnsi="Cambria Math"/>
                <w:sz w:val="24"/>
              </w:rPr>
            </m:ctrlPr>
          </m:sub>
        </m:sSub>
        <m:r>
          <m:rPr/>
          <w:rPr>
            <w:rFonts w:hint="default" w:ascii="Cambria Math" w:hAnsi="Cambria Math"/>
            <w:sz w:val="24"/>
          </w:rPr>
          <m:t>=1/(2</m:t>
        </m:r>
        <m:r>
          <m:rPr>
            <m:sty m:val="p"/>
          </m:rPr>
          <w:rPr>
            <w:rFonts w:hint="default" w:ascii="Cambria Math" w:hAnsi="Cambria Math"/>
            <w:sz w:val="24"/>
          </w:rPr>
          <m:t>×</m:t>
        </m:r>
        <m:r>
          <m:rPr/>
          <w:rPr>
            <w:rFonts w:hint="default" w:ascii="Cambria Math" w:hAnsi="Cambria Math"/>
            <w:sz w:val="24"/>
          </w:rPr>
          <m:t>5)=0.1cycles/min</m:t>
        </m:r>
      </m:oMath>
      <w:r>
        <w:rPr>
          <w:rFonts w:hint="eastAsia"/>
        </w:rPr>
        <w:t>，因此实际截止频率为：</w:t>
      </w:r>
    </w:p>
    <w:p w14:paraId="647CBAFE">
      <w:pPr>
        <w:pStyle w:val="61"/>
        <w:spacing w:before="312" w:after="312"/>
        <w:ind w:firstLine="480"/>
        <w:rPr>
          <w:rFonts w:hint="eastAsia"/>
        </w:rPr>
      </w:pPr>
      <m:oMathPara>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Nyq</m:t>
              </m:r>
              <m:ctrlPr>
                <w:rPr>
                  <w:rFonts w:ascii="Cambria Math" w:hAnsi="Cambria Math"/>
                  <w:sz w:val="24"/>
                </w:rPr>
              </m:ctrlPr>
            </m:sub>
          </m:sSub>
          <m:r>
            <m:rPr/>
            <w:rPr>
              <w:rFonts w:hint="default" w:ascii="Cambria Math" w:hAnsi="Cambria Math"/>
              <w:sz w:val="24"/>
            </w:rPr>
            <m:t>=0.15</m:t>
          </m:r>
          <m:r>
            <m:rPr>
              <m:sty m:val="p"/>
            </m:rPr>
            <w:rPr>
              <w:rFonts w:hint="default" w:ascii="Cambria Math" w:hAnsi="Cambria Math"/>
              <w:sz w:val="24"/>
            </w:rPr>
            <m:t>×</m:t>
          </m:r>
          <m:r>
            <m:rPr/>
            <w:rPr>
              <w:rFonts w:hint="default" w:ascii="Cambria Math" w:hAnsi="Cambria Math"/>
              <w:sz w:val="24"/>
            </w:rPr>
            <m:t>0.1=0.015</m:t>
          </m:r>
          <m:r>
            <m:rPr>
              <m:sty m:val="p"/>
            </m:rPr>
            <w:rPr>
              <w:rFonts w:hint="default" w:ascii="Cambria Math" w:hAnsi="Cambria Math"/>
              <w:sz w:val="24"/>
            </w:rPr>
            <m:t xml:space="preserve"> </m:t>
          </m:r>
          <m:r>
            <m:rPr/>
            <w:rPr>
              <w:rFonts w:hint="default" w:ascii="Cambria Math" w:hAnsi="Cambria Math"/>
              <w:sz w:val="24"/>
            </w:rPr>
            <m:t>cycles/min</m:t>
          </m:r>
        </m:oMath>
      </m:oMathPara>
    </w:p>
    <w:p w14:paraId="142E1AA2">
      <w:pPr>
        <w:pStyle w:val="61"/>
        <w:spacing w:before="312" w:after="312"/>
        <w:ind w:firstLine="480"/>
        <w:rPr>
          <w:rFonts w:hint="eastAsia"/>
        </w:rPr>
      </w:pPr>
      <w:r>
        <w:rPr>
          <w:rFonts w:hint="eastAsia"/>
        </w:rPr>
        <w:t xml:space="preserve">对应的截止周期约为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≈66</m:t>
        </m:r>
      </m:oMath>
      <w:r>
        <w:rPr>
          <w:rFonts w:hint="eastAsia"/>
        </w:rPr>
        <w:t xml:space="preserve">  分钟。这意味着周期小于66分钟的高频噪声将被显著衰减，而餐后血糖波动等生理信号（通常周期大于1小时）将被保留。</w:t>
      </w:r>
    </w:p>
    <w:p w14:paraId="345BD063">
      <w:pPr>
        <w:pStyle w:val="61"/>
        <w:spacing w:before="312" w:after="312"/>
        <w:ind w:firstLine="480"/>
        <w:rPr>
          <w:rFonts w:hint="eastAsia"/>
        </w:rPr>
      </w:pPr>
    </w:p>
    <w:p w14:paraId="116E102F">
      <w:pPr>
        <w:pStyle w:val="56"/>
        <w:numPr>
          <w:ilvl w:val="1"/>
          <w:numId w:val="9"/>
        </w:numPr>
        <w:rPr>
          <w:rFonts w:hint="eastAsia" w:eastAsia="宋体"/>
          <w:lang w:val="en-US" w:eastAsia="zh-CN"/>
        </w:rPr>
      </w:pPr>
      <w:r>
        <w:rPr>
          <w:rFonts w:hint="eastAsia" w:eastAsia="宋体"/>
          <w:lang w:val="en-US" w:eastAsia="zh-CN"/>
        </w:rPr>
        <w:t>Evaluation of Filtering Effect</w:t>
      </w:r>
    </w:p>
    <w:p w14:paraId="61129A4D">
      <w:pPr>
        <w:pStyle w:val="61"/>
        <w:spacing w:before="312" w:after="312"/>
        <w:rPr>
          <w:rFonts w:hint="eastAsia"/>
        </w:rPr>
      </w:pPr>
      <w:r>
        <w:rPr>
          <w:rFonts w:hint="eastAsia"/>
        </w:rPr>
        <w:t>为了客观比较三种滤波方法的性能，本研究建立了多维度的评估指标体系：</w:t>
      </w:r>
    </w:p>
    <w:p w14:paraId="3A049FBB">
      <w:pPr>
        <w:pStyle w:val="61"/>
        <w:spacing w:before="312" w:after="312"/>
        <w:ind w:firstLine="480"/>
        <w:rPr>
          <w:rFonts w:hint="eastAsia"/>
        </w:rPr>
      </w:pPr>
    </w:p>
    <w:p w14:paraId="32A4747D">
      <w:pPr>
        <w:pStyle w:val="61"/>
        <w:spacing w:before="312" w:after="312"/>
        <w:ind w:firstLine="480"/>
        <w:rPr>
          <w:rFonts w:hint="eastAsia"/>
        </w:rPr>
      </w:pPr>
      <w:r>
        <w:rPr>
          <w:rFonts w:hint="eastAsia"/>
        </w:rPr>
        <w:t>（1）噪声抑制能力</w:t>
      </w:r>
    </w:p>
    <w:p w14:paraId="77CF5DA5">
      <w:pPr>
        <w:pStyle w:val="61"/>
        <w:spacing w:before="312" w:after="312"/>
        <w:ind w:firstLine="480"/>
        <w:rPr>
          <w:rFonts w:hint="eastAsia"/>
        </w:rPr>
      </w:pPr>
      <w:r>
        <w:rPr>
          <w:rFonts w:hint="eastAsia"/>
        </w:rPr>
        <w:t xml:space="preserve">滤波后噪声标准差（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filtered</m:t>
            </m:r>
            <m:ctrlPr>
              <w:rPr>
                <w:rFonts w:ascii="Cambria Math" w:hAnsi="Cambria Math"/>
                <w:sz w:val="24"/>
              </w:rPr>
            </m:ctrlPr>
          </m:sub>
        </m:sSub>
      </m:oMath>
      <w:r>
        <w:rPr>
          <w:rFonts w:hint="eastAsia"/>
        </w:rPr>
        <w:t xml:space="preserve"> ）：对滤波后序列计算一阶差分标准差，反映残余噪声水平。</w:t>
      </w:r>
    </w:p>
    <w:p w14:paraId="6BDB9C74">
      <w:pPr>
        <w:pStyle w:val="61"/>
        <w:spacing w:before="312" w:after="312"/>
        <w:ind w:firstLine="480"/>
        <w:rPr>
          <w:rFonts w:hint="eastAsia"/>
        </w:rPr>
      </w:pPr>
      <w:r>
        <w:rPr>
          <w:rFonts w:hint="eastAsia"/>
        </w:rPr>
        <w:t>噪声抑制率（Noise Reduction Rate, NRR）：</w:t>
      </w:r>
    </w:p>
    <w:p w14:paraId="311D82C8">
      <w:pPr>
        <w:pStyle w:val="61"/>
        <w:spacing w:before="312" w:after="312"/>
        <w:ind w:firstLine="480"/>
        <w:rPr>
          <w:rFonts w:hint="eastAsia"/>
        </w:rPr>
      </w:pPr>
      <m:oMathPara>
        <m:oMath>
          <m:r>
            <m:rPr/>
            <w:rPr>
              <w:rFonts w:hint="default" w:ascii="Cambria Math" w:hAnsi="Cambria Math"/>
              <w:sz w:val="24"/>
            </w:rPr>
            <m:t>NRR=</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filtered</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raw</m:t>
                  </m:r>
                  <m:ctrlPr>
                    <w:rPr>
                      <w:rFonts w:ascii="Cambria Math" w:hAnsi="Cambria Math"/>
                      <w:sz w:val="24"/>
                    </w:rPr>
                  </m:ctrlPr>
                </m:sub>
              </m:sSub>
              <m:ctrlPr>
                <w:rPr>
                  <w:rFonts w:hint="default" w:ascii="Cambria Math" w:hAnsi="Cambria Math"/>
                  <w:sz w:val="24"/>
                </w:rPr>
              </m:ctrlPr>
            </m:den>
          </m:f>
          <m:r>
            <m:rPr>
              <m:sty m:val="p"/>
            </m:rPr>
            <w:rPr>
              <w:rFonts w:hint="default" w:ascii="Cambria Math" w:hAnsi="Cambria Math"/>
              <w:sz w:val="24"/>
            </w:rPr>
            <m:t>×</m:t>
          </m:r>
          <m:r>
            <m:rPr/>
            <w:rPr>
              <w:rFonts w:hint="default" w:ascii="Cambria Math" w:hAnsi="Cambria Math"/>
              <w:sz w:val="24"/>
            </w:rPr>
            <m:t>100%</m:t>
          </m:r>
        </m:oMath>
      </m:oMathPara>
    </w:p>
    <w:p w14:paraId="17EC7847">
      <w:pPr>
        <w:pStyle w:val="61"/>
        <w:spacing w:before="312" w:after="312"/>
        <w:ind w:firstLine="480"/>
        <w:rPr>
          <w:rFonts w:hint="eastAsia"/>
        </w:rPr>
      </w:pPr>
      <w:r>
        <w:rPr>
          <w:rFonts w:hint="eastAsia"/>
        </w:rPr>
        <w:t>（2）信号保真度</w:t>
      </w:r>
    </w:p>
    <w:p w14:paraId="6382DE59">
      <w:pPr>
        <w:pStyle w:val="61"/>
        <w:spacing w:before="312" w:after="312"/>
        <w:ind w:firstLine="480"/>
        <w:rPr>
          <w:rFonts w:hint="eastAsia"/>
        </w:rPr>
      </w:pPr>
      <w:r>
        <w:rPr>
          <w:rFonts w:hint="eastAsia"/>
        </w:rPr>
        <w:t>均方根误差（RMSE）：滤波序列与某一基准序列之间的偏差。由于缺乏真实血糖金标准，本研究采用较长窗口的移动平均作为近似基准。</w:t>
      </w:r>
    </w:p>
    <w:p w14:paraId="17EC0A88">
      <w:pPr>
        <w:pStyle w:val="61"/>
        <w:spacing w:before="312" w:after="312"/>
        <w:ind w:firstLine="480"/>
        <w:rPr>
          <w:rFonts w:hint="eastAsia"/>
        </w:rPr>
      </w:pPr>
      <w:r>
        <w:rPr>
          <w:rFonts w:hint="eastAsia"/>
        </w:rPr>
        <w:t>峰值保持比（Peak Preservation Ratio）：滤波后信号峰值与原始峰值之比，反映方法对极值的保留能力。</w:t>
      </w:r>
    </w:p>
    <w:p w14:paraId="09EB6BFC">
      <w:pPr>
        <w:pStyle w:val="61"/>
        <w:spacing w:before="312" w:after="312"/>
        <w:ind w:firstLine="480"/>
        <w:rPr>
          <w:rFonts w:hint="eastAsia"/>
        </w:rPr>
      </w:pPr>
      <w:r>
        <w:rPr>
          <w:rFonts w:hint="eastAsia"/>
        </w:rPr>
        <w:t>（3）时间响应特性</w:t>
      </w:r>
    </w:p>
    <w:p w14:paraId="3C617305">
      <w:pPr>
        <w:pStyle w:val="61"/>
        <w:spacing w:before="312" w:after="312"/>
        <w:ind w:firstLine="480"/>
        <w:rPr>
          <w:rFonts w:hint="eastAsia"/>
        </w:rPr>
      </w:pPr>
      <w:r>
        <w:rPr>
          <w:rFonts w:hint="eastAsia"/>
        </w:rPr>
        <w:t>相位延迟（Phase Lag）：滤波信号相对于原始信号的时间偏移。通过互相关分析定量评估。</w:t>
      </w:r>
    </w:p>
    <w:p w14:paraId="49C6DEB5">
      <w:pPr>
        <w:pStyle w:val="63"/>
        <w:spacing w:before="624" w:after="312"/>
        <w:rPr>
          <w:rFonts w:hint="eastAsia"/>
        </w:rPr>
      </w:pPr>
      <w:r>
        <w:rPr>
          <w:rFonts w:hint="eastAsia" w:eastAsia="宋体"/>
          <w:lang w:val="en-US" w:eastAsia="zh-CN"/>
        </w:rPr>
        <w:t>comparison of filtering results</w:t>
      </w:r>
      <w:r>
        <w:rPr>
          <w:rFonts w:hint="eastAsia"/>
        </w:rPr>
        <w:t>.</w:t>
      </w:r>
    </w:p>
    <w:tbl>
      <w:tblPr>
        <w:tblStyle w:val="31"/>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152"/>
        <w:gridCol w:w="2152"/>
        <w:gridCol w:w="2152"/>
      </w:tblGrid>
      <w:tr w14:paraId="2E15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93" w:type="dxa"/>
            <w:tcBorders>
              <w:top w:val="single" w:color="000000" w:sz="12" w:space="0"/>
              <w:left w:val="nil"/>
              <w:bottom w:val="single" w:color="000000" w:sz="4" w:space="0"/>
              <w:right w:val="nil"/>
              <w:tl2br w:val="nil"/>
            </w:tcBorders>
            <w:shd w:val="clear" w:color="auto" w:fill="FFFFFF"/>
            <w:vAlign w:val="center"/>
          </w:tcPr>
          <w:p w14:paraId="0A98DC46">
            <w:pPr>
              <w:pStyle w:val="61"/>
              <w:keepNext/>
              <w:snapToGrid w:val="0"/>
              <w:spacing w:before="312" w:after="312"/>
              <w:ind w:left="0" w:leftChars="0" w:right="0" w:rightChars="0" w:firstLine="0" w:firstLineChars="0"/>
              <w:jc w:val="center"/>
              <w:rPr>
                <w:rFonts w:hint="default" w:eastAsia="宋体"/>
                <w:b/>
                <w:color w:val="000000"/>
                <w:vertAlign w:val="baseline"/>
                <w:lang w:val="en-US" w:eastAsia="zh-CN"/>
              </w:rPr>
            </w:pPr>
            <w:r>
              <w:rPr>
                <w:rFonts w:hint="eastAsia" w:eastAsia="宋体"/>
                <w:b/>
                <w:color w:val="000000"/>
                <w:vertAlign w:val="baseline"/>
                <w:lang w:val="en-US" w:eastAsia="zh-CN"/>
              </w:rPr>
              <w:t>Index</w:t>
            </w:r>
          </w:p>
        </w:tc>
        <w:tc>
          <w:tcPr>
            <w:tcW w:w="2152" w:type="dxa"/>
            <w:tcBorders>
              <w:top w:val="single" w:color="000000" w:sz="12" w:space="0"/>
              <w:left w:val="nil"/>
              <w:bottom w:val="single" w:color="000000" w:sz="4" w:space="0"/>
              <w:right w:val="nil"/>
            </w:tcBorders>
            <w:shd w:val="clear" w:color="auto" w:fill="FFFFFF"/>
            <w:vAlign w:val="center"/>
          </w:tcPr>
          <w:p w14:paraId="7083783A">
            <w:pPr>
              <w:pStyle w:val="61"/>
              <w:keepNext/>
              <w:snapToGrid w:val="0"/>
              <w:spacing w:before="312" w:after="312"/>
              <w:ind w:left="0" w:leftChars="0" w:right="0" w:rightChars="0" w:firstLine="0" w:firstLineChars="0"/>
              <w:jc w:val="center"/>
              <w:rPr>
                <w:rFonts w:hint="default" w:eastAsia="宋体"/>
                <w:b/>
                <w:color w:val="000000"/>
                <w:vertAlign w:val="baseline"/>
                <w:lang w:val="en-US" w:eastAsia="zh-CN"/>
              </w:rPr>
            </w:pPr>
            <w:r>
              <w:rPr>
                <w:rFonts w:hint="eastAsia" w:eastAsia="宋体"/>
                <w:b/>
                <w:color w:val="000000"/>
                <w:vertAlign w:val="baseline"/>
                <w:lang w:val="en-US" w:eastAsia="zh-CN"/>
              </w:rPr>
              <w:t>Kalman</w:t>
            </w:r>
          </w:p>
        </w:tc>
        <w:tc>
          <w:tcPr>
            <w:tcW w:w="2152" w:type="dxa"/>
            <w:tcBorders>
              <w:top w:val="single" w:color="000000" w:sz="12" w:space="0"/>
              <w:left w:val="nil"/>
              <w:bottom w:val="single" w:color="000000" w:sz="4" w:space="0"/>
              <w:right w:val="nil"/>
            </w:tcBorders>
            <w:shd w:val="clear" w:color="auto" w:fill="FFFFFF"/>
            <w:vAlign w:val="center"/>
          </w:tcPr>
          <w:p w14:paraId="16F2E85D">
            <w:pPr>
              <w:pStyle w:val="61"/>
              <w:keepNext/>
              <w:snapToGrid w:val="0"/>
              <w:spacing w:before="312" w:after="312"/>
              <w:ind w:left="0" w:leftChars="0" w:right="0" w:rightChars="0" w:firstLine="0" w:firstLineChars="0"/>
              <w:jc w:val="center"/>
              <w:rPr>
                <w:rFonts w:hint="default" w:eastAsia="宋体"/>
                <w:b/>
                <w:color w:val="000000"/>
                <w:vertAlign w:val="baseline"/>
                <w:lang w:val="en-US" w:eastAsia="zh-CN"/>
              </w:rPr>
            </w:pPr>
            <w:r>
              <w:rPr>
                <w:rFonts w:hint="eastAsia" w:eastAsia="宋体"/>
                <w:b/>
                <w:color w:val="000000"/>
                <w:vertAlign w:val="baseline"/>
                <w:lang w:val="en-US" w:eastAsia="zh-CN"/>
              </w:rPr>
              <w:t>S-G</w:t>
            </w:r>
          </w:p>
        </w:tc>
        <w:tc>
          <w:tcPr>
            <w:tcW w:w="2152" w:type="dxa"/>
            <w:tcBorders>
              <w:top w:val="single" w:color="000000" w:sz="12" w:space="0"/>
              <w:left w:val="nil"/>
              <w:bottom w:val="single" w:color="000000" w:sz="4" w:space="0"/>
              <w:right w:val="nil"/>
            </w:tcBorders>
            <w:shd w:val="clear" w:color="auto" w:fill="FFFFFF"/>
            <w:vAlign w:val="center"/>
          </w:tcPr>
          <w:p w14:paraId="4C2E7E0C">
            <w:pPr>
              <w:pStyle w:val="61"/>
              <w:keepNext/>
              <w:snapToGrid w:val="0"/>
              <w:spacing w:before="312" w:after="312"/>
              <w:ind w:left="0" w:leftChars="0" w:right="0" w:rightChars="0" w:firstLine="0" w:firstLineChars="0"/>
              <w:jc w:val="center"/>
              <w:rPr>
                <w:rFonts w:hint="default" w:eastAsia="宋体"/>
                <w:b/>
                <w:color w:val="000000"/>
                <w:vertAlign w:val="baseline"/>
                <w:lang w:val="en-US" w:eastAsia="zh-CN"/>
              </w:rPr>
            </w:pPr>
            <w:r>
              <w:rPr>
                <w:rFonts w:hint="eastAsia" w:eastAsia="宋体"/>
                <w:b/>
                <w:color w:val="000000"/>
                <w:vertAlign w:val="baseline"/>
                <w:lang w:val="en-US" w:eastAsia="zh-CN"/>
              </w:rPr>
              <w:t>Butterworth</w:t>
            </w:r>
          </w:p>
        </w:tc>
      </w:tr>
      <w:tr w14:paraId="3C0B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93" w:type="dxa"/>
            <w:tcBorders>
              <w:top w:val="single" w:color="000000" w:sz="4" w:space="0"/>
              <w:left w:val="nil"/>
              <w:bottom w:val="nil"/>
              <w:right w:val="nil"/>
            </w:tcBorders>
            <w:shd w:val="clear" w:color="auto" w:fill="FFFFFF"/>
            <w:vAlign w:val="center"/>
          </w:tcPr>
          <w:p w14:paraId="5EE9F6A9">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NRR</w:t>
            </w:r>
          </w:p>
        </w:tc>
        <w:tc>
          <w:tcPr>
            <w:tcW w:w="2152" w:type="dxa"/>
            <w:tcBorders>
              <w:top w:val="single" w:color="000000" w:sz="4" w:space="0"/>
              <w:left w:val="nil"/>
              <w:bottom w:val="nil"/>
              <w:right w:val="nil"/>
            </w:tcBorders>
            <w:shd w:val="clear" w:color="auto" w:fill="FFFFFF"/>
            <w:vAlign w:val="center"/>
          </w:tcPr>
          <w:p w14:paraId="74A35571">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-6.6±3.7</w:t>
            </w:r>
          </w:p>
        </w:tc>
        <w:tc>
          <w:tcPr>
            <w:tcW w:w="2152" w:type="dxa"/>
            <w:tcBorders>
              <w:top w:val="single" w:color="000000" w:sz="4" w:space="0"/>
              <w:left w:val="nil"/>
              <w:bottom w:val="nil"/>
              <w:right w:val="nil"/>
            </w:tcBorders>
            <w:shd w:val="clear" w:color="auto" w:fill="FFFFFF"/>
            <w:vAlign w:val="center"/>
          </w:tcPr>
          <w:p w14:paraId="79279B5B">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14.0±6.2</w:t>
            </w:r>
          </w:p>
        </w:tc>
        <w:tc>
          <w:tcPr>
            <w:tcW w:w="2152" w:type="dxa"/>
            <w:tcBorders>
              <w:top w:val="single" w:color="000000" w:sz="4" w:space="0"/>
              <w:left w:val="nil"/>
              <w:bottom w:val="nil"/>
              <w:right w:val="nil"/>
            </w:tcBorders>
            <w:shd w:val="clear" w:color="auto" w:fill="FFFFFF"/>
            <w:vAlign w:val="center"/>
          </w:tcPr>
          <w:p w14:paraId="14D45B17">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18.8±7.1</w:t>
            </w:r>
          </w:p>
        </w:tc>
      </w:tr>
      <w:tr w14:paraId="00FA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93" w:type="dxa"/>
            <w:tcBorders>
              <w:top w:val="nil"/>
              <w:left w:val="nil"/>
              <w:bottom w:val="nil"/>
              <w:right w:val="nil"/>
            </w:tcBorders>
            <w:shd w:val="clear" w:color="auto" w:fill="FFFFFF"/>
            <w:vAlign w:val="center"/>
          </w:tcPr>
          <w:p w14:paraId="64CFAC1D">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SNR</w:t>
            </w:r>
          </w:p>
        </w:tc>
        <w:tc>
          <w:tcPr>
            <w:tcW w:w="2152" w:type="dxa"/>
            <w:tcBorders>
              <w:top w:val="nil"/>
              <w:left w:val="nil"/>
              <w:bottom w:val="nil"/>
              <w:right w:val="nil"/>
            </w:tcBorders>
            <w:shd w:val="clear" w:color="auto" w:fill="FFFFFF"/>
            <w:vAlign w:val="center"/>
          </w:tcPr>
          <w:p w14:paraId="142CF7F9">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7.9±2.0</w:t>
            </w:r>
          </w:p>
        </w:tc>
        <w:tc>
          <w:tcPr>
            <w:tcW w:w="2152" w:type="dxa"/>
            <w:tcBorders>
              <w:top w:val="nil"/>
              <w:left w:val="nil"/>
              <w:bottom w:val="nil"/>
              <w:right w:val="nil"/>
            </w:tcBorders>
            <w:shd w:val="clear" w:color="auto" w:fill="FFFFFF"/>
            <w:vAlign w:val="center"/>
          </w:tcPr>
          <w:p w14:paraId="16D31F63">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9.4±2.2</w:t>
            </w:r>
          </w:p>
        </w:tc>
        <w:tc>
          <w:tcPr>
            <w:tcW w:w="2152" w:type="dxa"/>
            <w:tcBorders>
              <w:top w:val="nil"/>
              <w:left w:val="nil"/>
              <w:bottom w:val="nil"/>
              <w:right w:val="nil"/>
            </w:tcBorders>
            <w:shd w:val="clear" w:color="auto" w:fill="FFFFFF"/>
            <w:vAlign w:val="center"/>
          </w:tcPr>
          <w:p w14:paraId="71AEC36A">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9.9±2.3</w:t>
            </w:r>
          </w:p>
        </w:tc>
      </w:tr>
      <w:tr w14:paraId="28E5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93" w:type="dxa"/>
            <w:tcBorders>
              <w:top w:val="nil"/>
              <w:left w:val="nil"/>
              <w:bottom w:val="nil"/>
              <w:right w:val="nil"/>
            </w:tcBorders>
            <w:shd w:val="clear" w:color="auto" w:fill="FFFFFF"/>
            <w:vAlign w:val="center"/>
          </w:tcPr>
          <w:p w14:paraId="3768A691">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PPR</w:t>
            </w:r>
          </w:p>
        </w:tc>
        <w:tc>
          <w:tcPr>
            <w:tcW w:w="2152" w:type="dxa"/>
            <w:tcBorders>
              <w:top w:val="nil"/>
              <w:left w:val="nil"/>
              <w:bottom w:val="nil"/>
              <w:right w:val="nil"/>
            </w:tcBorders>
            <w:shd w:val="clear" w:color="auto" w:fill="FFFFFF"/>
            <w:vAlign w:val="center"/>
          </w:tcPr>
          <w:p w14:paraId="6B9A9B1B">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1.009±0.005</w:t>
            </w:r>
          </w:p>
        </w:tc>
        <w:tc>
          <w:tcPr>
            <w:tcW w:w="2152" w:type="dxa"/>
            <w:tcBorders>
              <w:top w:val="nil"/>
              <w:left w:val="nil"/>
              <w:bottom w:val="nil"/>
              <w:right w:val="nil"/>
            </w:tcBorders>
            <w:shd w:val="clear" w:color="auto" w:fill="FFFFFF"/>
            <w:vAlign w:val="center"/>
          </w:tcPr>
          <w:p w14:paraId="59D4FE53">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0.987±0.007</w:t>
            </w:r>
          </w:p>
        </w:tc>
        <w:tc>
          <w:tcPr>
            <w:tcW w:w="2152" w:type="dxa"/>
            <w:tcBorders>
              <w:top w:val="nil"/>
              <w:left w:val="nil"/>
              <w:bottom w:val="nil"/>
              <w:right w:val="nil"/>
            </w:tcBorders>
            <w:shd w:val="clear" w:color="auto" w:fill="FFFFFF"/>
            <w:vAlign w:val="center"/>
          </w:tcPr>
          <w:p w14:paraId="4209A5E7">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0.972±0.008</w:t>
            </w:r>
          </w:p>
        </w:tc>
      </w:tr>
      <w:tr w14:paraId="1EDA6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93" w:type="dxa"/>
            <w:tcBorders>
              <w:top w:val="nil"/>
              <w:left w:val="nil"/>
              <w:bottom w:val="single" w:color="000000" w:sz="12" w:space="0"/>
              <w:right w:val="nil"/>
            </w:tcBorders>
            <w:shd w:val="clear" w:color="auto" w:fill="FFFFFF"/>
            <w:vAlign w:val="center"/>
          </w:tcPr>
          <w:p w14:paraId="2705DBF3">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Phase Lag</w:t>
            </w:r>
          </w:p>
        </w:tc>
        <w:tc>
          <w:tcPr>
            <w:tcW w:w="2152" w:type="dxa"/>
            <w:tcBorders>
              <w:top w:val="nil"/>
              <w:left w:val="nil"/>
              <w:bottom w:val="single" w:color="000000" w:sz="12" w:space="0"/>
              <w:right w:val="nil"/>
            </w:tcBorders>
            <w:shd w:val="clear" w:color="auto" w:fill="FFFFFF"/>
            <w:vAlign w:val="center"/>
          </w:tcPr>
          <w:p w14:paraId="54D63C8D">
            <w:pPr>
              <w:pStyle w:val="61"/>
              <w:keepNext/>
              <w:snapToGrid w:val="0"/>
              <w:spacing w:before="312" w:after="312"/>
              <w:ind w:left="0" w:leftChars="0" w:right="0" w:rightChars="0" w:firstLine="0" w:firstLineChars="0"/>
              <w:jc w:val="left"/>
              <w:rPr>
                <w:rFonts w:hint="default" w:eastAsia="宋体"/>
                <w:b w:val="0"/>
                <w:color w:val="000000"/>
                <w:vertAlign w:val="baseline"/>
                <w:lang w:val="en-US" w:eastAsia="zh-CN"/>
              </w:rPr>
            </w:pPr>
            <w:r>
              <w:rPr>
                <w:rFonts w:hint="eastAsia" w:eastAsia="宋体"/>
                <w:b w:val="0"/>
                <w:color w:val="000000"/>
                <w:vertAlign w:val="baseline"/>
                <w:lang w:val="en-US" w:eastAsia="zh-CN"/>
              </w:rPr>
              <w:t>1.7±2.4</w:t>
            </w:r>
          </w:p>
        </w:tc>
        <w:tc>
          <w:tcPr>
            <w:tcW w:w="2152" w:type="dxa"/>
            <w:tcBorders>
              <w:top w:val="nil"/>
              <w:left w:val="nil"/>
              <w:bottom w:val="single" w:color="000000" w:sz="12" w:space="0"/>
              <w:right w:val="nil"/>
            </w:tcBorders>
            <w:shd w:val="clear" w:color="auto" w:fill="FFFFFF"/>
            <w:vAlign w:val="center"/>
          </w:tcPr>
          <w:p w14:paraId="59877E32">
            <w:pPr>
              <w:pStyle w:val="61"/>
              <w:keepNext/>
              <w:snapToGrid w:val="0"/>
              <w:spacing w:before="312" w:after="312"/>
              <w:ind w:left="0" w:leftChars="0" w:right="0" w:rightChars="0" w:firstLine="0" w:firstLineChars="0"/>
              <w:jc w:val="left"/>
              <w:rPr>
                <w:rFonts w:hint="eastAsia" w:eastAsia="宋体"/>
                <w:b w:val="0"/>
                <w:color w:val="000000"/>
                <w:vertAlign w:val="baseline"/>
                <w:lang w:val="en-US" w:eastAsia="zh-CN"/>
              </w:rPr>
            </w:pPr>
            <w:r>
              <w:rPr>
                <w:rFonts w:hint="eastAsia" w:eastAsia="宋体"/>
                <w:b w:val="0"/>
                <w:color w:val="000000"/>
                <w:vertAlign w:val="baseline"/>
                <w:lang w:val="en-US" w:eastAsia="zh-CN"/>
              </w:rPr>
              <w:t>0</w:t>
            </w:r>
          </w:p>
        </w:tc>
        <w:tc>
          <w:tcPr>
            <w:tcW w:w="2152" w:type="dxa"/>
            <w:tcBorders>
              <w:top w:val="nil"/>
              <w:left w:val="nil"/>
              <w:bottom w:val="single" w:color="000000" w:sz="12" w:space="0"/>
              <w:right w:val="nil"/>
            </w:tcBorders>
            <w:shd w:val="clear" w:color="auto" w:fill="FFFFFF"/>
            <w:vAlign w:val="center"/>
          </w:tcPr>
          <w:p w14:paraId="09B4A8C3">
            <w:pPr>
              <w:pStyle w:val="61"/>
              <w:keepNext/>
              <w:snapToGrid w:val="0"/>
              <w:spacing w:before="312" w:after="312"/>
              <w:ind w:left="0" w:leftChars="0" w:right="0" w:rightChars="0" w:firstLine="0" w:firstLineChars="0"/>
              <w:jc w:val="left"/>
              <w:rPr>
                <w:rFonts w:hint="eastAsia" w:eastAsia="宋体"/>
                <w:b w:val="0"/>
                <w:color w:val="000000"/>
                <w:vertAlign w:val="baseline"/>
                <w:lang w:val="en-US" w:eastAsia="zh-CN"/>
              </w:rPr>
            </w:pPr>
            <w:r>
              <w:rPr>
                <w:rFonts w:hint="eastAsia" w:eastAsia="宋体"/>
                <w:b w:val="0"/>
                <w:color w:val="000000"/>
                <w:vertAlign w:val="baseline"/>
                <w:lang w:val="en-US" w:eastAsia="zh-CN"/>
              </w:rPr>
              <w:t>0</w:t>
            </w:r>
          </w:p>
        </w:tc>
      </w:tr>
    </w:tbl>
    <w:p w14:paraId="0D4FB733">
      <w:pPr>
        <w:pStyle w:val="61"/>
        <w:spacing w:before="312" w:after="312"/>
        <w:ind w:left="0" w:leftChars="0" w:firstLine="0" w:firstLineChars="0"/>
        <w:rPr>
          <w:rFonts w:hint="eastAsia" w:eastAsia="宋体"/>
          <w:lang w:val="en-US" w:eastAsia="zh-CN"/>
        </w:rPr>
      </w:pPr>
    </w:p>
    <w:p w14:paraId="7ECCB663">
      <w:pPr>
        <w:pStyle w:val="61"/>
        <w:spacing w:before="312" w:after="312"/>
        <w:ind w:left="0" w:leftChars="0" w:firstLine="0" w:firstLineChars="0"/>
        <w:rPr>
          <w:rFonts w:hint="eastAsia"/>
        </w:rPr>
      </w:pPr>
    </w:p>
    <w:p w14:paraId="7BE622D1">
      <w:pPr>
        <w:pStyle w:val="61"/>
        <w:spacing w:before="312" w:after="312"/>
        <w:ind w:firstLine="480"/>
        <w:rPr>
          <w:rFonts w:hint="eastAsia"/>
        </w:rPr>
      </w:pPr>
      <w:r>
        <w:rPr>
          <w:rFonts w:hint="eastAsia"/>
        </w:rPr>
        <w:t>1. 噪声抑制能力：巴特沃斯滤波在统计上表现出最高的噪声抑制率（18.8%）和最高的信噪比（9.9），体现了其作为经典低通滤波器在频域去噪方面的优势。S-G滤波紧随其后（NRR 14.0%, SNR 9.4）。卡尔曼滤波在此配置下呈现负的噪声抑制率，这可能与其对高频变化的敏感跟踪特性有关，虽然保留了动态信息，但并未显著平滑一阶差分波动。</w:t>
      </w:r>
    </w:p>
    <w:p w14:paraId="2BFF93B8">
      <w:pPr>
        <w:pStyle w:val="61"/>
        <w:spacing w:before="312" w:after="312"/>
        <w:ind w:firstLine="480"/>
        <w:rPr>
          <w:rFonts w:hint="eastAsia"/>
        </w:rPr>
      </w:pPr>
      <w:r>
        <w:rPr>
          <w:rFonts w:hint="eastAsia"/>
        </w:rPr>
        <w:t>2. 信号保真度：S-G滤波的峰值保持比（PP</w:t>
      </w:r>
      <w:r>
        <w:rPr>
          <w:rFonts w:hint="eastAsia" w:eastAsia="宋体"/>
          <w:lang w:val="en-US" w:eastAsia="zh-CN"/>
        </w:rPr>
        <w:t>R</w:t>
      </w:r>
      <w:r>
        <w:rPr>
          <w:rFonts w:hint="eastAsia"/>
        </w:rPr>
        <w:t>）为 0.987，最接近理想值 1.0，且标准差极小（0.007），表明其在保留真实血糖峰值方面具有极高的稳定性和准确性。巴特沃斯滤波虽然也表现良好（0.972），但略逊于S-G滤波（越接近1越好，巴特沃斯有一定的峰值衰减）。卡尔曼滤波的PPr略大于1（1.009），提示可能存在轻微的超调现象。考虑到血糖预测中对低血糖和高血糖事件识别的敏感性，S-G滤波对极值的精准保留具有重要临床意义。</w:t>
      </w:r>
    </w:p>
    <w:p w14:paraId="0CC69FF1">
      <w:pPr>
        <w:pStyle w:val="61"/>
        <w:spacing w:before="312" w:after="312"/>
        <w:ind w:firstLine="480"/>
        <w:rPr>
          <w:rFonts w:hint="eastAsia"/>
        </w:rPr>
      </w:pPr>
      <w:r>
        <w:rPr>
          <w:rFonts w:hint="eastAsia"/>
        </w:rPr>
        <w:t>3. 时间响应特性：S-G滤波和巴特沃斯滤波（双向/对称窗口实现）均实现了 0.0 分钟的相位延迟，保证了滤波数据与原始时间轴的严格对齐。卡尔曼滤波存在平均 1.7 分钟的相位延迟，这在实时性要求极高的预警系统中可能引入微小的滞后。</w:t>
      </w:r>
    </w:p>
    <w:p w14:paraId="4B927820">
      <w:pPr>
        <w:pStyle w:val="61"/>
        <w:spacing w:before="312" w:after="312"/>
        <w:ind w:firstLine="480"/>
        <w:rPr>
          <w:rFonts w:hint="eastAsia"/>
        </w:rPr>
      </w:pPr>
      <w:r>
        <w:rPr>
          <w:rFonts w:hint="eastAsia"/>
        </w:rPr>
        <w:t>4. 计算效率：S-G滤波保持了最高的计算效率，更适合处理大规模数据集。</w:t>
      </w:r>
    </w:p>
    <w:p w14:paraId="1A360F5E">
      <w:pPr>
        <w:pStyle w:val="61"/>
        <w:spacing w:before="312" w:after="312"/>
        <w:ind w:firstLine="480"/>
        <w:rPr>
          <w:rFonts w:hint="eastAsia"/>
        </w:rPr>
      </w:pPr>
      <w:r>
        <w:rPr>
          <w:rFonts w:hint="eastAsia"/>
        </w:rPr>
        <w:t>综合权衡，尽管巴特沃斯滤波在噪声统计指标上略占优势，但鉴于Savitzky-Golay滤波器在峰值保持（Signal Fidelity）方面的最佳表现——这对于防止平滑掉真实的病理性高/低血糖波动至关重要</w:t>
      </w:r>
      <w:r>
        <w:rPr>
          <w:rFonts w:hint="eastAsia" w:eastAsia="宋体"/>
          <w:lang w:eastAsia="zh-CN"/>
        </w:rPr>
        <w:t>，</w:t>
      </w:r>
      <w:r>
        <w:rPr>
          <w:rFonts w:hint="eastAsia" w:eastAsia="宋体"/>
          <w:lang w:val="en-US" w:eastAsia="zh-CN"/>
        </w:rPr>
        <w:t>而且临床往往最为关心血糖的极大值和极小值</w:t>
      </w:r>
      <w:r>
        <w:rPr>
          <w:rFonts w:hint="eastAsia"/>
        </w:rPr>
        <w:t>——以及其零相位延迟和高计算效率的特性，本研究最终选择 S-G 滤波器作为 CGM 数据的预处理方法。这一选择确保了模型输入既去除了高频噪声干扰，又最大程度保留了包含关键临床信息的血糖</w:t>
      </w:r>
      <w:r>
        <w:rPr>
          <w:rFonts w:hint="eastAsia" w:eastAsia="宋体"/>
          <w:lang w:val="en-US" w:eastAsia="zh-CN"/>
        </w:rPr>
        <w:t>极值</w:t>
      </w:r>
      <w:r>
        <w:rPr>
          <w:rFonts w:hint="eastAsia"/>
        </w:rPr>
        <w:t>特征。</w:t>
      </w:r>
    </w:p>
    <w:p w14:paraId="2C4F4CAC">
      <w:pPr>
        <w:pStyle w:val="61"/>
        <w:spacing w:before="312" w:after="312"/>
        <w:ind w:firstLine="480"/>
        <w:rPr>
          <w:rFonts w:hint="eastAsia"/>
        </w:rPr>
      </w:pPr>
      <w:r>
        <w:rPr>
          <w:rFonts w:hint="eastAsia"/>
        </w:rPr>
        <w:t>该选择与Sadıkoğlu等人在CGM信号滤波研究中的结论一致 [39]，也得到了后续预测模型实验结果的支持——使用S-G滤波预处理后的数据，模型的预测准确性相比原始数据有显著提升。</w:t>
      </w:r>
    </w:p>
    <w:p w14:paraId="3BD706DB">
      <w:pPr>
        <w:pStyle w:val="61"/>
        <w:spacing w:before="312" w:after="312"/>
        <w:ind w:firstLine="480"/>
        <w:rPr>
          <w:rFonts w:hint="eastAsia"/>
          <w:lang w:val="en-US" w:eastAsia="zh-CN"/>
        </w:rPr>
      </w:pPr>
    </w:p>
    <w:p w14:paraId="3E4F54D8">
      <w:pPr>
        <w:pStyle w:val="56"/>
        <w:numPr>
          <w:ilvl w:val="1"/>
          <w:numId w:val="9"/>
        </w:numPr>
        <w:rPr>
          <w:rFonts w:hint="eastAsia" w:eastAsia="宋体"/>
          <w:lang w:val="en-US" w:eastAsia="zh-CN"/>
        </w:rPr>
      </w:pPr>
      <w:r>
        <w:rPr>
          <w:rFonts w:hint="eastAsia" w:eastAsia="宋体"/>
          <w:lang w:val="en-US" w:eastAsia="zh-CN"/>
        </w:rPr>
        <w:t>Conclusion</w:t>
      </w:r>
    </w:p>
    <w:p w14:paraId="7FD3142C">
      <w:pPr>
        <w:pStyle w:val="61"/>
        <w:spacing w:before="312" w:after="312"/>
        <w:ind w:firstLine="480"/>
        <w:rPr>
          <w:rFonts w:hint="eastAsia"/>
        </w:rPr>
      </w:pPr>
      <w:r>
        <w:rPr>
          <w:rFonts w:hint="eastAsia"/>
        </w:rPr>
        <w:t>本章系统研究了CGM信号的噪声特性及数字滤波预处理方法，主要工作和结论如下：</w:t>
      </w:r>
    </w:p>
    <w:p w14:paraId="20781CED">
      <w:pPr>
        <w:pStyle w:val="61"/>
        <w:spacing w:before="312" w:after="312"/>
        <w:ind w:firstLine="480"/>
        <w:rPr>
          <w:rFonts w:hint="eastAsia"/>
        </w:rPr>
      </w:pPr>
    </w:p>
    <w:p w14:paraId="58459230">
      <w:pPr>
        <w:pStyle w:val="61"/>
        <w:spacing w:before="312" w:after="312"/>
        <w:ind w:firstLine="480"/>
        <w:rPr>
          <w:rFonts w:hint="eastAsia"/>
        </w:rPr>
      </w:pPr>
      <w:r>
        <w:rPr>
          <w:rFonts w:hint="eastAsia"/>
        </w:rPr>
        <w:t>1. 噪声来源分析：从物理机制角度系统分析了CGM信号噪声的四大来源——电化学传感器固有噪声、生理延迟误差、运动伪迹与压力干扰、电子系统噪声，为后续滤波方法的选择提供了理论依据。</w:t>
      </w:r>
    </w:p>
    <w:p w14:paraId="7C5C120D">
      <w:pPr>
        <w:pStyle w:val="61"/>
        <w:spacing w:before="312" w:after="312"/>
        <w:ind w:firstLine="480"/>
        <w:rPr>
          <w:rFonts w:hint="eastAsia"/>
        </w:rPr>
      </w:pPr>
      <w:r>
        <w:rPr>
          <w:rFonts w:hint="eastAsia"/>
        </w:rPr>
        <w:t>2. 噪声定量评估：建立了基于一阶差分标准差、信噪比（SNR）、异常跳变比例的多指标评估体系，对</w:t>
      </w:r>
      <w:r>
        <w:rPr>
          <w:rFonts w:hint="eastAsia" w:eastAsia="宋体"/>
          <w:lang w:eastAsia="zh-CN"/>
        </w:rPr>
        <w:t>174</w:t>
      </w:r>
      <w:r>
        <w:rPr>
          <w:rFonts w:hint="eastAsia"/>
        </w:rPr>
        <w:t>名受试者的CGM数据进行了系统评估。结果显示</w:t>
      </w:r>
      <w:r>
        <w:rPr>
          <w:rFonts w:hint="eastAsia" w:eastAsia="宋体"/>
          <w:lang w:val="en-US" w:eastAsia="zh-CN"/>
        </w:rPr>
        <w:t>90.8</w:t>
      </w:r>
      <w:r>
        <w:rPr>
          <w:rFonts w:hint="eastAsia"/>
        </w:rPr>
        <w:t>%的受试者数据存在显著噪声问题，证实了滤波预处理的必要性。</w:t>
      </w:r>
    </w:p>
    <w:p w14:paraId="3A2310F5">
      <w:pPr>
        <w:pStyle w:val="61"/>
        <w:spacing w:before="312" w:after="312"/>
        <w:ind w:firstLine="480"/>
        <w:rPr>
          <w:rFonts w:hint="eastAsia"/>
        </w:rPr>
      </w:pPr>
      <w:r>
        <w:rPr>
          <w:rFonts w:hint="eastAsia"/>
        </w:rPr>
        <w:t>3. 滤波方法比较：实现并比较了卡尔曼滤波、Savitzky-Golay滤波和巴特沃斯低通滤波三种方法。定量评估表明，巴特沃斯滤波噪声抑制能力最强，S-G滤波峰值保持能力最优，</w:t>
      </w:r>
      <w:r>
        <w:rPr>
          <w:rFonts w:hint="eastAsia" w:eastAsia="宋体"/>
          <w:lang w:val="en-US" w:eastAsia="zh-CN"/>
        </w:rPr>
        <w:t>卡尔曼</w:t>
      </w:r>
      <w:r>
        <w:rPr>
          <w:rFonts w:hint="eastAsia"/>
        </w:rPr>
        <w:t>滤波性能</w:t>
      </w:r>
      <w:r>
        <w:rPr>
          <w:rFonts w:hint="eastAsia" w:eastAsia="宋体"/>
          <w:lang w:val="en-US" w:eastAsia="zh-CN"/>
        </w:rPr>
        <w:t>劣于</w:t>
      </w:r>
      <w:r>
        <w:rPr>
          <w:rFonts w:hint="eastAsia"/>
        </w:rPr>
        <w:t>两者。</w:t>
      </w:r>
    </w:p>
    <w:p w14:paraId="324CCADC">
      <w:pPr>
        <w:pStyle w:val="61"/>
        <w:spacing w:before="312" w:after="312"/>
        <w:ind w:firstLine="480"/>
        <w:rPr>
          <w:rFonts w:hint="eastAsia"/>
        </w:rPr>
      </w:pPr>
      <w:r>
        <w:rPr>
          <w:rFonts w:hint="eastAsia"/>
        </w:rPr>
        <w:t>4. 方法选择：综合考虑血糖预测任务的特殊需求，选择S-G滤波器作为本研究的CGM数据预处理方法，该选择在后续预测实验中得到了验证。</w:t>
      </w:r>
    </w:p>
    <w:p w14:paraId="495A9FA4">
      <w:pPr>
        <w:pStyle w:val="61"/>
        <w:spacing w:before="312" w:after="312"/>
        <w:ind w:firstLine="480"/>
        <w:rPr>
          <w:rFonts w:hint="eastAsia" w:eastAsia="宋体"/>
          <w:lang w:val="en-US" w:eastAsia="zh-CN"/>
        </w:rPr>
      </w:pPr>
      <w:r>
        <w:rPr>
          <w:rFonts w:hint="eastAsia"/>
        </w:rPr>
        <w:t>滤波处理后的数据集为后续章节的预测模型训练提供了高质量的输入，显著降低了噪声对模型学习过程的干扰，是整个血糖预测系统工程实现中不可或缺的关键环节。</w:t>
      </w:r>
    </w:p>
    <w:p w14:paraId="01949DA4">
      <w:pPr>
        <w:rPr>
          <w:rFonts w:hint="eastAsia" w:eastAsia="宋体"/>
          <w:lang w:val="en-US" w:eastAsia="zh-CN"/>
        </w:rPr>
        <w:sectPr>
          <w:pgSz w:w="11906" w:h="16838"/>
          <w:pgMar w:top="1418" w:right="1985" w:bottom="1418" w:left="1985" w:header="851" w:footer="992" w:gutter="0"/>
          <w:cols w:space="425" w:num="1"/>
          <w:titlePg/>
          <w:docGrid w:type="lines" w:linePitch="312" w:charSpace="0"/>
        </w:sectPr>
      </w:pPr>
    </w:p>
    <w:p w14:paraId="19605EDE">
      <w:pPr>
        <w:pStyle w:val="55"/>
        <w:numPr>
          <w:ilvl w:val="0"/>
          <w:numId w:val="9"/>
        </w:numPr>
        <w:wordWrap w:val="0"/>
        <w:rPr>
          <w:u w:val="none"/>
        </w:rPr>
      </w:pPr>
      <w:r>
        <w:rPr>
          <w:u w:val="none"/>
        </w:rPr>
        <w:br w:type="textWrapping"/>
      </w:r>
      <w:bookmarkStart w:id="20" w:name="_Toc201089515"/>
      <w:bookmarkStart w:id="21" w:name="_Toc199729399"/>
      <w:r>
        <w:rPr>
          <w:rFonts w:hint="eastAsia" w:eastAsia="宋体"/>
          <w:sz w:val="44"/>
          <w:szCs w:val="44"/>
          <w:u w:val="none"/>
          <w:lang w:val="en-US" w:eastAsia="zh-CN"/>
        </w:rPr>
        <w:t>Model</w:t>
      </w:r>
      <w:r>
        <w:rPr>
          <w:rFonts w:hint="eastAsia"/>
          <w:sz w:val="44"/>
          <w:szCs w:val="44"/>
          <w:u w:val="none"/>
        </w:rPr>
        <w:t xml:space="preserve"> </w:t>
      </w:r>
      <w:bookmarkEnd w:id="20"/>
      <w:bookmarkEnd w:id="21"/>
      <w:r>
        <w:rPr>
          <w:rFonts w:hint="eastAsia" w:eastAsia="宋体"/>
          <w:sz w:val="44"/>
          <w:szCs w:val="44"/>
          <w:u w:val="none"/>
          <w:lang w:val="en-US" w:eastAsia="zh-CN"/>
        </w:rPr>
        <w:t>Building and Comparison</w:t>
      </w:r>
    </w:p>
    <w:p w14:paraId="640C6868">
      <w:pPr>
        <w:pStyle w:val="56"/>
        <w:numPr>
          <w:ilvl w:val="1"/>
          <w:numId w:val="9"/>
        </w:numPr>
      </w:pPr>
      <w:r>
        <w:rPr>
          <w:rFonts w:hint="eastAsia" w:eastAsia="宋体"/>
          <w:lang w:val="en-US" w:eastAsia="zh-CN"/>
        </w:rPr>
        <w:t>Experiment and Evaluation</w:t>
      </w:r>
    </w:p>
    <w:p w14:paraId="51CBE404">
      <w:pPr>
        <w:pStyle w:val="61"/>
        <w:spacing w:before="312" w:after="312"/>
        <w:ind w:firstLine="480"/>
        <w:rPr>
          <w:rFonts w:hint="eastAsia"/>
        </w:rPr>
      </w:pPr>
      <w:bookmarkStart w:id="22" w:name="_Toc199729401"/>
      <w:bookmarkStart w:id="23" w:name="_Toc201089517"/>
      <w:r>
        <w:rPr>
          <w:rFonts w:hint="eastAsia"/>
        </w:rPr>
        <w:t>为了全面、客观地评估不同算法在血糖预测任务中的性能，本研究构建了统一的实验环境与评估体系。本节将详细阐述预测任务的数学定义、数据划分策略以及用于衡量模型表现的统计与临床指标。</w:t>
      </w:r>
    </w:p>
    <w:p w14:paraId="3AA36E42">
      <w:pPr>
        <w:pStyle w:val="61"/>
        <w:spacing w:before="312" w:after="312"/>
        <w:ind w:firstLine="480"/>
        <w:rPr>
          <w:rFonts w:hint="eastAsia"/>
        </w:rPr>
      </w:pPr>
      <w:r>
        <w:rPr>
          <w:rFonts w:hint="eastAsia"/>
        </w:rPr>
        <w:t>本研究将短期血糖预测定义为一个监督学习（Supervised Learning）下的多变量时间序列回归问题。</w:t>
      </w:r>
    </w:p>
    <w:p w14:paraId="4CBCF58E">
      <w:pPr>
        <w:pStyle w:val="61"/>
        <w:spacing w:before="312" w:after="312"/>
        <w:ind w:firstLine="480"/>
        <w:rPr>
          <w:rFonts w:hint="eastAsia"/>
        </w:rPr>
      </w:pPr>
      <w:r>
        <w:rPr>
          <w:rFonts w:hint="eastAsia"/>
        </w:rPr>
        <w:t xml:space="preserve">设  t  为当前时刻，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t−k</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k=0</m:t>
            </m:r>
            <m:ctrlPr>
              <w:rPr>
                <w:rFonts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sup>
        </m:sSubSup>
      </m:oMath>
      <w:r>
        <w:rPr>
          <w:rFonts w:hint="eastAsia"/>
        </w:rPr>
        <w:t xml:space="preserve"> 表示过去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oMath>
      <w:r>
        <w:rPr>
          <w:rFonts w:hint="eastAsia"/>
        </w:rPr>
        <w:t xml:space="preserve"> 个时间步的连续血糖监测（CGM）读数。除时序血糖数据外，模型还结合了患者的静态生理特征（如年龄 Age、体重指数 BMI）以及时间特征（如小时 Hour），记为向量  </w:t>
      </w:r>
      <m:oMath>
        <m:r>
          <m:rPr>
            <m:sty m:val="b"/>
          </m:rPr>
          <w:rPr>
            <w:rFonts w:hint="default" w:ascii="Cambria Math" w:hAnsi="Cambria Math"/>
            <w:sz w:val="24"/>
          </w:rPr>
          <m:t>s</m:t>
        </m:r>
      </m:oMath>
      <w:r>
        <w:rPr>
          <w:rFonts w:hint="eastAsia"/>
        </w:rPr>
        <w:t xml:space="preserve"> 。模型的输入向量 </w:t>
      </w:r>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rPr>
        <w:t xml:space="preserve"> 可表示为：</w:t>
      </w:r>
    </w:p>
    <w:p w14:paraId="1FDAB525">
      <w:pPr>
        <w:pStyle w:val="61"/>
        <w:spacing w:before="312" w:after="312"/>
        <w:ind w:firstLine="480"/>
        <w:rPr>
          <w:rFonts w:hint="eastAsia"/>
        </w:rPr>
      </w:pPr>
      <m:oMathPara>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r>
            <m:rPr>
              <m:sty m:val="b"/>
            </m:rPr>
            <w:rPr>
              <w:rFonts w:hint="default" w:ascii="Cambria Math" w:hAnsi="Cambria Math"/>
              <w:sz w:val="24"/>
            </w:rPr>
            <m:t>s</m:t>
          </m:r>
          <m:r>
            <m:rPr/>
            <w:rPr>
              <w:rFonts w:hint="default" w:ascii="Cambria Math" w:hAnsi="Cambria Math"/>
              <w:sz w:val="24"/>
            </w:rPr>
            <m:t>]</m:t>
          </m:r>
        </m:oMath>
      </m:oMathPara>
    </w:p>
    <w:p w14:paraId="7C4B2171">
      <w:pPr>
        <w:pStyle w:val="61"/>
        <w:spacing w:before="312" w:after="312"/>
        <w:ind w:firstLine="480"/>
        <w:rPr>
          <w:rFonts w:hint="eastAsia"/>
        </w:rPr>
      </w:pPr>
      <w:r>
        <w:rPr>
          <w:rFonts w:hint="eastAsia"/>
        </w:rPr>
        <w:t xml:space="preserve">预测目标是未来第 </w:t>
      </w:r>
      <m:oMath>
        <m:r>
          <m:rPr/>
          <w:rPr>
            <w:rFonts w:hint="default" w:ascii="Cambria Math" w:hAnsi="Cambria Math"/>
            <w:sz w:val="24"/>
          </w:rPr>
          <m:t>H</m:t>
        </m:r>
      </m:oMath>
      <w:r>
        <w:rPr>
          <w:rFonts w:hint="eastAsia"/>
        </w:rPr>
        <w:t xml:space="preserve"> 个时间步（Prediction Horizon）的血糖值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t+H</m:t>
            </m:r>
            <m:ctrlPr>
              <w:rPr>
                <w:rFonts w:ascii="Cambria Math" w:hAnsi="Cambria Math"/>
                <w:sz w:val="24"/>
              </w:rPr>
            </m:ctrlPr>
          </m:sub>
        </m:sSub>
      </m:oMath>
      <w:r>
        <w:rPr>
          <w:rFonts w:hint="eastAsia"/>
        </w:rPr>
        <w:t xml:space="preserve">。本研究设定采样间隔 </w:t>
      </w:r>
      <m:oMath>
        <m:r>
          <m:rPr>
            <m:sty m:val="p"/>
          </m:rPr>
          <w:rPr>
            <w:rFonts w:hint="default" w:ascii="Cambria Math" w:hAnsi="Cambria Math"/>
            <w:sz w:val="24"/>
          </w:rPr>
          <m:t>Δ</m:t>
        </m:r>
        <m:r>
          <m:rPr/>
          <w:rPr>
            <w:rFonts w:hint="default" w:ascii="Cambria Math" w:hAnsi="Cambria Math"/>
            <w:sz w:val="24"/>
          </w:rPr>
          <m:t>t=5</m:t>
        </m:r>
      </m:oMath>
      <w:r>
        <w:rPr>
          <w:rFonts w:hint="eastAsia"/>
        </w:rPr>
        <w:t xml:space="preserve"> 分钟。基于对临床干预窗口期的考量，本研究核心关注 30分钟超前预测（即 </w:t>
      </w:r>
      <m:oMath>
        <m:r>
          <m:rPr/>
          <w:rPr>
            <w:rFonts w:hint="default" w:ascii="Cambria Math" w:hAnsi="Cambria Math"/>
            <w:sz w:val="24"/>
          </w:rPr>
          <m:t>H=6</m:t>
        </m:r>
      </m:oMath>
      <w:r>
        <w:rPr>
          <w:rFonts w:hint="eastAsia"/>
        </w:rPr>
        <w:t xml:space="preserve">），因为30分钟通常能够给予患者足够的时间通过进食或注射胰岛素来纠正即将发生的低血糖或高血糖事件 [45]。同时，为了充分捕捉血糖的近期趋势与历史依赖，设定历史输入窗口长度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=12</m:t>
        </m:r>
      </m:oMath>
      <w:r>
        <w:rPr>
          <w:rFonts w:hint="eastAsia"/>
        </w:rPr>
        <w:t>，即利用过去 60分钟 的数据进行预测。这一设置在计算效率与信息充分性之间取得了良好平衡，也是相关文献中的常见配置 [46]。</w:t>
      </w:r>
    </w:p>
    <w:p w14:paraId="3EED9748">
      <w:pPr>
        <w:pStyle w:val="61"/>
        <w:spacing w:before="312" w:after="312"/>
        <w:ind w:firstLine="480"/>
        <w:rPr>
          <w:rFonts w:hint="eastAsia"/>
        </w:rPr>
      </w:pPr>
      <w:r>
        <w:rPr>
          <w:rFonts w:hint="eastAsia" w:eastAsia="宋体"/>
          <w:lang w:val="en-US" w:eastAsia="zh-CN"/>
        </w:rPr>
        <w:t>并且</w:t>
      </w:r>
      <w:r>
        <w:rPr>
          <w:rFonts w:hint="eastAsia"/>
        </w:rPr>
        <w:t>本研究采用统计误差指标与临床准确性指标相结合的方式，对预测模型进行综合评估。</w:t>
      </w:r>
    </w:p>
    <w:p w14:paraId="2F12DC16">
      <w:pPr>
        <w:pStyle w:val="61"/>
        <w:spacing w:before="312" w:after="312"/>
        <w:ind w:firstLine="480"/>
        <w:rPr>
          <w:rFonts w:hint="eastAsia" w:eastAsia="宋体"/>
          <w:lang w:val="en-US" w:eastAsia="zh-CN"/>
        </w:rPr>
      </w:pPr>
      <w:r>
        <w:rPr>
          <w:rFonts w:hint="eastAsia"/>
        </w:rPr>
        <w:t>统计误差指标</w:t>
      </w:r>
      <w:r>
        <w:rPr>
          <w:rFonts w:hint="eastAsia" w:eastAsia="宋体"/>
          <w:lang w:val="en-US" w:eastAsia="zh-CN"/>
        </w:rPr>
        <w:t>包含：</w:t>
      </w:r>
    </w:p>
    <w:p w14:paraId="17FC245B">
      <w:pPr>
        <w:pStyle w:val="61"/>
        <w:spacing w:before="312" w:after="312"/>
        <w:ind w:firstLine="480"/>
        <w:rPr>
          <w:rFonts w:hint="eastAsia"/>
        </w:rPr>
      </w:pPr>
    </w:p>
    <w:p w14:paraId="714ECB68">
      <w:pPr>
        <w:pStyle w:val="61"/>
        <w:spacing w:before="312" w:after="312"/>
        <w:ind w:firstLine="480"/>
        <w:rPr>
          <w:rFonts w:hint="eastAsia"/>
        </w:rPr>
      </w:pPr>
      <w:r>
        <w:rPr>
          <w:rFonts w:hint="eastAsia"/>
        </w:rPr>
        <w:t xml:space="preserve">   平均绝对误差 (Mean Absolute Error, MAE)：反映预测值与真实值偏差的绝对大小，对异常值不如 RMSE 敏感，能较好地反映普遍预测精度。</w:t>
      </w:r>
    </w:p>
    <w:p w14:paraId="701AE3C0">
      <w:pPr>
        <w:pStyle w:val="61"/>
        <w:spacing w:before="312" w:after="312"/>
        <w:ind w:firstLine="480"/>
        <w:jc w:val="center"/>
        <w:rPr>
          <w:rFonts w:hint="eastAsia"/>
        </w:rPr>
      </w:pPr>
      <m:oMathPara>
        <m:oMath>
          <m:r>
            <m:rPr/>
            <w:rPr>
              <w:rFonts w:hint="default" w:ascii="Cambria Math" w:hAnsi="Cambria Math"/>
              <w:sz w:val="24"/>
            </w:rPr>
            <m:t>MAE=</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oMath>
      </m:oMathPara>
    </w:p>
    <w:p w14:paraId="2FF4BB73">
      <w:pPr>
        <w:pStyle w:val="61"/>
        <w:spacing w:before="312" w:after="312"/>
        <w:ind w:firstLine="480"/>
        <w:rPr>
          <w:rFonts w:hint="eastAsia"/>
        </w:rPr>
      </w:pPr>
      <w:r>
        <w:rPr>
          <w:rFonts w:hint="eastAsia"/>
        </w:rPr>
        <w:t xml:space="preserve">   均方根误差 (Root Mean Square Error, RMSE)：对大误差给予更高惩罚，反映模型预测的稳定性。在血糖预测中，避免极大的预测偏差尤为重要（如未预测到的严重低血糖），因此 RMSE 是关键指标。</w:t>
      </w:r>
    </w:p>
    <w:p w14:paraId="5BD1B8C1">
      <w:pPr>
        <w:pStyle w:val="61"/>
        <w:spacing w:before="312" w:after="312"/>
        <w:ind w:firstLine="480"/>
        <w:jc w:val="center"/>
        <w:rPr>
          <w:rFonts w:hint="eastAsia"/>
        </w:rPr>
      </w:pPr>
      <m:oMathPara>
        <m:oMath>
          <m:r>
            <m:rPr/>
            <w:rPr>
              <w:rFonts w:hint="default" w:ascii="Cambria Math" w:hAnsi="Cambria Math"/>
              <w:sz w:val="24"/>
            </w:rPr>
            <m:t>RMSE=</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rad>
        </m:oMath>
      </m:oMathPara>
    </w:p>
    <w:p w14:paraId="512B8E3E">
      <w:pPr>
        <w:pStyle w:val="61"/>
        <w:spacing w:before="312" w:after="312"/>
        <w:ind w:firstLine="480"/>
        <w:rPr>
          <w:rFonts w:hint="eastAsia"/>
        </w:rPr>
      </w:pPr>
      <w:r>
        <w:rPr>
          <w:rFonts w:hint="eastAsia"/>
        </w:rPr>
        <w:t xml:space="preserve">   平均绝对百分比误差 (Mean Absolute Percentage Error, MAPE)：消除了量纲影响，便于跨数据集比较。但在低血糖值（分母较小）时可能产生数值不稳定。</w:t>
      </w:r>
    </w:p>
    <w:p w14:paraId="7ACF44E5">
      <w:pPr>
        <w:pStyle w:val="61"/>
        <w:spacing w:before="312" w:after="312"/>
        <w:ind w:firstLine="480"/>
        <w:rPr>
          <w:rFonts w:hint="eastAsia"/>
        </w:rPr>
      </w:pPr>
      <m:oMathPara>
        <m:oMath>
          <m:r>
            <m:rPr/>
            <w:rPr>
              <w:rFonts w:hint="default" w:ascii="Cambria Math" w:hAnsi="Cambria Math"/>
              <w:sz w:val="24"/>
            </w:rPr>
            <m:t>MAPE=</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begChr m:val="|"/>
                  <m:endChr m:val="|"/>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nary>
          <m:r>
            <m:rPr>
              <m:sty m:val="p"/>
            </m:rPr>
            <w:rPr>
              <w:rFonts w:hint="default" w:ascii="Cambria Math" w:hAnsi="Cambria Math"/>
              <w:sz w:val="24"/>
            </w:rPr>
            <m:t>×</m:t>
          </m:r>
          <m:r>
            <m:rPr/>
            <w:rPr>
              <w:rFonts w:hint="default" w:ascii="Cambria Math" w:hAnsi="Cambria Math"/>
              <w:sz w:val="24"/>
            </w:rPr>
            <m:t>100%</m:t>
          </m:r>
        </m:oMath>
      </m:oMathPara>
    </w:p>
    <w:p w14:paraId="1D5532C7">
      <w:pPr>
        <w:pStyle w:val="61"/>
        <w:spacing w:before="312" w:after="312"/>
        <w:ind w:firstLine="480"/>
        <w:rPr>
          <w:rFonts w:hint="eastAsia"/>
        </w:rPr>
      </w:pPr>
      <w:r>
        <w:rPr>
          <w:rFonts w:hint="eastAsia"/>
        </w:rPr>
        <w:t xml:space="preserve">   均方根百分比误差 (Root Mean Square Percentage Error, RMSPE)：结合了 RMSE 和百分比误差的特性。</w:t>
      </w:r>
    </w:p>
    <w:p w14:paraId="59AC7D00">
      <w:pPr>
        <w:pStyle w:val="61"/>
        <w:spacing w:before="312" w:after="312"/>
        <w:ind w:firstLine="480"/>
        <w:rPr>
          <w:rFonts w:hint="eastAsia"/>
        </w:rPr>
      </w:pPr>
      <m:oMathPara>
        <m:oMath>
          <m:r>
            <m:rPr/>
            <w:rPr>
              <w:rFonts w:hint="default" w:ascii="Cambria Math" w:hAnsi="Cambria Math"/>
              <w:sz w:val="24"/>
            </w:rPr>
            <m:t>RMSPE=</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sSup>
                <m:sSupPr>
                  <m:ctrlPr>
                    <w:rPr>
                      <w:rFonts w:hint="default" w:ascii="Cambria Math" w:hAnsi="Cambria Math"/>
                      <w:sz w:val="24"/>
                    </w:rPr>
                  </m:ctrlPr>
                </m:sSupPr>
                <m:e>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nary>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ctrlPr>
                <w:rPr>
                  <w:rFonts w:hint="default" w:ascii="Cambria Math" w:hAnsi="Cambria Math"/>
                  <w:sz w:val="24"/>
                </w:rPr>
              </m:ctrlPr>
            </m:e>
          </m:rad>
          <m:r>
            <m:rPr>
              <m:sty m:val="p"/>
            </m:rPr>
            <w:rPr>
              <w:rFonts w:hint="default" w:ascii="Cambria Math" w:hAnsi="Cambria Math"/>
              <w:sz w:val="24"/>
            </w:rPr>
            <m:t>×</m:t>
          </m:r>
          <m:r>
            <m:rPr/>
            <w:rPr>
              <w:rFonts w:hint="default" w:ascii="Cambria Math" w:hAnsi="Cambria Math"/>
              <w:sz w:val="24"/>
            </w:rPr>
            <m:t>100%</m:t>
          </m:r>
        </m:oMath>
      </m:oMathPara>
    </w:p>
    <w:p w14:paraId="1A463ACA">
      <w:pPr>
        <w:pStyle w:val="61"/>
        <w:spacing w:before="312" w:after="312"/>
        <w:ind w:firstLine="480"/>
        <w:rPr>
          <w:rFonts w:hint="eastAsia"/>
        </w:rPr>
      </w:pPr>
      <w:r>
        <w:rPr>
          <w:rFonts w:hint="eastAsia"/>
        </w:rPr>
        <w:t>综合以上几种统计指标，可以全面地评估模型的预测精度和稳定性，消除单一指标可能带来的偏差。</w:t>
      </w:r>
    </w:p>
    <w:p w14:paraId="0C1C9D11">
      <w:pPr>
        <w:pStyle w:val="61"/>
        <w:spacing w:before="312" w:after="312"/>
        <w:ind w:firstLine="480"/>
        <w:rPr>
          <w:rFonts w:hint="eastAsia"/>
        </w:rPr>
      </w:pPr>
      <w:r>
        <w:rPr>
          <w:rFonts w:hint="eastAsia"/>
        </w:rPr>
        <w:t>临床准确性指标：Clarke Error Grid Analysis (CEGA)</w:t>
      </w:r>
      <w:r>
        <w:rPr>
          <w:rFonts w:hint="eastAsia" w:eastAsia="宋体"/>
          <w:lang w:val="en-US" w:eastAsia="zh-CN"/>
        </w:rPr>
        <w:t>：</w:t>
      </w:r>
    </w:p>
    <w:p w14:paraId="75EBE333">
      <w:pPr>
        <w:pStyle w:val="61"/>
        <w:spacing w:before="312" w:after="312"/>
        <w:ind w:firstLine="480"/>
        <w:rPr>
          <w:rFonts w:hint="eastAsia"/>
        </w:rPr>
      </w:pPr>
      <w:r>
        <w:rPr>
          <w:rFonts w:hint="eastAsia"/>
        </w:rPr>
        <w:t>统计指标仅反映了数值上的接近程度，而无法完全体现预测结果对临床决策的影响。为此，本研究引入 Clarke 误差网格分析 [50] 作为核心临床评估工具,Clarke指标是临床上广泛认可的血糖预测评估标准，CEGA 将预测值（Y轴）与参考真实值（X轴）的散点图划分为 A、B、C、D、E 五个区域：</w:t>
      </w:r>
    </w:p>
    <w:p w14:paraId="1F88EC84">
      <w:pPr>
        <w:pStyle w:val="61"/>
        <w:spacing w:before="312" w:after="312"/>
        <w:ind w:firstLine="480"/>
        <w:rPr>
          <w:rFonts w:hint="eastAsia"/>
        </w:rPr>
      </w:pPr>
      <w:r>
        <w:rPr>
          <w:rFonts w:hint="eastAsia"/>
        </w:rPr>
        <w:t xml:space="preserve">   A区 (Clinically Accurate)：偏差在 20% 以内，或是低血糖范围内的准确预测。该区域的预测结果在临床上是准确的。</w:t>
      </w:r>
    </w:p>
    <w:p w14:paraId="36763550">
      <w:pPr>
        <w:pStyle w:val="61"/>
        <w:spacing w:before="312" w:after="312"/>
        <w:ind w:firstLine="480"/>
        <w:rPr>
          <w:rFonts w:hint="eastAsia"/>
        </w:rPr>
      </w:pPr>
      <w:r>
        <w:rPr>
          <w:rFonts w:hint="eastAsia"/>
        </w:rPr>
        <w:t xml:space="preserve">   B区 (Clinically Acceptable)：偏差超过 20%，但不会导致不当的治疗决策。</w:t>
      </w:r>
    </w:p>
    <w:p w14:paraId="5E3520F2">
      <w:pPr>
        <w:pStyle w:val="61"/>
        <w:spacing w:before="312" w:after="312"/>
        <w:ind w:firstLine="480"/>
        <w:rPr>
          <w:rFonts w:hint="eastAsia"/>
        </w:rPr>
      </w:pPr>
      <w:r>
        <w:rPr>
          <w:rFonts w:hint="eastAsia"/>
        </w:rPr>
        <w:t xml:space="preserve">   C区 (Overcorrection)：可能导致不必要的矫正治疗（如在血糖正常时误报低血糖），虽不直接危险但影响生活质量。</w:t>
      </w:r>
    </w:p>
    <w:p w14:paraId="0C8C9A06">
      <w:pPr>
        <w:pStyle w:val="61"/>
        <w:spacing w:before="312" w:after="312"/>
        <w:ind w:firstLine="480"/>
        <w:rPr>
          <w:rFonts w:hint="eastAsia"/>
        </w:rPr>
      </w:pPr>
      <w:r>
        <w:rPr>
          <w:rFonts w:hint="eastAsia"/>
        </w:rPr>
        <w:t xml:space="preserve">   D区 (Failure to Detect)：未能检测到危险的高血糖或低血糖事件（如漏报低血糖），可能导致严重医疗后果。</w:t>
      </w:r>
    </w:p>
    <w:p w14:paraId="346CC719">
      <w:pPr>
        <w:pStyle w:val="61"/>
        <w:spacing w:before="312" w:after="312"/>
        <w:ind w:firstLine="480"/>
        <w:rPr>
          <w:rFonts w:hint="eastAsia"/>
        </w:rPr>
      </w:pPr>
      <w:r>
        <w:rPr>
          <w:rFonts w:hint="eastAsia"/>
        </w:rPr>
        <w:t xml:space="preserve">   E区 (Erroneous Treatment)：预测值与真实值完全相反（如将低血糖预测为高血糖），将诱导完全错误的治疗操作，极度危险。</w:t>
      </w:r>
    </w:p>
    <w:p w14:paraId="37FA3E1A">
      <w:pPr>
        <w:pStyle w:val="61"/>
        <w:spacing w:before="312" w:after="312"/>
        <w:ind w:firstLine="480"/>
        <w:rPr>
          <w:rFonts w:hint="eastAsia"/>
        </w:rPr>
      </w:pPr>
      <w:r>
        <w:rPr>
          <w:rFonts w:hint="eastAsia"/>
        </w:rPr>
        <w:t>一个优秀的血糖预测模型，其绝大部分预测点（&gt;95%）应落在 A区 和 B区，且尽量避免落入 D 区和 E 区，因此我们可以通过计算各区域的点比例来量化模型的临床适用性。</w:t>
      </w:r>
    </w:p>
    <w:p w14:paraId="0FEC892F">
      <w:pPr>
        <w:pStyle w:val="61"/>
        <w:spacing w:before="312" w:after="312"/>
        <w:ind w:firstLine="480"/>
        <w:rPr>
          <w:rFonts w:hint="eastAsia"/>
        </w:rPr>
      </w:pPr>
      <w:r>
        <w:rPr>
          <w:rFonts w:hint="eastAsia"/>
        </w:rPr>
        <w:t>为了严格评估模型的时序泛化能力，本研究采用了 “过去-未来”划分策略（Past-Future Split），而非传统的随机打乱划分。对于每位受试者切分：</w:t>
      </w:r>
    </w:p>
    <w:p w14:paraId="7FF98A66">
      <w:pPr>
        <w:pStyle w:val="61"/>
        <w:spacing w:before="312" w:after="312"/>
        <w:ind w:firstLine="480"/>
        <w:rPr>
          <w:rFonts w:hint="eastAsia"/>
        </w:rPr>
      </w:pPr>
      <w:r>
        <w:rPr>
          <w:rFonts w:hint="eastAsia"/>
        </w:rPr>
        <w:t xml:space="preserve">   </w:t>
      </w:r>
      <w:r>
        <w:rPr>
          <w:rFonts w:hint="eastAsia" w:eastAsia="宋体"/>
          <w:lang w:val="en-US" w:eastAsia="zh-CN"/>
        </w:rPr>
        <w:t>1.</w:t>
      </w:r>
      <w:r>
        <w:rPr>
          <w:rFonts w:hint="eastAsia"/>
        </w:rPr>
        <w:t>测试集 (Test Set)：选取每位受试者监测记录的 最后6小时（72个时间点）作为测试数据。这模拟了模型在实际使用中对未来6小时血糖值的预测场景。</w:t>
      </w:r>
    </w:p>
    <w:p w14:paraId="4528D5E2">
      <w:pPr>
        <w:pStyle w:val="61"/>
        <w:spacing w:before="312" w:after="312"/>
        <w:ind w:firstLine="480"/>
        <w:rPr>
          <w:rFonts w:hint="eastAsia"/>
        </w:rPr>
      </w:pPr>
      <w:r>
        <w:rPr>
          <w:rFonts w:hint="eastAsia"/>
        </w:rPr>
        <w:t xml:space="preserve">   </w:t>
      </w:r>
      <w:r>
        <w:rPr>
          <w:rFonts w:hint="eastAsia" w:eastAsia="宋体"/>
          <w:lang w:val="en-US" w:eastAsia="zh-CN"/>
        </w:rPr>
        <w:t>2.</w:t>
      </w:r>
      <w:r>
        <w:rPr>
          <w:rFonts w:hint="eastAsia"/>
        </w:rPr>
        <w:t>训练集 (Training Set)：除去测试集及必要的验证集之外的所有历史数据。</w:t>
      </w:r>
    </w:p>
    <w:p w14:paraId="5385EFB2">
      <w:pPr>
        <w:pStyle w:val="61"/>
        <w:spacing w:before="312" w:after="312"/>
        <w:ind w:firstLine="480"/>
        <w:rPr>
          <w:rFonts w:hint="eastAsia"/>
        </w:rPr>
      </w:pPr>
      <w:r>
        <w:rPr>
          <w:rFonts w:hint="eastAsia"/>
        </w:rPr>
        <w:t xml:space="preserve">   </w:t>
      </w:r>
      <w:r>
        <w:rPr>
          <w:rFonts w:hint="eastAsia" w:eastAsia="宋体"/>
          <w:lang w:val="en-US" w:eastAsia="zh-CN"/>
        </w:rPr>
        <w:t>3.</w:t>
      </w:r>
      <w:r>
        <w:rPr>
          <w:rFonts w:hint="eastAsia"/>
        </w:rPr>
        <w:t>保留集(Served Set):在所有受试者中，选取</w:t>
      </w:r>
      <w:r>
        <w:rPr>
          <w:rFonts w:hint="eastAsia" w:eastAsia="宋体"/>
          <w:lang w:val="en-US" w:eastAsia="zh-CN"/>
        </w:rPr>
        <w:t>10</w:t>
      </w:r>
      <w:r>
        <w:rPr>
          <w:rFonts w:hint="eastAsia"/>
        </w:rPr>
        <w:t>位受试者的数据作为保留集，不参与模型的训练与验证，仅用于最终模型的独立验证，确保模型在未见过的个体上也能保持良好性能。也为后期迁移学习做好准备。</w:t>
      </w:r>
    </w:p>
    <w:p w14:paraId="64F039F1">
      <w:pPr>
        <w:pStyle w:val="61"/>
        <w:spacing w:before="312" w:after="312"/>
        <w:ind w:firstLine="480"/>
        <w:rPr>
          <w:rFonts w:hint="eastAsia"/>
        </w:rPr>
      </w:pPr>
    </w:p>
    <w:bookmarkEnd w:id="22"/>
    <w:bookmarkEnd w:id="23"/>
    <w:p w14:paraId="4AB8A915">
      <w:pPr>
        <w:pStyle w:val="56"/>
        <w:numPr>
          <w:ilvl w:val="1"/>
          <w:numId w:val="9"/>
        </w:numPr>
      </w:pPr>
      <w:r>
        <w:rPr>
          <w:rFonts w:hint="eastAsia" w:eastAsia="宋体"/>
          <w:lang w:val="en-US" w:eastAsia="zh-CN"/>
        </w:rPr>
        <w:t>Baseline and Machine Learning Models</w:t>
      </w:r>
    </w:p>
    <w:p w14:paraId="1FEA0797">
      <w:pPr>
        <w:pStyle w:val="61"/>
        <w:spacing w:before="312" w:after="312"/>
        <w:ind w:firstLine="480"/>
        <w:rPr>
          <w:rFonts w:hint="eastAsia"/>
        </w:rPr>
      </w:pPr>
      <w:r>
        <w:rPr>
          <w:rFonts w:hint="eastAsia"/>
        </w:rPr>
        <w:t xml:space="preserve">   为了确立预测性能的基准，本研究首先实现了三类传统模型：统计学模型、线性回归模型以及非线性机器学习集成模型。所有模型均采用统一的输入格式：包含过去 12 个时间步（60 分钟）的血糖值序列，以及受试者的年龄（Age）和身体质量指数（BMI）两个静态特征。输入特征向量可形式化表示为：</w:t>
      </w:r>
    </w:p>
    <w:p w14:paraId="0D004E94">
      <w:pPr>
        <w:pStyle w:val="61"/>
        <w:spacing w:before="312" w:after="312"/>
        <w:ind w:firstLine="480"/>
        <w:jc w:val="center"/>
        <w:rPr>
          <w:rFonts w:hint="eastAsia"/>
        </w:rPr>
      </w:pPr>
      <m:oMathPara>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t−11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t−10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,Age,BMI]∈</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14</m:t>
              </m:r>
              <m:ctrlPr>
                <w:rPr>
                  <w:rFonts w:ascii="Cambria Math" w:hAnsi="Cambria Math"/>
                  <w:sz w:val="24"/>
                </w:rPr>
              </m:ctrlPr>
            </m:sup>
          </m:sSup>
        </m:oMath>
      </m:oMathPara>
    </w:p>
    <w:p w14:paraId="381AC09B">
      <w:pPr>
        <w:pStyle w:val="61"/>
        <w:spacing w:before="312" w:after="312"/>
        <w:ind w:firstLine="480"/>
        <w:rPr>
          <w:rFonts w:hint="eastAsia"/>
        </w:rPr>
      </w:pPr>
    </w:p>
    <w:p w14:paraId="7C36E6AA">
      <w:pPr>
        <w:pStyle w:val="61"/>
        <w:spacing w:before="312" w:after="312"/>
        <w:ind w:firstLine="480"/>
        <w:rPr>
          <w:rFonts w:hint="eastAsia"/>
        </w:rPr>
      </w:pPr>
      <w:r>
        <w:rPr>
          <w:rFonts w:hint="eastAsia"/>
        </w:rPr>
        <w:t>1. ARIMA</w:t>
      </w:r>
    </w:p>
    <w:p w14:paraId="6664E34B">
      <w:pPr>
        <w:pStyle w:val="61"/>
        <w:spacing w:before="312" w:after="312"/>
        <w:ind w:firstLine="480"/>
        <w:rPr>
          <w:rFonts w:hint="eastAsia"/>
        </w:rPr>
      </w:pPr>
      <w:r>
        <w:rPr>
          <w:rFonts w:hint="eastAsia"/>
        </w:rPr>
        <w:t>自回归积分滑动平均模型（Autoregressive Integrated Moving Average, ARIMA）是时间序列预测的经典统计方法。</w:t>
      </w:r>
      <m:oMath>
        <m:r>
          <m:rPr/>
          <w:rPr>
            <w:rFonts w:hint="default" w:ascii="Cambria Math" w:hAnsi="Cambria Math"/>
            <w:sz w:val="24"/>
          </w:rPr>
          <m:t>ARIMA(p,d,q)</m:t>
        </m:r>
      </m:oMath>
      <w:r>
        <w:rPr>
          <w:rFonts w:hint="eastAsia"/>
        </w:rPr>
        <w:t xml:space="preserve">  模型的一般形式为：</w:t>
      </w:r>
    </w:p>
    <w:p w14:paraId="52795228">
      <w:pPr>
        <w:pStyle w:val="61"/>
        <w:spacing w:before="312" w:after="312"/>
        <w:ind w:firstLine="480"/>
        <w:jc w:val="center"/>
        <w:rPr>
          <w:rFonts w:hint="eastAsia"/>
        </w:rPr>
      </w:pPr>
      <m:oMathPara>
        <m:oMath>
          <m:r>
            <m:rPr>
              <m:sty m:val="p"/>
            </m:rPr>
            <w:rPr>
              <w:rFonts w:hint="default" w:ascii="Cambria Math" w:hAnsi="Cambria Math"/>
              <w:sz w:val="24"/>
            </w:rPr>
            <m:t>ϕ</m:t>
          </m:r>
          <m:r>
            <m:rPr/>
            <w:rPr>
              <w:rFonts w:hint="default" w:ascii="Cambria Math" w:hAnsi="Cambria Math"/>
              <w:sz w:val="24"/>
            </w:rPr>
            <m:t>(B)(1−B</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=θ(B)</m:t>
          </m:r>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m:oMathPara>
    </w:p>
    <w:p w14:paraId="3376DD96">
      <w:pPr>
        <w:pStyle w:val="61"/>
        <w:spacing w:before="312" w:after="312"/>
        <w:ind w:firstLine="480"/>
        <w:rPr>
          <w:rFonts w:hint="eastAsia"/>
        </w:rPr>
      </w:pPr>
      <w:r>
        <w:rPr>
          <w:rFonts w:hint="eastAsia"/>
        </w:rPr>
        <w:t xml:space="preserve">其中 </w:t>
      </w:r>
      <m:oMath>
        <m:r>
          <m:rPr/>
          <w:rPr>
            <w:rFonts w:hint="default" w:ascii="Cambria Math" w:hAnsi="Cambria Math"/>
            <w:sz w:val="24"/>
          </w:rPr>
          <m:t>B</m:t>
        </m:r>
      </m:oMath>
      <w:r>
        <w:rPr>
          <w:rFonts w:hint="eastAsia"/>
        </w:rPr>
        <w:t xml:space="preserve"> 为滞后算子（</w:t>
      </w:r>
      <m:oMath>
        <m:r>
          <m:rPr/>
          <w:rPr>
            <w:rFonts w:hint="default" w:ascii="Cambria Math" w:hAnsi="Cambria Math"/>
            <w:sz w:val="24"/>
          </w:rPr>
          <m:t>B</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oMath>
      <w:r>
        <w:rPr>
          <w:rFonts w:hint="eastAsia"/>
        </w:rPr>
        <w:t>），</w:t>
      </w:r>
      <m:oMath>
        <m:r>
          <m:rPr>
            <m:sty m:val="p"/>
          </m:rPr>
          <w:rPr>
            <w:rFonts w:hint="default" w:ascii="Cambria Math" w:hAnsi="Cambria Math"/>
            <w:sz w:val="24"/>
          </w:rPr>
          <m:t>ϕ</m:t>
        </m:r>
        <m:r>
          <m:rPr/>
          <w:rPr>
            <w:rFonts w:hint="default" w:ascii="Cambria Math" w:hAnsi="Cambria Math"/>
            <w:sz w:val="24"/>
          </w:rPr>
          <m:t>(B)=1−</m:t>
        </m:r>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B−⋯−</m:t>
        </m:r>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B</m:t>
            </m:r>
            <m:ctrlPr>
              <w:rPr>
                <w:rFonts w:ascii="Cambria Math" w:hAnsi="Cambria Math"/>
                <w:sz w:val="24"/>
              </w:rPr>
            </m:ctrlPr>
          </m:e>
          <m:sup>
            <m:r>
              <m:rPr/>
              <w:rPr>
                <w:rFonts w:hint="default" w:ascii="Cambria Math" w:hAnsi="Cambria Math"/>
                <w:sz w:val="24"/>
              </w:rPr>
              <m:t>p</m:t>
            </m:r>
            <m:ctrlPr>
              <w:rPr>
                <w:rFonts w:ascii="Cambria Math" w:hAnsi="Cambria Math"/>
                <w:sz w:val="24"/>
              </w:rPr>
            </m:ctrlPr>
          </m:sup>
        </m:sSup>
      </m:oMath>
      <w:r>
        <w:rPr>
          <w:rFonts w:hint="eastAsia"/>
        </w:rPr>
        <w:t xml:space="preserve"> 为自回归多项式，</w:t>
      </w:r>
      <m:oMath>
        <m:r>
          <m:rPr/>
          <w:rPr>
            <w:rFonts w:hint="default" w:ascii="Cambria Math" w:hAnsi="Cambria Math"/>
            <w:sz w:val="24"/>
          </w:rPr>
          <m:t>θ(B)=1+</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B+⋯+</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B</m:t>
            </m:r>
            <m:ctrlPr>
              <w:rPr>
                <w:rFonts w:ascii="Cambria Math" w:hAnsi="Cambria Math"/>
                <w:sz w:val="24"/>
              </w:rPr>
            </m:ctrlPr>
          </m:e>
          <m:sup>
            <m:r>
              <m:rPr/>
              <w:rPr>
                <w:rFonts w:hint="default" w:ascii="Cambria Math" w:hAnsi="Cambria Math"/>
                <w:sz w:val="24"/>
              </w:rPr>
              <m:t>q</m:t>
            </m:r>
            <m:ctrlPr>
              <w:rPr>
                <w:rFonts w:ascii="Cambria Math" w:hAnsi="Cambria Math"/>
                <w:sz w:val="24"/>
              </w:rPr>
            </m:ctrlPr>
          </m:sup>
        </m:sSup>
      </m:oMath>
      <w:r>
        <w:rPr>
          <w:rFonts w:hint="eastAsia"/>
        </w:rPr>
        <w:t xml:space="preserve"> 为移动平均多项式，</w:t>
      </w:r>
      <m:oMath>
        <m:r>
          <m:rPr/>
          <w:rPr>
            <w:rFonts w:hint="default" w:ascii="Cambria Math" w:hAnsi="Cambria Math"/>
            <w:sz w:val="24"/>
          </w:rPr>
          <m:t>d</m:t>
        </m:r>
      </m:oMath>
      <w:r>
        <w:rPr>
          <w:rFonts w:hint="eastAsia"/>
        </w:rPr>
        <w:t xml:space="preserve"> 为差分阶数。</w:t>
      </w:r>
    </w:p>
    <w:p w14:paraId="5DA64589">
      <w:pPr>
        <w:pStyle w:val="61"/>
        <w:spacing w:before="312" w:after="312"/>
        <w:ind w:firstLine="480"/>
        <w:rPr>
          <w:rFonts w:hint="eastAsia"/>
        </w:rPr>
      </w:pPr>
      <w:r>
        <w:rPr>
          <w:rFonts w:hint="eastAsia"/>
        </w:rPr>
        <w:t xml:space="preserve">在模型定阶过程中，首先利用 ADF 检验（Augmented Dickey-Fuller test）对血糖序列进行平稳性分析，随后根据 ACF（自相关函数）和 PACF（偏自相关函数）图确定最优参数 </w:t>
      </w:r>
      <m:oMath>
        <m:r>
          <m:rPr/>
          <w:rPr>
            <w:rFonts w:hint="default" w:ascii="Cambria Math" w:hAnsi="Cambria Math"/>
            <w:sz w:val="24"/>
          </w:rPr>
          <m:t>(p,d,q)</m:t>
        </m:r>
      </m:oMath>
      <w:r>
        <w:rPr>
          <w:rFonts w:hint="eastAsia"/>
        </w:rPr>
        <w:t>。由于血糖序列的非平稳特性，通常需要一阶差分（</w:t>
      </w:r>
      <m:oMath>
        <m:r>
          <m:rPr/>
          <w:rPr>
            <w:rFonts w:hint="default" w:ascii="Cambria Math" w:hAnsi="Cambria Math"/>
            <w:sz w:val="24"/>
          </w:rPr>
          <m:t>d=1</m:t>
        </m:r>
      </m:oMath>
      <w:r>
        <w:rPr>
          <w:rFonts w:hint="eastAsia"/>
        </w:rPr>
        <w:t>）来消除趋势。</w:t>
      </w:r>
    </w:p>
    <w:p w14:paraId="1F4D1AE1">
      <w:pPr>
        <w:pStyle w:val="61"/>
        <w:spacing w:before="312" w:after="312"/>
        <w:ind w:firstLine="480"/>
        <w:rPr>
          <w:rFonts w:hint="eastAsia"/>
        </w:rPr>
      </w:pPr>
      <w:r>
        <w:rPr>
          <w:rFonts w:hint="eastAsia"/>
        </w:rPr>
        <w:t>虽然 ARIMA 可解释性强，但其仅能捕捉线性时序依赖关系，且难以融合外部静态特征（Age, BMI），</w:t>
      </w:r>
      <w:r>
        <w:rPr>
          <w:rFonts w:hint="eastAsia" w:eastAsia="宋体"/>
          <w:lang w:val="en-US" w:eastAsia="zh-CN"/>
        </w:rPr>
        <w:t>应用具有局限性</w:t>
      </w:r>
      <w:r>
        <w:rPr>
          <w:rFonts w:hint="eastAsia"/>
        </w:rPr>
        <w:t>。</w:t>
      </w:r>
    </w:p>
    <w:p w14:paraId="6AB77E00">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4CE63F34">
      <w:pPr>
        <w:pStyle w:val="61"/>
        <w:spacing w:before="312" w:after="312"/>
        <w:ind w:firstLine="480"/>
        <w:jc w:val="left"/>
      </w:pPr>
      <w:r>
        <w:drawing>
          <wp:inline distT="0" distB="0" distL="114300" distR="114300">
            <wp:extent cx="4795520" cy="2879725"/>
            <wp:effectExtent l="0" t="0" r="508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4795520" cy="2879725"/>
                    </a:xfrm>
                    <a:prstGeom prst="rect">
                      <a:avLst/>
                    </a:prstGeom>
                    <a:noFill/>
                    <a:ln>
                      <a:noFill/>
                    </a:ln>
                  </pic:spPr>
                </pic:pic>
              </a:graphicData>
            </a:graphic>
          </wp:inline>
        </w:drawing>
      </w:r>
    </w:p>
    <w:p w14:paraId="0E1E8A33">
      <w:pPr>
        <w:pStyle w:val="61"/>
        <w:spacing w:before="312" w:after="312"/>
        <w:ind w:firstLine="480"/>
        <w:jc w:val="left"/>
      </w:pPr>
      <w:r>
        <w:drawing>
          <wp:inline distT="0" distB="0" distL="114300" distR="114300">
            <wp:extent cx="4759325" cy="2879725"/>
            <wp:effectExtent l="0" t="0" r="1079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4759325" cy="2879725"/>
                    </a:xfrm>
                    <a:prstGeom prst="rect">
                      <a:avLst/>
                    </a:prstGeom>
                    <a:noFill/>
                    <a:ln>
                      <a:noFill/>
                    </a:ln>
                  </pic:spPr>
                </pic:pic>
              </a:graphicData>
            </a:graphic>
          </wp:inline>
        </w:drawing>
      </w:r>
    </w:p>
    <w:p w14:paraId="132FFC21">
      <w:pPr>
        <w:pStyle w:val="62"/>
        <w:numPr>
          <w:ilvl w:val="5"/>
          <w:numId w:val="9"/>
        </w:numPr>
        <w:spacing w:before="312" w:after="624"/>
        <w:rPr>
          <w:rFonts w:hint="eastAsia"/>
        </w:rPr>
      </w:pPr>
      <w:r>
        <w:rPr>
          <w:lang w:val="en-US"/>
        </w:rPr>
        <w:t xml:space="preserve">The </w:t>
      </w:r>
      <w:r>
        <w:rPr>
          <w:rFonts w:hint="eastAsia" w:eastAsia="宋体"/>
          <w:lang w:val="en-US" w:eastAsia="zh-CN"/>
        </w:rPr>
        <w:t>ARIMA prediction on served set(subject 2 and 306)</w:t>
      </w:r>
      <w:r>
        <w:rPr>
          <w:rFonts w:hint="eastAsia" w:ascii="宋体" w:hAnsi="宋体" w:eastAsia="宋体" w:cs="宋体"/>
          <w:lang w:val="en-US"/>
        </w:rPr>
        <w:t>.</w:t>
      </w:r>
    </w:p>
    <w:p w14:paraId="0E725785">
      <w:pPr>
        <w:pStyle w:val="61"/>
        <w:spacing w:before="312" w:after="312"/>
        <w:ind w:firstLine="480"/>
        <w:rPr>
          <w:rFonts w:hint="eastAsia"/>
        </w:rPr>
      </w:pPr>
      <w:r>
        <w:rPr>
          <w:rFonts w:hint="eastAsia"/>
        </w:rPr>
        <w:t>2. 线性回归 (Linear Regression)</w:t>
      </w:r>
    </w:p>
    <w:p w14:paraId="40E6FB2F">
      <w:pPr>
        <w:pStyle w:val="61"/>
        <w:spacing w:before="312" w:after="312"/>
        <w:ind w:firstLine="480"/>
        <w:rPr>
          <w:rFonts w:hint="eastAsia"/>
        </w:rPr>
      </w:pPr>
      <w:r>
        <w:rPr>
          <w:rFonts w:hint="eastAsia"/>
        </w:rPr>
        <w:t>通过构建滞后特征矩阵（Lag Features），将时间序列预测转化为标准的监督回归问题。线性回归模型通过最小二乘法（Ordinary Least Squares, OLS）求解权重向量：</w:t>
      </w:r>
    </w:p>
    <w:p w14:paraId="7EF4B376">
      <w:pPr>
        <w:pStyle w:val="61"/>
        <w:spacing w:before="312" w:after="312"/>
        <w:ind w:firstLine="480"/>
        <w:jc w:val="center"/>
        <w:rPr>
          <w:rFonts w:hint="eastAsia"/>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t+H</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k=0</m:t>
              </m:r>
              <m:ctrlPr>
                <w:rPr>
                  <w:rFonts w:hint="default" w:ascii="Cambria Math" w:hAnsi="Cambria Math"/>
                  <w:sz w:val="24"/>
                </w:rPr>
              </m:ctrlPr>
            </m:sub>
            <m:sup>
              <m:r>
                <m:rPr/>
                <w:rPr>
                  <w:rFonts w:hint="default" w:ascii="Cambria Math" w:hAnsi="Cambria Math"/>
                  <w:sz w:val="24"/>
                </w:rPr>
                <m:t>11</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hint="default" w:ascii="Cambria Math" w:hAnsi="Cambria Math"/>
                  <w:sz w:val="24"/>
                </w:rPr>
              </m:ctrlPr>
            </m:e>
            <m:sub>
              <m:r>
                <m:rPr/>
                <w:rPr>
                  <w:rFonts w:hint="default" w:ascii="Cambria Math" w:hAnsi="Cambria Math"/>
                  <w:sz w:val="24"/>
                </w:rPr>
                <m:t>t−k</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13</m:t>
              </m:r>
              <m:ctrlPr>
                <w:rPr>
                  <w:rFonts w:hint="default" w:ascii="Cambria Math" w:hAnsi="Cambria Math"/>
                  <w:sz w:val="24"/>
                </w:rPr>
              </m:ctrlPr>
            </m:sub>
          </m:sSub>
          <m:r>
            <m:rPr/>
            <w:rPr>
              <w:rFonts w:hint="default" w:ascii="Cambria Math" w:hAnsi="Cambria Math"/>
              <w:sz w:val="24"/>
            </w:rPr>
            <m:t>⋅Age+</m:t>
          </m:r>
          <m:sSub>
            <m:sSubPr>
              <m:ctrlPr>
                <w:rPr>
                  <w:rFonts w:hint="default" w:ascii="Cambria Math" w:hAnsi="Cambria Math"/>
                  <w:sz w:val="24"/>
                </w:rPr>
              </m:ctrlPr>
            </m:sSub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14</m:t>
              </m:r>
              <m:ctrlPr>
                <w:rPr>
                  <w:rFonts w:hint="default" w:ascii="Cambria Math" w:hAnsi="Cambria Math"/>
                  <w:sz w:val="24"/>
                </w:rPr>
              </m:ctrlPr>
            </m:sub>
          </m:sSub>
          <m:r>
            <m:rPr/>
            <w:rPr>
              <w:rFonts w:hint="default" w:ascii="Cambria Math" w:hAnsi="Cambria Math"/>
              <w:sz w:val="24"/>
            </w:rPr>
            <m:t>⋅BMI</m:t>
          </m:r>
        </m:oMath>
      </m:oMathPara>
    </w:p>
    <w:p w14:paraId="579A7F08">
      <w:pPr>
        <w:pStyle w:val="61"/>
        <w:spacing w:before="312" w:after="312"/>
        <w:ind w:firstLine="480"/>
        <w:rPr>
          <w:rFonts w:hint="eastAsia"/>
        </w:rPr>
      </w:pPr>
      <w:r>
        <w:rPr>
          <w:rFonts w:hint="eastAsia"/>
        </w:rPr>
        <w:t xml:space="preserve">其中 </w:t>
      </w:r>
      <m:oMath>
        <m:r>
          <m:rPr/>
          <w:rPr>
            <w:rFonts w:hint="default" w:ascii="Cambria Math" w:hAnsi="Cambria Math"/>
            <w:sz w:val="24"/>
          </w:rPr>
          <m:t>H=6</m:t>
        </m:r>
      </m:oMath>
      <w:r>
        <w:rPr>
          <w:rFonts w:hint="eastAsia"/>
        </w:rPr>
        <w:t xml:space="preserve"> 表示预测时间跨度（30分钟）。OLS 损失函数为：</w:t>
      </w:r>
    </w:p>
    <w:p w14:paraId="48C8B044">
      <w:pPr>
        <w:pStyle w:val="61"/>
        <w:spacing w:before="312" w:after="312"/>
        <w:ind w:firstLine="480"/>
        <w:jc w:val="center"/>
        <w:rPr>
          <w:rFonts w:hint="eastAsia"/>
        </w:rPr>
      </w:pPr>
      <m:oMathPara>
        <m:oMath>
          <m:r>
            <m:rPr>
              <m:scr m:val="script"/>
            </m:rPr>
            <w:rPr>
              <w:rFonts w:hint="default" w:ascii="Cambria Math" w:hAnsi="Cambria Math" w:eastAsia="MS Mincho"/>
              <w:sz w:val="24"/>
            </w:rPr>
            <m:t>ℒ</m:t>
          </m:r>
          <m:r>
            <m:rPr/>
            <w:rPr>
              <w:rFonts w:hint="default" w:ascii="Cambria Math" w:hAnsi="Cambria Math"/>
              <w:sz w:val="24"/>
            </w:rPr>
            <m:t>=</m:t>
          </m:r>
          <m:sSup>
            <m:sSupPr>
              <m:ctrlPr>
                <w:rPr>
                  <w:rFonts w:hint="default" w:ascii="Cambria Math" w:hAnsi="Cambria Math"/>
                  <w:sz w:val="24"/>
                </w:rPr>
              </m:ctrlPr>
            </m:sSupPr>
            <m:e>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ctrlPr>
                        <w:rPr>
                          <w:rFonts w:hint="default" w:ascii="Cambria Math" w:hAnsi="Cambria Math"/>
                          <w:i/>
                          <w:sz w:val="24"/>
                        </w:rPr>
                      </m:ctrlPr>
                    </m:dPr>
                    <m:e>
                      <m:sSubSup>
                        <m:sSubSupPr>
                          <m:ctrlPr>
                            <w:rPr>
                              <w:rFonts w:hint="default" w:ascii="Cambria Math" w:hAnsi="Cambria Math"/>
                              <w:sz w:val="24"/>
                            </w:rPr>
                          </m:ctrlPr>
                        </m:sSubSup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(true)</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e>
                  </m:d>
                  <m:ctrlPr>
                    <w:rPr>
                      <w:rFonts w:hint="default" w:ascii="Cambria Math" w:hAnsi="Cambria Math"/>
                      <w:i/>
                      <w:sz w:val="24"/>
                    </w:rPr>
                  </m:ctrlPr>
                </m:e>
              </m:nary>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oMath>
      </m:oMathPara>
    </w:p>
    <w:p w14:paraId="1674C663">
      <w:pPr>
        <w:pStyle w:val="61"/>
        <w:spacing w:before="312" w:after="312"/>
        <w:ind w:firstLine="480"/>
        <w:rPr>
          <w:rFonts w:hint="eastAsia"/>
        </w:rPr>
      </w:pPr>
      <w:r>
        <w:rPr>
          <w:rFonts w:hint="eastAsia"/>
        </w:rPr>
        <w:t>在训练前，所有输入特征均进行 Z-score 标准化处理以消除量纲差异。该模型结构简单、计算效率高，对于平稳的血糖时段能给出合理的趋势估计，但在非线性的快速变化期（如餐后上升、运动后下降）表现欠佳。</w:t>
      </w:r>
    </w:p>
    <w:p w14:paraId="77C6E798">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7F3B47C4">
      <w:pPr>
        <w:pStyle w:val="61"/>
        <w:spacing w:before="312" w:after="312"/>
        <w:ind w:firstLine="480"/>
        <w:jc w:val="left"/>
        <w:rPr>
          <w:rFonts w:hint="eastAsia" w:eastAsia="宋体"/>
          <w:lang w:val="en-US" w:eastAsia="zh-CN"/>
        </w:rPr>
      </w:pPr>
      <w:r>
        <w:drawing>
          <wp:inline distT="0" distB="0" distL="114300" distR="114300">
            <wp:extent cx="4795520" cy="2879725"/>
            <wp:effectExtent l="0" t="0" r="5080"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2"/>
                    <a:stretch>
                      <a:fillRect/>
                    </a:stretch>
                  </pic:blipFill>
                  <pic:spPr>
                    <a:xfrm>
                      <a:off x="0" y="0"/>
                      <a:ext cx="4795520" cy="2879725"/>
                    </a:xfrm>
                    <a:prstGeom prst="rect">
                      <a:avLst/>
                    </a:prstGeom>
                    <a:noFill/>
                    <a:ln>
                      <a:noFill/>
                    </a:ln>
                  </pic:spPr>
                </pic:pic>
              </a:graphicData>
            </a:graphic>
          </wp:inline>
        </w:drawing>
      </w:r>
    </w:p>
    <w:p w14:paraId="5B909EFA">
      <w:pPr>
        <w:pStyle w:val="61"/>
        <w:spacing w:before="312" w:after="312"/>
        <w:ind w:firstLine="480"/>
        <w:jc w:val="left"/>
        <w:rPr>
          <w:rFonts w:hint="eastAsia" w:eastAsia="宋体"/>
          <w:lang w:val="en-US" w:eastAsia="zh-CN"/>
        </w:rPr>
      </w:pPr>
      <w:r>
        <w:drawing>
          <wp:inline distT="0" distB="0" distL="114300" distR="114300">
            <wp:extent cx="4759325" cy="2879725"/>
            <wp:effectExtent l="0" t="0" r="1079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3"/>
                    <a:stretch>
                      <a:fillRect/>
                    </a:stretch>
                  </pic:blipFill>
                  <pic:spPr>
                    <a:xfrm>
                      <a:off x="0" y="0"/>
                      <a:ext cx="4759325" cy="2879725"/>
                    </a:xfrm>
                    <a:prstGeom prst="rect">
                      <a:avLst/>
                    </a:prstGeom>
                    <a:noFill/>
                    <a:ln>
                      <a:noFill/>
                    </a:ln>
                  </pic:spPr>
                </pic:pic>
              </a:graphicData>
            </a:graphic>
          </wp:inline>
        </w:drawing>
      </w:r>
    </w:p>
    <w:p w14:paraId="119E2BE0">
      <w:pPr>
        <w:pStyle w:val="62"/>
        <w:numPr>
          <w:ilvl w:val="5"/>
          <w:numId w:val="9"/>
        </w:numPr>
        <w:spacing w:before="312" w:after="624"/>
        <w:rPr>
          <w:rFonts w:hint="eastAsia" w:eastAsia="宋体"/>
          <w:lang w:val="en-US" w:eastAsia="zh-CN"/>
        </w:rPr>
      </w:pPr>
      <w:r>
        <w:rPr>
          <w:lang w:val="en-US"/>
        </w:rPr>
        <w:t xml:space="preserve">The </w:t>
      </w:r>
      <w:r>
        <w:rPr>
          <w:rFonts w:hint="eastAsia" w:eastAsia="宋体"/>
          <w:lang w:val="en-US" w:eastAsia="zh-CN"/>
        </w:rPr>
        <w:t>linear prediction on served set(subject 2 and 306)</w:t>
      </w:r>
      <w:r>
        <w:rPr>
          <w:rFonts w:hint="eastAsia" w:ascii="宋体" w:hAnsi="宋体" w:eastAsia="宋体" w:cs="宋体"/>
          <w:lang w:val="en-US"/>
        </w:rPr>
        <w:t>.</w:t>
      </w:r>
    </w:p>
    <w:p w14:paraId="7C547861">
      <w:pPr>
        <w:pStyle w:val="61"/>
        <w:spacing w:before="312" w:after="312"/>
        <w:ind w:firstLine="480"/>
        <w:rPr>
          <w:rFonts w:hint="eastAsia"/>
        </w:rPr>
      </w:pPr>
      <w:r>
        <w:rPr>
          <w:rFonts w:hint="eastAsia" w:eastAsia="宋体"/>
          <w:lang w:val="en-US" w:eastAsia="zh-CN"/>
        </w:rPr>
        <w:t>上</w:t>
      </w:r>
      <w:r>
        <w:rPr>
          <w:rFonts w:hint="eastAsia"/>
        </w:rPr>
        <w:t>述统计学模型主要依赖线性假设，难以捕捉血糖动态的复杂非线性模式。为了突破这一局限，本研究进一步引入了三种非线性机器学习方法</w:t>
      </w:r>
      <w:r>
        <w:rPr>
          <w:rFonts w:hint="eastAsia" w:eastAsia="宋体"/>
          <w:lang w:eastAsia="zh-CN"/>
        </w:rPr>
        <w:t>，</w:t>
      </w:r>
      <w:r>
        <w:rPr>
          <w:rFonts w:hint="eastAsia" w:eastAsia="宋体"/>
          <w:lang w:val="en-US" w:eastAsia="zh-CN"/>
        </w:rPr>
        <w:t>KNN、Random Forest、XGBoost</w:t>
      </w:r>
      <w:r>
        <w:rPr>
          <w:rFonts w:hint="eastAsia"/>
        </w:rPr>
        <w:t>。</w:t>
      </w:r>
    </w:p>
    <w:p w14:paraId="015C2CB9">
      <w:pPr>
        <w:pStyle w:val="61"/>
        <w:spacing w:before="312" w:after="312"/>
        <w:ind w:firstLine="480"/>
        <w:rPr>
          <w:rFonts w:hint="eastAsia"/>
        </w:rPr>
      </w:pPr>
    </w:p>
    <w:p w14:paraId="1808969F">
      <w:pPr>
        <w:pStyle w:val="61"/>
        <w:spacing w:before="312" w:after="312"/>
        <w:ind w:firstLine="480"/>
        <w:rPr>
          <w:rFonts w:hint="eastAsia"/>
        </w:rPr>
      </w:pPr>
      <w:r>
        <w:rPr>
          <w:rFonts w:hint="eastAsia"/>
        </w:rPr>
        <w:t>3. K-近邻回归 (KNN)</w:t>
      </w:r>
    </w:p>
    <w:p w14:paraId="22EB5E16">
      <w:pPr>
        <w:pStyle w:val="61"/>
        <w:spacing w:before="312" w:after="312"/>
        <w:ind w:firstLine="480"/>
        <w:rPr>
          <w:rFonts w:hint="eastAsia"/>
        </w:rPr>
      </w:pPr>
      <w:r>
        <w:rPr>
          <w:rFonts w:hint="eastAsia"/>
        </w:rPr>
        <w:t xml:space="preserve">K-近邻算法（K-Nearest Neighbors）是一种基于实例的非参数学习方法 [24]。其核心思想是在特征空间中找到与待预测样本最相似的 </w:t>
      </w:r>
      <m:oMath>
        <m:r>
          <m:rPr/>
          <w:rPr>
            <w:rFonts w:hint="default" w:ascii="Cambria Math" w:hAnsi="Cambria Math"/>
            <w:sz w:val="24"/>
          </w:rPr>
          <m:t>K</m:t>
        </m:r>
      </m:oMath>
      <w:r>
        <w:rPr>
          <w:rFonts w:hint="eastAsia"/>
        </w:rPr>
        <w:t xml:space="preserve"> 个历史样本，并以其目标值的加权平均作为预测结果：</w:t>
      </w:r>
    </w:p>
    <w:p w14:paraId="7F5D4A2C">
      <w:pPr>
        <w:pStyle w:val="61"/>
        <w:spacing w:before="312" w:after="312"/>
        <w:ind w:firstLine="480"/>
        <w:jc w:val="center"/>
        <w:rPr>
          <w:rFonts w:hint="eastAsia"/>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t+H</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K</m:t>
              </m:r>
              <m:ctrlPr>
                <w:rPr>
                  <w:rFonts w:hint="default" w:ascii="Cambria Math" w:hAnsi="Cambria Math"/>
                  <w:sz w:val="24"/>
                </w:rPr>
              </m:ctrlPr>
            </m:den>
          </m:f>
          <m:nary>
            <m:naryPr>
              <m:chr m:val="∑"/>
              <m:limLoc m:val="undOvr"/>
              <m:supHide m:val="1"/>
              <m:ctrlPr>
                <w:rPr>
                  <w:rFonts w:hint="default" w:ascii="Cambria Math" w:hAnsi="Cambria Math"/>
                  <w:i/>
                  <w:sz w:val="24"/>
                </w:rPr>
              </m:ctrlPr>
            </m:naryPr>
            <m:sub>
              <m:r>
                <m:rPr/>
                <w:rPr>
                  <w:rFonts w:hint="default" w:ascii="Cambria Math" w:hAnsi="Cambria Math"/>
                  <w:sz w:val="24"/>
                </w:rPr>
                <m:t>i∈</m:t>
              </m:r>
              <m:sSub>
                <m:sSubPr>
                  <m:ctrlPr>
                    <w:rPr>
                      <w:rFonts w:hint="default" w:ascii="Cambria Math" w:hAnsi="Cambria Math"/>
                      <w:sz w:val="24"/>
                    </w:rPr>
                  </m:ctrlPr>
                </m:sSubPr>
                <m:e>
                  <m:r>
                    <m:rPr>
                      <m:scr m:val="script"/>
                    </m:rPr>
                    <w:rPr>
                      <w:rFonts w:hint="default" w:ascii="Cambria Math" w:hAnsi="Cambria Math" w:eastAsia="MS Mincho"/>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up>
              <m:ctrlPr>
                <w:rPr>
                  <w:rFonts w:hint="default" w:ascii="Cambria Math" w:hAnsi="Cambria Math"/>
                  <w:sz w:val="24"/>
                </w:rPr>
              </m:ctrlPr>
            </m:sup>
            <m:e>
              <m:sSubSup>
                <m:sSubSupPr>
                  <m:ctrlPr>
                    <w:rPr>
                      <w:rFonts w:hint="default" w:ascii="Cambria Math" w:hAnsi="Cambria Math"/>
                      <w:sz w:val="24"/>
                    </w:rPr>
                  </m:ctrlPr>
                </m:sSubSup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(target)</m:t>
                  </m:r>
                  <m:ctrlPr>
                    <w:rPr>
                      <w:rFonts w:ascii="Cambria Math" w:hAnsi="Cambria Math"/>
                      <w:sz w:val="24"/>
                    </w:rPr>
                  </m:ctrlPr>
                </m:sup>
              </m:sSubSup>
              <m:ctrlPr>
                <w:rPr>
                  <w:rFonts w:hint="default" w:ascii="Cambria Math" w:hAnsi="Cambria Math"/>
                  <w:sz w:val="24"/>
                </w:rPr>
              </m:ctrlPr>
            </m:e>
          </m:nary>
        </m:oMath>
      </m:oMathPara>
    </w:p>
    <w:p w14:paraId="64780CD9">
      <w:pPr>
        <w:pStyle w:val="61"/>
        <w:spacing w:before="312" w:after="312"/>
        <w:ind w:firstLine="480"/>
        <w:rPr>
          <w:rFonts w:hint="eastAsia"/>
        </w:rPr>
      </w:pPr>
      <w:r>
        <w:rPr>
          <w:rFonts w:hint="eastAsia"/>
        </w:rPr>
        <w:t xml:space="preserve">其中 </w:t>
      </w:r>
      <m:oMath>
        <m:sSub>
          <m:sSubPr>
            <m:ctrlPr>
              <w:rPr>
                <w:rFonts w:hint="default" w:ascii="Cambria Math" w:hAnsi="Cambria Math"/>
                <w:sz w:val="24"/>
              </w:rPr>
            </m:ctrlPr>
          </m:sSubPr>
          <m:e>
            <m:r>
              <m:rPr>
                <m:scr m:val="script"/>
              </m:rPr>
              <w:rPr>
                <w:rFonts w:hint="default" w:ascii="Cambria Math" w:hAnsi="Cambria Math" w:eastAsia="MS Mincho"/>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r>
        <w:rPr>
          <w:rFonts w:hint="eastAsia"/>
        </w:rPr>
        <w:t xml:space="preserve"> 表示在训练集中与输入 </w:t>
      </w:r>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rPr>
        <w:t xml:space="preserve"> 欧氏距离最近的 </w:t>
      </w:r>
      <m:oMath>
        <m:r>
          <m:rPr/>
          <w:rPr>
            <w:rFonts w:hint="default" w:ascii="Cambria Math" w:hAnsi="Cambria Math"/>
            <w:sz w:val="24"/>
          </w:rPr>
          <m:t>K</m:t>
        </m:r>
      </m:oMath>
      <w:r>
        <w:rPr>
          <w:rFonts w:hint="eastAsia"/>
        </w:rPr>
        <w:t xml:space="preserve"> 个样本的集合。本研究设定近邻数 </w:t>
      </w:r>
      <m:oMath>
        <m:r>
          <m:rPr/>
          <w:rPr>
            <w:rFonts w:hint="default" w:ascii="Cambria Math" w:hAnsi="Cambria Math"/>
            <w:sz w:val="24"/>
          </w:rPr>
          <m:t>K=5</m:t>
        </m:r>
      </m:oMath>
      <w:r>
        <w:rPr>
          <w:rFonts w:hint="eastAsia"/>
        </w:rPr>
        <w:t>，采用等权重平均策略。KNN 的优势在于其非参数特性——无需显式训练过程，模型表达能力随数据量增长。然而，由于需要在整个训练集上进行距离计算，在大规模数据集上推理速度较慢。此外，KNN 对特征缩放敏感，故在训练前对所有特征进行了 Z-score 标准化。</w:t>
      </w:r>
    </w:p>
    <w:p w14:paraId="69ED20E8">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49E72E21">
      <w:pPr>
        <w:pStyle w:val="61"/>
        <w:spacing w:before="312" w:after="312"/>
        <w:ind w:firstLine="480"/>
        <w:jc w:val="left"/>
      </w:pPr>
      <w:r>
        <w:drawing>
          <wp:inline distT="0" distB="0" distL="114300" distR="114300">
            <wp:extent cx="4795520" cy="2879725"/>
            <wp:effectExtent l="0" t="0" r="5080" b="6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4"/>
                    <a:stretch>
                      <a:fillRect/>
                    </a:stretch>
                  </pic:blipFill>
                  <pic:spPr>
                    <a:xfrm>
                      <a:off x="0" y="0"/>
                      <a:ext cx="4795520" cy="2879725"/>
                    </a:xfrm>
                    <a:prstGeom prst="rect">
                      <a:avLst/>
                    </a:prstGeom>
                    <a:noFill/>
                    <a:ln>
                      <a:noFill/>
                    </a:ln>
                  </pic:spPr>
                </pic:pic>
              </a:graphicData>
            </a:graphic>
          </wp:inline>
        </w:drawing>
      </w:r>
    </w:p>
    <w:p w14:paraId="39E68EDA">
      <w:pPr>
        <w:pStyle w:val="61"/>
        <w:spacing w:before="312" w:after="312"/>
        <w:ind w:firstLine="480"/>
        <w:jc w:val="left"/>
      </w:pPr>
      <w:r>
        <w:drawing>
          <wp:inline distT="0" distB="0" distL="114300" distR="114300">
            <wp:extent cx="4795520" cy="2879725"/>
            <wp:effectExtent l="0" t="0" r="508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5"/>
                    <a:stretch>
                      <a:fillRect/>
                    </a:stretch>
                  </pic:blipFill>
                  <pic:spPr>
                    <a:xfrm>
                      <a:off x="0" y="0"/>
                      <a:ext cx="4795520" cy="2879725"/>
                    </a:xfrm>
                    <a:prstGeom prst="rect">
                      <a:avLst/>
                    </a:prstGeom>
                    <a:noFill/>
                    <a:ln>
                      <a:noFill/>
                    </a:ln>
                  </pic:spPr>
                </pic:pic>
              </a:graphicData>
            </a:graphic>
          </wp:inline>
        </w:drawing>
      </w:r>
    </w:p>
    <w:p w14:paraId="3D61D0B4">
      <w:pPr>
        <w:pStyle w:val="62"/>
        <w:numPr>
          <w:ilvl w:val="5"/>
          <w:numId w:val="9"/>
        </w:numPr>
        <w:spacing w:before="312" w:after="624"/>
        <w:rPr>
          <w:rFonts w:hint="eastAsia"/>
        </w:rPr>
      </w:pPr>
      <w:r>
        <w:rPr>
          <w:lang w:val="en-US"/>
        </w:rPr>
        <w:t xml:space="preserve">The </w:t>
      </w:r>
      <w:r>
        <w:rPr>
          <w:rFonts w:hint="eastAsia" w:eastAsia="宋体"/>
          <w:lang w:val="en-US" w:eastAsia="zh-CN"/>
        </w:rPr>
        <w:t>KNN prediction on served set(subject 2 and 306)</w:t>
      </w:r>
      <w:r>
        <w:rPr>
          <w:rFonts w:hint="eastAsia" w:ascii="宋体" w:hAnsi="宋体" w:eastAsia="宋体" w:cs="宋体"/>
          <w:lang w:val="en-US"/>
        </w:rPr>
        <w:t>.</w:t>
      </w:r>
    </w:p>
    <w:p w14:paraId="05E03256">
      <w:pPr>
        <w:pStyle w:val="61"/>
        <w:spacing w:before="312" w:after="312"/>
        <w:ind w:firstLine="480"/>
        <w:rPr>
          <w:rFonts w:hint="eastAsia"/>
        </w:rPr>
      </w:pPr>
      <w:r>
        <w:rPr>
          <w:rFonts w:hint="eastAsia"/>
        </w:rPr>
        <w:t>4. 随机森林 (Random Forest)</w:t>
      </w:r>
    </w:p>
    <w:p w14:paraId="21E0F83B">
      <w:pPr>
        <w:pStyle w:val="61"/>
        <w:spacing w:before="312" w:after="312"/>
        <w:ind w:firstLine="480"/>
        <w:rPr>
          <w:rFonts w:hint="eastAsia"/>
        </w:rPr>
      </w:pPr>
      <w:r>
        <w:rPr>
          <w:rFonts w:hint="eastAsia"/>
        </w:rPr>
        <w:t>随机森林是一种基于 Bagging 策略的集成学习方法，通过构建多棵相互独立的决策树并取其预测均值来降低方差 [8]：</w:t>
      </w:r>
    </w:p>
    <w:p w14:paraId="0B68D661">
      <w:pPr>
        <w:pStyle w:val="61"/>
        <w:spacing w:before="312" w:after="312"/>
        <w:ind w:firstLine="480"/>
        <w:jc w:val="center"/>
        <w:rPr>
          <w:rFonts w:hint="eastAsia"/>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t+H</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T</m:t>
              </m:r>
              <m:ctrlPr>
                <w:rPr>
                  <w:rFonts w:hint="default"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oMath>
      </m:oMathPara>
    </w:p>
    <w:p w14:paraId="0848FC48">
      <w:pPr>
        <w:pStyle w:val="61"/>
        <w:spacing w:before="312" w:after="312"/>
        <w:ind w:firstLine="480"/>
        <w:rPr>
          <w:rFonts w:hint="eastAsia"/>
        </w:rPr>
      </w:pPr>
      <w:r>
        <w:rPr>
          <w:rFonts w:hint="eastAsia"/>
        </w:rPr>
        <w:t xml:space="preserve">其中 </w:t>
      </w:r>
      <m:oMath>
        <m:r>
          <m:rPr/>
          <w:rPr>
            <w:rFonts w:hint="default" w:ascii="Cambria Math" w:hAnsi="Cambria Math"/>
            <w:sz w:val="24"/>
          </w:rPr>
          <m:t>T</m:t>
        </m:r>
      </m:oMath>
      <w:r>
        <w:rPr>
          <w:rFonts w:hint="eastAsia"/>
        </w:rPr>
        <w:t xml:space="preserve"> 为决策树数量，</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 xml:space="preserve"> 表示第 </w:t>
      </w:r>
      <m:oMath>
        <m:r>
          <m:rPr/>
          <w:rPr>
            <w:rFonts w:hint="default" w:ascii="Cambria Math" w:hAnsi="Cambria Math"/>
            <w:sz w:val="24"/>
          </w:rPr>
          <m:t>i</m:t>
        </m:r>
      </m:oMath>
      <w:r>
        <w:rPr>
          <w:rFonts w:hint="eastAsia"/>
        </w:rPr>
        <w:t xml:space="preserve"> 棵决策树的预测函数。每棵树在训练时采用自助采样（Bootstrap Sampling）和随机特征子集选择，从而保证基学习器的多样性。本研究设定集成规模为 100 棵决策树，不限制单棵树的最大深度以充分拟合训练数据。此外，模型额外引入时间特征（Time of Day，编码为 0-23 的整数），使树模型能够学习到血糖的昼夜节律特征。</w:t>
      </w:r>
    </w:p>
    <w:p w14:paraId="184EAE4B">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01AF7125">
      <w:pPr>
        <w:pStyle w:val="61"/>
        <w:spacing w:before="312" w:after="312"/>
        <w:ind w:firstLine="480"/>
        <w:jc w:val="left"/>
      </w:pPr>
    </w:p>
    <w:p w14:paraId="167CBA82">
      <w:pPr>
        <w:pStyle w:val="61"/>
        <w:spacing w:before="312" w:after="312"/>
        <w:ind w:firstLine="480"/>
        <w:jc w:val="left"/>
      </w:pPr>
      <w:r>
        <w:drawing>
          <wp:inline distT="0" distB="0" distL="114300" distR="114300">
            <wp:extent cx="4795520" cy="2879725"/>
            <wp:effectExtent l="0" t="0" r="5080"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6"/>
                    <a:stretch>
                      <a:fillRect/>
                    </a:stretch>
                  </pic:blipFill>
                  <pic:spPr>
                    <a:xfrm>
                      <a:off x="0" y="0"/>
                      <a:ext cx="4795520" cy="2879725"/>
                    </a:xfrm>
                    <a:prstGeom prst="rect">
                      <a:avLst/>
                    </a:prstGeom>
                    <a:noFill/>
                    <a:ln>
                      <a:noFill/>
                    </a:ln>
                  </pic:spPr>
                </pic:pic>
              </a:graphicData>
            </a:graphic>
          </wp:inline>
        </w:drawing>
      </w:r>
    </w:p>
    <w:p w14:paraId="0E9A00C5">
      <w:pPr>
        <w:pStyle w:val="61"/>
        <w:spacing w:before="312" w:after="312"/>
        <w:ind w:firstLine="480"/>
        <w:jc w:val="left"/>
      </w:pPr>
      <w:r>
        <w:drawing>
          <wp:inline distT="0" distB="0" distL="114300" distR="114300">
            <wp:extent cx="4759325" cy="2879725"/>
            <wp:effectExtent l="0" t="0" r="10795"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7"/>
                    <a:stretch>
                      <a:fillRect/>
                    </a:stretch>
                  </pic:blipFill>
                  <pic:spPr>
                    <a:xfrm>
                      <a:off x="0" y="0"/>
                      <a:ext cx="4759325" cy="2879725"/>
                    </a:xfrm>
                    <a:prstGeom prst="rect">
                      <a:avLst/>
                    </a:prstGeom>
                    <a:noFill/>
                    <a:ln>
                      <a:noFill/>
                    </a:ln>
                  </pic:spPr>
                </pic:pic>
              </a:graphicData>
            </a:graphic>
          </wp:inline>
        </w:drawing>
      </w:r>
    </w:p>
    <w:p w14:paraId="01F5A132">
      <w:pPr>
        <w:pStyle w:val="62"/>
        <w:numPr>
          <w:ilvl w:val="5"/>
          <w:numId w:val="9"/>
        </w:numPr>
        <w:spacing w:before="312" w:after="624"/>
        <w:rPr>
          <w:rFonts w:hint="eastAsia"/>
          <w:lang w:val="en-US" w:eastAsia="zh-CN"/>
        </w:rPr>
      </w:pPr>
      <w:r>
        <w:rPr>
          <w:lang w:val="en-US"/>
        </w:rPr>
        <w:t xml:space="preserve">The </w:t>
      </w:r>
      <w:r>
        <w:rPr>
          <w:rFonts w:hint="eastAsia" w:eastAsia="宋体"/>
          <w:lang w:val="en-US" w:eastAsia="zh-CN"/>
        </w:rPr>
        <w:t>random forest prediction on served set(subject 2 and 306)</w:t>
      </w:r>
      <w:r>
        <w:rPr>
          <w:rFonts w:hint="eastAsia" w:ascii="宋体" w:hAnsi="宋体" w:eastAsia="宋体" w:cs="宋体"/>
          <w:lang w:val="en-US"/>
        </w:rPr>
        <w:t>.</w:t>
      </w:r>
    </w:p>
    <w:p w14:paraId="2E057034">
      <w:pPr>
        <w:pStyle w:val="61"/>
        <w:spacing w:before="312" w:after="312"/>
        <w:ind w:firstLine="480"/>
        <w:rPr>
          <w:rFonts w:hint="eastAsia"/>
        </w:rPr>
      </w:pPr>
      <w:r>
        <w:rPr>
          <w:rFonts w:hint="eastAsia"/>
        </w:rPr>
        <w:t>5. XGBoost</w:t>
      </w:r>
    </w:p>
    <w:p w14:paraId="1EE0EA03">
      <w:pPr>
        <w:pStyle w:val="61"/>
        <w:spacing w:before="312" w:after="312"/>
        <w:ind w:firstLine="480"/>
        <w:rPr>
          <w:rFonts w:hint="eastAsia"/>
        </w:rPr>
      </w:pPr>
      <w:r>
        <w:rPr>
          <w:rFonts w:hint="eastAsia"/>
        </w:rPr>
        <w:t>XGBoost（eXtreme Gradient Boosting）是一种基于梯度提升（Gradient Boosting）框架的集成学习方法，由 Chen 和 Guestrin 提出 [45]，通过迭代地添加弱学习器来拟合前一轮的残差。其目标函数为：</w:t>
      </w:r>
    </w:p>
    <w:p w14:paraId="758FB2A4">
      <w:pPr>
        <w:pStyle w:val="61"/>
        <w:spacing w:before="312" w:after="312"/>
        <w:ind w:firstLine="480"/>
        <w:jc w:val="center"/>
        <w:rPr>
          <w:rFonts w:hint="eastAsia"/>
        </w:rPr>
      </w:pPr>
      <m:oMathPara>
        <m:oMath>
          <m:sSup>
            <m:sSupPr>
              <m:ctrlPr>
                <w:rPr>
                  <w:rFonts w:hint="default" w:ascii="Cambria Math" w:hAnsi="Cambria Math"/>
                  <w:sz w:val="24"/>
                </w:rPr>
              </m:ctrlPr>
            </m:sSupPr>
            <m:e>
              <m:r>
                <m:rPr>
                  <m:scr m:val="script"/>
                </m:rPr>
                <w:rPr>
                  <w:rFonts w:hint="default" w:ascii="Cambria Math" w:hAnsi="Cambria Math" w:eastAsia="MS Mincho"/>
                  <w:sz w:val="24"/>
                </w:rPr>
                <m:t>ℒ</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l</m:t>
              </m:r>
              <m:ctrlPr>
                <w:rPr>
                  <w:rFonts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up>
              <m:r>
                <m:rPr/>
                <w:rPr>
                  <w:rFonts w:hint="default" w:ascii="Cambria Math" w:hAnsi="Cambria Math"/>
                  <w:sz w:val="24"/>
                </w:rPr>
                <m:t>(t−1)</m:t>
              </m:r>
              <m:ctrlPr>
                <w:rPr>
                  <w:rFonts w:hint="default"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r>
            <m:rPr>
              <m:sty m:val="p"/>
            </m:rPr>
            <w:rPr>
              <w:rFonts w:hint="default" w:ascii="Cambria Math" w:hAnsi="Cambria Math"/>
              <w:sz w:val="24"/>
            </w:rPr>
            <m:t>Ω</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oMath>
      </m:oMathPara>
    </w:p>
    <w:p w14:paraId="7A6ABD14">
      <w:pPr>
        <w:pStyle w:val="61"/>
        <w:spacing w:before="312" w:after="312"/>
        <w:ind w:firstLine="480"/>
        <w:rPr>
          <w:rFonts w:hint="eastAsia"/>
        </w:rPr>
      </w:pPr>
      <w:r>
        <w:rPr>
          <w:rFonts w:hint="eastAsia"/>
        </w:rPr>
        <w:t>其中</w:t>
      </w:r>
      <w:r>
        <w:rPr>
          <w:rFonts w:hint="eastAsia" w:eastAsia="宋体"/>
          <w:lang w:val="en-US" w:eastAsia="zh-CN"/>
        </w:rPr>
        <w:t xml:space="preserve"> </w:t>
      </w:r>
      <m:oMath>
        <m:r>
          <m:rPr/>
          <w:rPr>
            <w:rFonts w:hint="default" w:ascii="Cambria Math" w:hAnsi="Cambria Math"/>
            <w:sz w:val="24"/>
          </w:rPr>
          <m:t>l</m:t>
        </m:r>
      </m:oMath>
      <w:r>
        <w:rPr>
          <w:rFonts w:hint="eastAsia" w:hAnsi="Cambria Math" w:eastAsia="宋体"/>
          <w:i w:val="0"/>
          <w:sz w:val="24"/>
          <w:lang w:val="en-US" w:eastAsia="zh-CN"/>
        </w:rPr>
        <w:t xml:space="preserve"> </w:t>
      </w:r>
      <w:r>
        <w:rPr>
          <w:rFonts w:hint="eastAsia"/>
        </w:rPr>
        <w:t>为损失函数（本研究使用平方损失），</w:t>
      </w:r>
      <m:oMath>
        <m:r>
          <m:rPr>
            <m:sty m:val="p"/>
          </m:rPr>
          <w:rPr>
            <w:rFonts w:hint="default" w:ascii="Cambria Math" w:hAnsi="Cambria Math"/>
            <w:sz w:val="24"/>
          </w:rPr>
          <m:t>Ω</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)=γT+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r>
          <m:rPr/>
          <w:rPr>
            <w:rFonts w:hint="default" w:ascii="Cambria Math" w:hAnsi="Cambria Math"/>
            <w:sz w:val="24"/>
          </w:rPr>
          <m:t>λ‖w</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eastAsia"/>
        </w:rPr>
        <w:t xml:space="preserve"> 为正则化项，用于控制模型复杂度、防止过拟合。本研究设定提升轮数为 100，学习率 </w:t>
      </w:r>
      <m:oMath>
        <m:r>
          <m:rPr/>
          <w:rPr>
            <w:rFonts w:hint="default" w:ascii="Cambria Math" w:hAnsi="Cambria Math"/>
            <w:sz w:val="24"/>
          </w:rPr>
          <m:t>η=0.1</m:t>
        </m:r>
      </m:oMath>
      <w:r>
        <w:rPr>
          <w:rFonts w:hint="eastAsia"/>
        </w:rPr>
        <w:t>，单棵树的最大深度为5。与随机森林类似，XGBoost 也融合了时间特征。凭借其强大的非线性拟合能力和内置的正则化机制，XGBoost 在基线模型中通常表现优异，常被用作衡量深度学习模型有效性的重要参照标准 [45]。</w:t>
      </w:r>
    </w:p>
    <w:p w14:paraId="55BA0D1A">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0729D6FA">
      <w:pPr>
        <w:pStyle w:val="61"/>
        <w:spacing w:before="312" w:after="312"/>
        <w:ind w:firstLine="480"/>
        <w:jc w:val="left"/>
      </w:pPr>
      <w:r>
        <w:drawing>
          <wp:inline distT="0" distB="0" distL="114300" distR="114300">
            <wp:extent cx="4795520" cy="2879725"/>
            <wp:effectExtent l="0" t="0" r="5080"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8"/>
                    <a:stretch>
                      <a:fillRect/>
                    </a:stretch>
                  </pic:blipFill>
                  <pic:spPr>
                    <a:xfrm>
                      <a:off x="0" y="0"/>
                      <a:ext cx="4795520" cy="2879725"/>
                    </a:xfrm>
                    <a:prstGeom prst="rect">
                      <a:avLst/>
                    </a:prstGeom>
                    <a:noFill/>
                    <a:ln>
                      <a:noFill/>
                    </a:ln>
                  </pic:spPr>
                </pic:pic>
              </a:graphicData>
            </a:graphic>
          </wp:inline>
        </w:drawing>
      </w:r>
    </w:p>
    <w:p w14:paraId="511EFAC2">
      <w:pPr>
        <w:pStyle w:val="61"/>
        <w:spacing w:before="312" w:after="312"/>
        <w:ind w:firstLine="480"/>
        <w:jc w:val="left"/>
      </w:pPr>
      <w:r>
        <w:drawing>
          <wp:inline distT="0" distB="0" distL="114300" distR="114300">
            <wp:extent cx="4759325" cy="2879725"/>
            <wp:effectExtent l="0" t="0" r="10795" b="63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9"/>
                    <a:stretch>
                      <a:fillRect/>
                    </a:stretch>
                  </pic:blipFill>
                  <pic:spPr>
                    <a:xfrm>
                      <a:off x="0" y="0"/>
                      <a:ext cx="4759325" cy="2879725"/>
                    </a:xfrm>
                    <a:prstGeom prst="rect">
                      <a:avLst/>
                    </a:prstGeom>
                    <a:noFill/>
                    <a:ln>
                      <a:noFill/>
                    </a:ln>
                  </pic:spPr>
                </pic:pic>
              </a:graphicData>
            </a:graphic>
          </wp:inline>
        </w:drawing>
      </w:r>
    </w:p>
    <w:p w14:paraId="54305BA4">
      <w:pPr>
        <w:pStyle w:val="62"/>
        <w:numPr>
          <w:ilvl w:val="5"/>
          <w:numId w:val="9"/>
        </w:numPr>
        <w:spacing w:before="312" w:after="624"/>
        <w:rPr>
          <w:rFonts w:hint="eastAsia"/>
          <w:lang w:val="en-US" w:eastAsia="zh-CN"/>
        </w:rPr>
      </w:pPr>
      <w:r>
        <w:rPr>
          <w:lang w:val="en-US"/>
        </w:rPr>
        <w:t xml:space="preserve">The </w:t>
      </w:r>
      <w:r>
        <w:rPr>
          <w:rFonts w:hint="eastAsia" w:eastAsia="宋体"/>
          <w:lang w:val="en-US" w:eastAsia="zh-CN"/>
        </w:rPr>
        <w:t>XGBoost prediction on served set(subject 2 and 306)</w:t>
      </w:r>
      <w:r>
        <w:rPr>
          <w:rFonts w:hint="eastAsia" w:ascii="宋体" w:hAnsi="宋体" w:eastAsia="宋体" w:cs="宋体"/>
          <w:lang w:val="en-US"/>
        </w:rPr>
        <w:t>.</w:t>
      </w:r>
    </w:p>
    <w:p w14:paraId="159D1EF4">
      <w:pPr>
        <w:pStyle w:val="61"/>
        <w:spacing w:before="312" w:after="312"/>
        <w:ind w:firstLine="480"/>
        <w:jc w:val="left"/>
        <w:rPr>
          <w:rFonts w:hint="eastAsia"/>
          <w:lang w:val="en-US" w:eastAsia="zh-CN"/>
        </w:rPr>
      </w:pPr>
    </w:p>
    <w:p w14:paraId="0EC696BC">
      <w:pPr>
        <w:pStyle w:val="56"/>
        <w:numPr>
          <w:ilvl w:val="1"/>
          <w:numId w:val="9"/>
        </w:numPr>
        <w:rPr>
          <w:rFonts w:hint="eastAsia" w:eastAsia="宋体"/>
          <w:bCs/>
          <w:lang w:val="en-US" w:eastAsia="zh-CN"/>
        </w:rPr>
      </w:pPr>
      <w:r>
        <w:rPr>
          <w:rFonts w:hint="eastAsia" w:eastAsia="宋体"/>
          <w:bCs/>
          <w:lang w:val="en-US" w:eastAsia="zh-CN"/>
        </w:rPr>
        <w:t>Deep Learning Models</w:t>
      </w:r>
    </w:p>
    <w:p w14:paraId="2EA8379C">
      <w:pPr>
        <w:pStyle w:val="61"/>
        <w:spacing w:before="312" w:after="312"/>
        <w:ind w:firstLine="480"/>
        <w:rPr>
          <w:rFonts w:hint="eastAsia"/>
        </w:rPr>
      </w:pPr>
      <w:r>
        <w:rPr>
          <w:rFonts w:hint="eastAsia"/>
        </w:rPr>
        <w:t xml:space="preserve">针对血糖数据的时序依赖性和非线性特征，本研究构建了四种深度神经网络架构：一维卷积神经网络（CNN）、循环神经网络（RNN）、长短期2记忆网络（LSTM）以及 Transformer。为确保对比实验的公平性，所有深度学习模型均采用统一的训练策略：批量大小设为 64，采用 Adam 优化器 [50] 以学习率 </w:t>
      </w:r>
      <m:oMath>
        <m:r>
          <m:rPr/>
          <w:rPr>
            <w:rFonts w:hint="default" w:ascii="Cambria Math" w:hAnsi="Cambria Math"/>
            <w:sz w:val="24"/>
          </w:rPr>
          <m:t>η=0.001</m:t>
        </m:r>
      </m:oMath>
      <w:r>
        <w:rPr>
          <w:rFonts w:hint="eastAsia"/>
        </w:rPr>
        <w:t xml:space="preserve"> 进行参数更新，损失函数选用均方误差（Mean Squared Error, MSE），训练过程持续 50 个周期（epochs）。输入数据在训练前进行 Z-score 标准化处理。</w:t>
      </w:r>
    </w:p>
    <w:p w14:paraId="0DBA4BA1">
      <w:pPr>
        <w:pStyle w:val="61"/>
        <w:spacing w:before="312" w:after="312"/>
        <w:ind w:firstLine="480"/>
        <w:rPr>
          <w:rFonts w:hint="default" w:eastAsia="宋体"/>
          <w:lang w:val="en-US" w:eastAsia="zh-CN"/>
        </w:rPr>
      </w:pPr>
      <w:r>
        <w:rPr>
          <w:rFonts w:hint="eastAsia" w:eastAsia="宋体"/>
          <w:lang w:val="en-US" w:eastAsia="zh-CN"/>
        </w:rPr>
        <w:t>1.CNN</w:t>
      </w:r>
    </w:p>
    <w:p w14:paraId="16D51C76">
      <w:pPr>
        <w:pStyle w:val="61"/>
        <w:spacing w:before="312" w:after="312"/>
        <w:ind w:firstLine="480"/>
        <w:rPr>
          <w:rFonts w:hint="eastAsia"/>
        </w:rPr>
      </w:pPr>
      <w:r>
        <w:rPr>
          <w:rFonts w:hint="eastAsia"/>
        </w:rPr>
        <w:t>卷积神经网络在图像处理领域取得了突破性进展，而一维卷积（1D Convolution）在时间序列特征提取上同样高效 [47]。一维卷积操作可形式化表示为：</w:t>
      </w:r>
    </w:p>
    <w:p w14:paraId="54FD6C5B">
      <w:pPr>
        <w:pStyle w:val="61"/>
        <w:spacing w:before="312" w:after="312"/>
        <w:ind w:firstLine="480"/>
        <w:rPr>
          <w:rFonts w:hint="eastAsia"/>
        </w:rPr>
      </w:pPr>
      <m:oMathPara>
        <m:oMath>
          <m:r>
            <m:rPr/>
            <w:rPr>
              <w:rFonts w:hint="default" w:ascii="Cambria Math" w:hAnsi="Cambria Math"/>
              <w:sz w:val="24"/>
            </w:rPr>
            <m:t>y[n]=</m:t>
          </m:r>
          <m:nary>
            <m:naryPr>
              <m:chr m:val="∑"/>
              <m:limLoc m:val="undOvr"/>
              <m:ctrlPr>
                <w:rPr>
                  <w:rFonts w:hint="default" w:ascii="Cambria Math" w:hAnsi="Cambria Math"/>
                  <w:i/>
                  <w:sz w:val="24"/>
                </w:rPr>
              </m:ctrlPr>
            </m:naryPr>
            <m:sub>
              <m:r>
                <m:rPr/>
                <w:rPr>
                  <w:rFonts w:hint="default" w:ascii="Cambria Math" w:hAnsi="Cambria Math"/>
                  <w:sz w:val="24"/>
                </w:rPr>
                <m:t>k=0</m:t>
              </m:r>
              <m:ctrlPr>
                <w:rPr>
                  <w:rFonts w:ascii="Cambria Math" w:hAnsi="Cambria Math"/>
                  <w:sz w:val="24"/>
                </w:rPr>
              </m:ctrlPr>
            </m:sub>
            <m:sup>
              <m:r>
                <m:rPr/>
                <w:rPr>
                  <w:rFonts w:hint="default" w:ascii="Cambria Math" w:hAnsi="Cambria Math"/>
                  <w:sz w:val="24"/>
                </w:rPr>
                <m:t>K−1</m:t>
              </m:r>
              <m:ctrlPr>
                <w:rPr>
                  <w:rFonts w:ascii="Cambria Math" w:hAnsi="Cambria Math"/>
                  <w:sz w:val="24"/>
                </w:rPr>
              </m:ctrlPr>
            </m:sup>
            <m:e>
              <m:r>
                <m:rPr/>
                <w:rPr>
                  <w:rFonts w:hint="default" w:ascii="Cambria Math" w:hAnsi="Cambria Math"/>
                  <w:sz w:val="24"/>
                </w:rPr>
                <m:t>w</m:t>
              </m:r>
              <m:ctrlPr>
                <w:rPr>
                  <w:rFonts w:ascii="Cambria Math" w:hAnsi="Cambria Math"/>
                  <w:sz w:val="24"/>
                </w:rPr>
              </m:ctrlPr>
            </m:e>
          </m:nary>
          <m:r>
            <m:rPr/>
            <w:rPr>
              <w:rFonts w:hint="default" w:ascii="Cambria Math" w:hAnsi="Cambria Math"/>
              <w:sz w:val="24"/>
            </w:rPr>
            <m:t>[k]⋅x[n−k]</m:t>
          </m:r>
        </m:oMath>
      </m:oMathPara>
    </w:p>
    <w:p w14:paraId="6AC2B614">
      <w:pPr>
        <w:pStyle w:val="61"/>
        <w:spacing w:before="312" w:after="312"/>
        <w:ind w:firstLine="480"/>
        <w:rPr>
          <w:rFonts w:hint="eastAsia"/>
        </w:rPr>
      </w:pPr>
      <w:r>
        <w:rPr>
          <w:rFonts w:hint="eastAsia"/>
        </w:rPr>
        <w:t xml:space="preserve">其中 </w:t>
      </w:r>
      <m:oMath>
        <m:r>
          <m:rPr/>
          <w:rPr>
            <w:rFonts w:hint="default" w:ascii="Cambria Math" w:hAnsi="Cambria Math"/>
            <w:sz w:val="24"/>
          </w:rPr>
          <m:t>K</m:t>
        </m:r>
      </m:oMath>
      <w:r>
        <w:rPr>
          <w:rFonts w:hint="eastAsia"/>
        </w:rPr>
        <w:t xml:space="preserve"> 为卷积核大小，</w:t>
      </w:r>
      <m:oMath>
        <m:r>
          <m:rPr/>
          <w:rPr>
            <w:rFonts w:hint="default" w:ascii="Cambria Math" w:hAnsi="Cambria Math"/>
            <w:sz w:val="24"/>
          </w:rPr>
          <m:t>w</m:t>
        </m:r>
      </m:oMath>
      <w:r>
        <w:rPr>
          <w:rFonts w:hint="eastAsia"/>
        </w:rPr>
        <w:t xml:space="preserve"> 为可学习的卷积核权重。</w:t>
      </w:r>
    </w:p>
    <w:p w14:paraId="3788C673">
      <w:pPr>
        <w:pStyle w:val="61"/>
        <w:spacing w:before="312" w:after="312"/>
        <w:ind w:firstLine="480"/>
        <w:rPr>
          <w:rFonts w:hint="eastAsia"/>
        </w:rPr>
      </w:pPr>
      <w:r>
        <w:rPr>
          <w:rFonts w:hint="eastAsia"/>
        </w:rPr>
        <w:t>本研究设计的 CNN 架构采用两层级联卷积结构。第一卷积层配置 16 个大小为 3 的卷积核，采用零填充（padding=1）以保持序列长度，经 ReLU 激活函数和步长为 2 的最大池化后，序列长度减半。第二卷积层配置 32 个卷积核，结构与第一层相同。经两次池化后，特征图被展平并与静态特征（Age, BMI）拼接，最后通过两层全连接网络（隐藏层维度为 64）输出预测值。CNN 的优势在于其平移不变性和高效的并行计算能力，能够快速捕捉短期的局部波动模式。</w:t>
      </w:r>
    </w:p>
    <w:p w14:paraId="62AAF460">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67E25036">
      <w:pPr>
        <w:pStyle w:val="61"/>
        <w:spacing w:before="312" w:after="312"/>
        <w:ind w:firstLine="480"/>
        <w:jc w:val="left"/>
      </w:pPr>
      <w:r>
        <w:drawing>
          <wp:inline distT="0" distB="0" distL="114300" distR="114300">
            <wp:extent cx="4766945" cy="2879725"/>
            <wp:effectExtent l="0" t="0" r="3175" b="63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0"/>
                    <a:stretch>
                      <a:fillRect/>
                    </a:stretch>
                  </pic:blipFill>
                  <pic:spPr>
                    <a:xfrm>
                      <a:off x="0" y="0"/>
                      <a:ext cx="4766945" cy="2879725"/>
                    </a:xfrm>
                    <a:prstGeom prst="rect">
                      <a:avLst/>
                    </a:prstGeom>
                    <a:noFill/>
                    <a:ln>
                      <a:noFill/>
                    </a:ln>
                  </pic:spPr>
                </pic:pic>
              </a:graphicData>
            </a:graphic>
          </wp:inline>
        </w:drawing>
      </w:r>
    </w:p>
    <w:p w14:paraId="67964D1A">
      <w:pPr>
        <w:pStyle w:val="61"/>
        <w:spacing w:before="312" w:after="312"/>
        <w:ind w:firstLine="480"/>
        <w:jc w:val="left"/>
      </w:pPr>
      <w:r>
        <w:drawing>
          <wp:inline distT="0" distB="0" distL="114300" distR="114300">
            <wp:extent cx="4759325" cy="2879725"/>
            <wp:effectExtent l="0" t="0" r="10795"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1"/>
                    <a:stretch>
                      <a:fillRect/>
                    </a:stretch>
                  </pic:blipFill>
                  <pic:spPr>
                    <a:xfrm>
                      <a:off x="0" y="0"/>
                      <a:ext cx="4759325" cy="2879725"/>
                    </a:xfrm>
                    <a:prstGeom prst="rect">
                      <a:avLst/>
                    </a:prstGeom>
                    <a:noFill/>
                    <a:ln>
                      <a:noFill/>
                    </a:ln>
                  </pic:spPr>
                </pic:pic>
              </a:graphicData>
            </a:graphic>
          </wp:inline>
        </w:drawing>
      </w:r>
    </w:p>
    <w:p w14:paraId="1649FE8D">
      <w:pPr>
        <w:pStyle w:val="62"/>
        <w:numPr>
          <w:ilvl w:val="5"/>
          <w:numId w:val="9"/>
        </w:numPr>
        <w:spacing w:before="312" w:after="624"/>
        <w:rPr>
          <w:rFonts w:hint="eastAsia"/>
        </w:rPr>
      </w:pPr>
      <w:r>
        <w:rPr>
          <w:lang w:val="en-US"/>
        </w:rPr>
        <w:t xml:space="preserve">The </w:t>
      </w:r>
      <w:r>
        <w:rPr>
          <w:rFonts w:hint="eastAsia" w:eastAsia="宋体"/>
          <w:lang w:val="en-US" w:eastAsia="zh-CN"/>
        </w:rPr>
        <w:t>CNN prediction on served set(subject 2 and 306)</w:t>
      </w:r>
      <w:r>
        <w:rPr>
          <w:rFonts w:hint="eastAsia" w:ascii="宋体" w:hAnsi="宋体" w:eastAsia="宋体" w:cs="宋体"/>
          <w:lang w:val="en-US"/>
        </w:rPr>
        <w:t>.</w:t>
      </w:r>
    </w:p>
    <w:p w14:paraId="51BD9B98">
      <w:pPr>
        <w:pStyle w:val="61"/>
        <w:spacing w:before="312" w:after="312"/>
        <w:ind w:firstLine="480"/>
        <w:rPr>
          <w:rFonts w:hint="eastAsia"/>
        </w:rPr>
      </w:pPr>
      <w:r>
        <w:rPr>
          <w:rFonts w:hint="eastAsia" w:eastAsia="宋体"/>
          <w:lang w:val="en-US" w:eastAsia="zh-CN"/>
        </w:rPr>
        <w:t>2</w:t>
      </w:r>
      <w:r>
        <w:rPr>
          <w:rFonts w:hint="eastAsia"/>
        </w:rPr>
        <w:t>. RNN</w:t>
      </w:r>
    </w:p>
    <w:p w14:paraId="5DF130EE">
      <w:pPr>
        <w:pStyle w:val="61"/>
        <w:spacing w:before="312" w:after="312"/>
        <w:ind w:firstLine="480"/>
        <w:rPr>
          <w:rFonts w:hint="eastAsia"/>
        </w:rPr>
      </w:pPr>
      <w:r>
        <w:rPr>
          <w:rFonts w:hint="eastAsia"/>
        </w:rPr>
        <w:t>循环神经网络（Recurrent Neural Network）通过循环连接实现对序列数据的时间依赖建模 [25]。其核心递推公式为：</w:t>
      </w:r>
    </w:p>
    <w:p w14:paraId="5EB1F233">
      <w:pPr>
        <w:pStyle w:val="61"/>
        <w:spacing w:before="312" w:after="312"/>
        <w:ind w:firstLine="480"/>
        <w:jc w:val="center"/>
        <w:rPr>
          <w:rFonts w:hint="eastAsia"/>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tanh</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xh</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m:t>
          </m:r>
        </m:oMath>
      </m:oMathPara>
    </w:p>
    <w:p w14:paraId="7B9C6145">
      <w:pPr>
        <w:pStyle w:val="61"/>
        <w:spacing w:before="312" w:after="312"/>
        <w:ind w:firstLine="480"/>
        <w:rPr>
          <w:rFonts w:hint="eastAsia"/>
        </w:rPr>
      </w:pPr>
      <w:r>
        <w:rPr>
          <w:rFonts w:hint="eastAsia"/>
        </w:rPr>
        <w:t xml:space="preserve">其中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ctrlPr>
              <w:rPr>
                <w:rFonts w:hint="default" w:ascii="Cambria Math" w:hAnsi="Cambria Math"/>
                <w:sz w:val="24"/>
              </w:rPr>
            </m:ctrlPr>
          </m:sup>
        </m:sSup>
      </m:oMath>
      <w:r>
        <w:rPr>
          <w:rFonts w:hint="eastAsia"/>
        </w:rPr>
        <w:t xml:space="preserve"> 为 </w:t>
      </w:r>
      <m:oMath>
        <m:r>
          <m:rPr/>
          <w:rPr>
            <w:rFonts w:hint="default" w:ascii="Cambria Math" w:hAnsi="Cambria Math"/>
            <w:sz w:val="24"/>
          </w:rPr>
          <m:t>t</m:t>
        </m:r>
      </m:oMath>
      <w:r>
        <w:rPr>
          <w:rFonts w:hint="eastAsia"/>
        </w:rPr>
        <w:t xml:space="preserve"> 时刻的隐藏状态，</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xh</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sup>
        </m:sSup>
      </m:oMath>
      <w:r>
        <w:rPr>
          <w:rFonts w:hint="eastAsia"/>
        </w:rPr>
        <w:t xml:space="preserve"> 和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ctrlPr>
              <w:rPr>
                <w:rFonts w:hint="default" w:ascii="Cambria Math" w:hAnsi="Cambria Math"/>
                <w:sz w:val="24"/>
              </w:rPr>
            </m:ctrlPr>
          </m:sup>
        </m:sSup>
      </m:oMath>
      <w:r>
        <w:rPr>
          <w:rFonts w:hint="eastAsia"/>
        </w:rPr>
        <w:t xml:space="preserve">  分别为输入-隐藏和隐藏-隐藏的权重矩阵，</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oMath>
      <w:r>
        <w:rPr>
          <w:rFonts w:hint="eastAsia"/>
        </w:rPr>
        <w:t xml:space="preserve"> 和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oMath>
      <w:r>
        <w:rPr>
          <w:rFonts w:hint="eastAsia"/>
        </w:rPr>
        <w:t xml:space="preserve"> 分别表示隐藏层维度和输入维度。</w:t>
      </w:r>
    </w:p>
    <w:p w14:paraId="6B86B31F">
      <w:pPr>
        <w:pStyle w:val="61"/>
        <w:spacing w:before="312" w:after="312"/>
        <w:ind w:firstLine="480"/>
        <w:rPr>
          <w:rFonts w:hint="eastAsia"/>
        </w:rPr>
      </w:pPr>
    </w:p>
    <w:p w14:paraId="5198B10F">
      <w:pPr>
        <w:pStyle w:val="61"/>
        <w:spacing w:before="312" w:after="312"/>
        <w:ind w:firstLine="480"/>
        <w:rPr>
          <w:rFonts w:hint="eastAsia"/>
        </w:rPr>
      </w:pPr>
      <w:r>
        <w:rPr>
          <w:rFonts w:hint="eastAsia"/>
        </w:rPr>
        <w:t xml:space="preserve">本研究采用单层 RNN 结构，隐藏层维度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=32</m:t>
        </m:r>
      </m:oMath>
      <w:r>
        <w:rPr>
          <w:rFonts w:hint="eastAsia"/>
        </w:rPr>
        <w:t xml:space="preserve">。模型取最后一个时间步的隐藏状态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rPr>
        <w:t xml:space="preserve"> 作为序列的全局表示，与静态特征拼接后通过两层全连接网络（隐藏层维度为 64）输出预测值。然而，基础 RNN 存在梯度消失问题，难以有效捕捉长程依赖关系。</w:t>
      </w:r>
    </w:p>
    <w:p w14:paraId="660EBFEC">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50C79312">
      <w:pPr>
        <w:pStyle w:val="61"/>
        <w:spacing w:before="312" w:after="312"/>
        <w:ind w:firstLine="480"/>
        <w:jc w:val="left"/>
      </w:pPr>
      <w:r>
        <w:drawing>
          <wp:inline distT="0" distB="0" distL="114300" distR="114300">
            <wp:extent cx="4766945" cy="2879725"/>
            <wp:effectExtent l="0" t="0" r="3175" b="63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2"/>
                    <a:stretch>
                      <a:fillRect/>
                    </a:stretch>
                  </pic:blipFill>
                  <pic:spPr>
                    <a:xfrm>
                      <a:off x="0" y="0"/>
                      <a:ext cx="4766945" cy="2879725"/>
                    </a:xfrm>
                    <a:prstGeom prst="rect">
                      <a:avLst/>
                    </a:prstGeom>
                    <a:noFill/>
                    <a:ln>
                      <a:noFill/>
                    </a:ln>
                  </pic:spPr>
                </pic:pic>
              </a:graphicData>
            </a:graphic>
          </wp:inline>
        </w:drawing>
      </w:r>
    </w:p>
    <w:p w14:paraId="3AF0BDA0">
      <w:pPr>
        <w:pStyle w:val="61"/>
        <w:spacing w:before="312" w:after="312"/>
        <w:ind w:firstLine="480"/>
        <w:jc w:val="left"/>
      </w:pPr>
      <w:r>
        <w:drawing>
          <wp:inline distT="0" distB="0" distL="114300" distR="114300">
            <wp:extent cx="4795520" cy="2879725"/>
            <wp:effectExtent l="0" t="0" r="5080"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3"/>
                    <a:stretch>
                      <a:fillRect/>
                    </a:stretch>
                  </pic:blipFill>
                  <pic:spPr>
                    <a:xfrm>
                      <a:off x="0" y="0"/>
                      <a:ext cx="4795520" cy="2879725"/>
                    </a:xfrm>
                    <a:prstGeom prst="rect">
                      <a:avLst/>
                    </a:prstGeom>
                    <a:noFill/>
                    <a:ln>
                      <a:noFill/>
                    </a:ln>
                  </pic:spPr>
                </pic:pic>
              </a:graphicData>
            </a:graphic>
          </wp:inline>
        </w:drawing>
      </w:r>
    </w:p>
    <w:p w14:paraId="0A8D5EA4">
      <w:pPr>
        <w:pStyle w:val="62"/>
        <w:numPr>
          <w:ilvl w:val="5"/>
          <w:numId w:val="9"/>
        </w:numPr>
        <w:spacing w:before="312" w:after="624"/>
        <w:rPr>
          <w:rFonts w:hint="eastAsia"/>
        </w:rPr>
      </w:pPr>
      <w:r>
        <w:rPr>
          <w:lang w:val="en-US"/>
        </w:rPr>
        <w:t xml:space="preserve">The </w:t>
      </w:r>
      <w:r>
        <w:rPr>
          <w:rFonts w:hint="eastAsia" w:eastAsia="宋体"/>
          <w:lang w:val="en-US" w:eastAsia="zh-CN"/>
        </w:rPr>
        <w:t>RNN prediction on served set(subject 2 and 306)</w:t>
      </w:r>
      <w:r>
        <w:rPr>
          <w:rFonts w:hint="eastAsia" w:ascii="宋体" w:hAnsi="宋体" w:eastAsia="宋体" w:cs="宋体"/>
          <w:lang w:val="en-US"/>
        </w:rPr>
        <w:t>.</w:t>
      </w:r>
    </w:p>
    <w:p w14:paraId="706DBAE7">
      <w:pPr>
        <w:pStyle w:val="61"/>
        <w:spacing w:before="312" w:after="312"/>
        <w:ind w:firstLine="480"/>
        <w:jc w:val="left"/>
        <w:rPr>
          <w:rFonts w:hint="eastAsia"/>
        </w:rPr>
      </w:pPr>
    </w:p>
    <w:p w14:paraId="0D28CD80">
      <w:pPr>
        <w:pStyle w:val="61"/>
        <w:spacing w:before="312" w:after="312"/>
        <w:ind w:firstLine="480"/>
        <w:rPr>
          <w:rFonts w:hint="eastAsia"/>
        </w:rPr>
      </w:pPr>
      <w:r>
        <w:rPr>
          <w:rFonts w:hint="eastAsia" w:eastAsia="宋体"/>
          <w:lang w:val="en-US" w:eastAsia="zh-CN"/>
        </w:rPr>
        <w:t>3</w:t>
      </w:r>
      <w:r>
        <w:rPr>
          <w:rFonts w:hint="eastAsia"/>
        </w:rPr>
        <w:t>. LSTM</w:t>
      </w:r>
    </w:p>
    <w:p w14:paraId="231F4D90">
      <w:pPr>
        <w:pStyle w:val="61"/>
        <w:spacing w:before="312" w:after="312"/>
        <w:ind w:firstLine="480"/>
        <w:rPr>
          <w:rFonts w:hint="eastAsia"/>
        </w:rPr>
      </w:pPr>
      <w:r>
        <w:rPr>
          <w:rFonts w:hint="eastAsia"/>
        </w:rPr>
        <w:t>为克服 RNN 的长程依赖问题，Hochreiter 和 Schmidhuber 提出了长短期记忆网络（Long Short-Term Memory, LSTM）[46]。LSTM 通过引入门控机制实现对信息流的精细控制，其核心计算单元包含三个门和一个细胞状态：</w:t>
      </w:r>
    </w:p>
    <w:p w14:paraId="2B2296E7">
      <w:pPr>
        <w:pStyle w:val="61"/>
        <w:spacing w:before="312" w:after="312"/>
        <w:ind w:firstLine="480"/>
        <w:rPr>
          <w:rFonts w:hint="eastAsia"/>
        </w:rPr>
      </w:pPr>
      <w:r>
        <w:rPr>
          <w:rFonts w:hint="eastAsia"/>
        </w:rPr>
        <w:t>遗忘门（Forget Gate）控制历史信息的保留比例：</w:t>
      </w:r>
    </w:p>
    <w:p w14:paraId="58193314">
      <w:pPr>
        <w:pStyle w:val="61"/>
        <w:spacing w:before="312" w:after="312"/>
        <w:ind w:firstLine="480"/>
        <w:jc w:val="center"/>
        <w:rPr>
          <w:rFonts w:hint="eastAsia"/>
        </w:rPr>
      </w:pPr>
      <m:oMathPara>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=σ(</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oMath>
      </m:oMathPara>
    </w:p>
    <w:p w14:paraId="040C216E">
      <w:pPr>
        <w:pStyle w:val="61"/>
        <w:spacing w:before="312" w:after="312"/>
        <w:ind w:firstLine="480"/>
        <w:rPr>
          <w:rFonts w:hint="eastAsia"/>
        </w:rPr>
      </w:pPr>
      <w:r>
        <w:rPr>
          <w:rFonts w:hint="eastAsia"/>
        </w:rPr>
        <w:t>输入门（Input Gate）控制新信息的写入量：</w:t>
      </w:r>
    </w:p>
    <w:p w14:paraId="4185FFEC">
      <w:pPr>
        <w:pStyle w:val="61"/>
        <w:spacing w:before="312" w:after="312"/>
        <w:ind w:firstLine="480"/>
        <w:rPr>
          <w:rFonts w:hint="eastAsia"/>
        </w:rPr>
      </w:pPr>
      <m:oMathPara>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=σ(</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m:oMathPara>
    </w:p>
    <w:p w14:paraId="7C6C3FC0">
      <w:pPr>
        <w:pStyle w:val="61"/>
        <w:spacing w:before="312" w:after="312"/>
        <w:ind w:firstLine="480"/>
        <w:rPr>
          <w:rFonts w:hint="eastAsia"/>
        </w:rPr>
      </w:pPr>
      <m:oMathPara>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tanh</m:t>
              </m:r>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r>
            <m:rPr/>
            <w:rPr>
              <w:rFonts w:hint="default" w:ascii="Cambria Math" w:hAnsi="Cambria Math"/>
              <w:sz w:val="24"/>
            </w:rPr>
            <m:t>)</m:t>
          </m:r>
        </m:oMath>
      </m:oMathPara>
    </w:p>
    <w:p w14:paraId="5892A26B">
      <w:pPr>
        <w:pStyle w:val="61"/>
        <w:spacing w:before="312" w:after="312"/>
        <w:ind w:firstLine="480"/>
        <w:rPr>
          <w:rFonts w:hint="eastAsia"/>
        </w:rPr>
      </w:pPr>
      <w:r>
        <w:rPr>
          <w:rFonts w:hint="eastAsia"/>
        </w:rPr>
        <w:t>细胞状态通过门控加权更新：</w:t>
      </w:r>
    </w:p>
    <w:p w14:paraId="7B789594">
      <w:pPr>
        <w:pStyle w:val="61"/>
        <w:spacing w:before="312" w:after="312"/>
        <w:ind w:firstLine="480"/>
        <w:jc w:val="center"/>
        <w:rPr>
          <w:rFonts w:hint="eastAsia"/>
        </w:rPr>
      </w:pPr>
      <m:oMathPara>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m:oMathPara>
    </w:p>
    <w:p w14:paraId="49264397">
      <w:pPr>
        <w:pStyle w:val="61"/>
        <w:spacing w:before="312" w:after="312"/>
        <w:ind w:firstLine="480"/>
        <w:rPr>
          <w:rFonts w:hint="eastAsia"/>
        </w:rPr>
      </w:pPr>
      <w:r>
        <w:rPr>
          <w:rFonts w:hint="eastAsia"/>
        </w:rPr>
        <w:t>输出门（Output Gate）控制隐藏状态的输出：</w:t>
      </w:r>
    </w:p>
    <w:p w14:paraId="26D5276E">
      <w:pPr>
        <w:pStyle w:val="61"/>
        <w:spacing w:before="312" w:after="312"/>
        <w:ind w:firstLine="480"/>
        <w:jc w:val="center"/>
        <w:rPr>
          <w:rFonts w:hint="eastAsia"/>
        </w:rPr>
      </w:pPr>
      <m:oMathPara>
        <m:oMath>
          <m:sSub>
            <m:sSubPr>
              <m:ctrlPr>
                <w:rPr>
                  <w:rFonts w:hint="default" w:ascii="Cambria Math" w:hAnsi="Cambria Math"/>
                  <w:sz w:val="24"/>
                </w:rPr>
              </m:ctrlPr>
            </m:sSubPr>
            <m:e>
              <m:r>
                <m:rPr/>
                <w:rPr>
                  <w:rFonts w:hint="default" w:ascii="Cambria Math" w:hAnsi="Cambria Math"/>
                  <w:sz w:val="24"/>
                </w:rPr>
                <m:t>o</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=σ(</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r>
            <m:rPr/>
            <w:rPr>
              <w:rFonts w:hint="default" w:ascii="Cambria Math" w:hAnsi="Cambria Math"/>
              <w:sz w:val="24"/>
            </w:rPr>
            <m:t>)</m:t>
          </m:r>
        </m:oMath>
      </m:oMathPara>
    </w:p>
    <w:p w14:paraId="30764D1F">
      <w:pPr>
        <w:pStyle w:val="61"/>
        <w:spacing w:before="312" w:after="312"/>
        <w:ind w:firstLine="480"/>
        <w:jc w:val="center"/>
        <w:rPr>
          <w:rFonts w:hint="eastAsia" w:eastAsia="宋体"/>
          <w:lang w:val="en-US" w:eastAsia="zh-CN"/>
        </w:rPr>
      </w:pPr>
      <m:oMathPara>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o</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tanh</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m:oMathPara>
    </w:p>
    <w:p w14:paraId="6DD8880C">
      <w:pPr>
        <w:pStyle w:val="61"/>
        <w:spacing w:before="312" w:after="312"/>
        <w:ind w:firstLine="480"/>
        <w:rPr>
          <w:rFonts w:hint="eastAsia"/>
        </w:rPr>
      </w:pPr>
      <w:r>
        <w:rPr>
          <w:rFonts w:hint="eastAsia"/>
        </w:rPr>
        <w:t xml:space="preserve">其中 </w:t>
      </w:r>
      <m:oMath>
        <m:r>
          <m:rPr/>
          <w:rPr>
            <w:rFonts w:hint="default" w:ascii="Cambria Math" w:hAnsi="Cambria Math"/>
            <w:sz w:val="24"/>
          </w:rPr>
          <m:t>σ(⋅)</m:t>
        </m:r>
      </m:oMath>
      <w:r>
        <w:rPr>
          <w:rFonts w:hint="eastAsia"/>
        </w:rPr>
        <w:t xml:space="preserve"> 表示 Sigmoid 激活函数，</w:t>
      </w:r>
      <m:oMath>
        <m:r>
          <m:rPr/>
          <w:rPr>
            <w:rFonts w:hint="default" w:ascii="Cambria Math" w:hAnsi="Cambria Math"/>
            <w:sz w:val="24"/>
          </w:rPr>
          <m:t>⊙</m:t>
        </m:r>
      </m:oMath>
      <w:r>
        <w:rPr>
          <w:rFonts w:hint="eastAsia"/>
        </w:rPr>
        <w:t xml:space="preserve"> 表示逐元素乘法（Hadamard 积）。</w:t>
      </w:r>
    </w:p>
    <w:p w14:paraId="11051126">
      <w:pPr>
        <w:pStyle w:val="61"/>
        <w:spacing w:before="312" w:after="312"/>
        <w:ind w:firstLine="480"/>
        <w:rPr>
          <w:rFonts w:hint="eastAsia"/>
        </w:rPr>
      </w:pPr>
      <w:r>
        <w:rPr>
          <w:rFonts w:hint="eastAsia"/>
        </w:rPr>
        <w:t>本研究采用单层 LSTM 结构，隐藏层维度设为 32。模型架构为：LSTM 层提取时序特征 → 取最后时间步的隐藏状态 → 与静态特征拼接 → 两层全连接网络输出预测。LSTM 能够有效记忆长期的血糖演变趋势，是目前血糖预测领域的主流方法之一 [46][48]。</w:t>
      </w:r>
    </w:p>
    <w:p w14:paraId="23552B3E">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6C91EBDA">
      <w:pPr>
        <w:pStyle w:val="61"/>
        <w:spacing w:before="312" w:after="312"/>
        <w:ind w:firstLine="480"/>
        <w:jc w:val="left"/>
      </w:pPr>
      <w:r>
        <w:drawing>
          <wp:inline distT="0" distB="0" distL="114300" distR="114300">
            <wp:extent cx="4766945" cy="2879725"/>
            <wp:effectExtent l="0" t="0" r="3175" b="63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4"/>
                    <a:stretch>
                      <a:fillRect/>
                    </a:stretch>
                  </pic:blipFill>
                  <pic:spPr>
                    <a:xfrm>
                      <a:off x="0" y="0"/>
                      <a:ext cx="4766945" cy="2879725"/>
                    </a:xfrm>
                    <a:prstGeom prst="rect">
                      <a:avLst/>
                    </a:prstGeom>
                    <a:noFill/>
                    <a:ln>
                      <a:noFill/>
                    </a:ln>
                  </pic:spPr>
                </pic:pic>
              </a:graphicData>
            </a:graphic>
          </wp:inline>
        </w:drawing>
      </w:r>
    </w:p>
    <w:p w14:paraId="391A8BAA">
      <w:pPr>
        <w:pStyle w:val="61"/>
        <w:spacing w:before="312" w:after="312"/>
        <w:ind w:firstLine="480"/>
        <w:jc w:val="left"/>
      </w:pPr>
      <w:r>
        <w:drawing>
          <wp:inline distT="0" distB="0" distL="114300" distR="114300">
            <wp:extent cx="4759325" cy="2879725"/>
            <wp:effectExtent l="0" t="0" r="10795" b="63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35"/>
                    <a:stretch>
                      <a:fillRect/>
                    </a:stretch>
                  </pic:blipFill>
                  <pic:spPr>
                    <a:xfrm>
                      <a:off x="0" y="0"/>
                      <a:ext cx="4759325" cy="2879725"/>
                    </a:xfrm>
                    <a:prstGeom prst="rect">
                      <a:avLst/>
                    </a:prstGeom>
                    <a:noFill/>
                    <a:ln>
                      <a:noFill/>
                    </a:ln>
                  </pic:spPr>
                </pic:pic>
              </a:graphicData>
            </a:graphic>
          </wp:inline>
        </w:drawing>
      </w:r>
    </w:p>
    <w:p w14:paraId="1709C0C4">
      <w:pPr>
        <w:pStyle w:val="62"/>
        <w:numPr>
          <w:ilvl w:val="5"/>
          <w:numId w:val="9"/>
        </w:numPr>
        <w:spacing w:before="312" w:after="624"/>
        <w:rPr>
          <w:rFonts w:hint="eastAsia"/>
        </w:rPr>
      </w:pPr>
      <w:r>
        <w:rPr>
          <w:lang w:val="en-US"/>
        </w:rPr>
        <w:t xml:space="preserve">The </w:t>
      </w:r>
      <w:r>
        <w:rPr>
          <w:rFonts w:hint="eastAsia" w:eastAsia="宋体"/>
          <w:lang w:val="en-US" w:eastAsia="zh-CN"/>
        </w:rPr>
        <w:t>LSTM prediction on served set(subject 2 and 306)</w:t>
      </w:r>
      <w:r>
        <w:rPr>
          <w:rFonts w:hint="eastAsia" w:ascii="宋体" w:hAnsi="宋体" w:eastAsia="宋体" w:cs="宋体"/>
          <w:lang w:val="en-US"/>
        </w:rPr>
        <w:t>.</w:t>
      </w:r>
    </w:p>
    <w:p w14:paraId="0FDEED5C">
      <w:pPr>
        <w:pStyle w:val="61"/>
        <w:spacing w:before="312" w:after="312"/>
        <w:ind w:firstLine="480"/>
        <w:rPr>
          <w:rFonts w:hint="default" w:eastAsia="宋体"/>
          <w:lang w:val="en-US" w:eastAsia="zh-CN"/>
        </w:rPr>
      </w:pPr>
      <w:r>
        <w:rPr>
          <w:rFonts w:hint="eastAsia" w:eastAsia="宋体"/>
          <w:lang w:val="en-US" w:eastAsia="zh-CN"/>
        </w:rPr>
        <w:t>4.Transfoemer</w:t>
      </w:r>
    </w:p>
    <w:p w14:paraId="2AA51773">
      <w:pPr>
        <w:pStyle w:val="61"/>
        <w:spacing w:before="312" w:after="312"/>
        <w:ind w:firstLine="480"/>
        <w:rPr>
          <w:rFonts w:hint="eastAsia"/>
        </w:rPr>
      </w:pPr>
      <w:r>
        <w:rPr>
          <w:rFonts w:hint="eastAsia"/>
        </w:rPr>
        <w:t xml:space="preserve">考虑到 RNN 类模型的串行计算限制和长距离信息衰减问题，本研究引入了基于自注意力机制（Self-Attention）的 Transformer 模型 [49]。Transformer 摒弃了循环结构，完全依赖注意力机制建模序列中任意两个位置之间的依赖关系，实现了 </w:t>
      </w:r>
      <m:oMath>
        <m:r>
          <m:rPr/>
          <w:rPr>
            <w:rFonts w:hint="default" w:ascii="Cambria Math" w:hAnsi="Cambria Math"/>
            <w:sz w:val="24"/>
          </w:rPr>
          <m:t>O(1)</m:t>
        </m:r>
      </m:oMath>
      <w:r>
        <w:rPr>
          <w:rFonts w:hint="eastAsia"/>
        </w:rPr>
        <w:t xml:space="preserve"> 的长程依赖建模能力。</w:t>
      </w:r>
    </w:p>
    <w:p w14:paraId="65066B13">
      <w:pPr>
        <w:pStyle w:val="61"/>
        <w:spacing w:before="312" w:after="312"/>
        <w:rPr>
          <w:rFonts w:hint="eastAsia"/>
        </w:rPr>
      </w:pPr>
      <w:r>
        <w:rPr>
          <w:rFonts w:hint="eastAsia"/>
        </w:rPr>
        <w:t>由于 Transformer 本身不具备序列顺序感知能力，需通过位置编码(Positional Encoding)显式注入时间位置信息。本研究采用正弦-余弦位置编码方案：</w:t>
      </w:r>
    </w:p>
    <w:p w14:paraId="63460A53">
      <w:pPr>
        <w:pStyle w:val="61"/>
        <w:spacing w:before="312" w:after="312"/>
        <w:ind w:firstLine="480"/>
        <w:rPr>
          <w:rFonts w:hint="eastAsia"/>
        </w:rPr>
      </w:pPr>
      <m:oMathPara>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(pos,2i)</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pos</m:t>
                      </m:r>
                      <m:ctrlPr>
                        <w:rPr>
                          <w:rFonts w:ascii="Cambria Math" w:hAnsi="Cambria Math"/>
                          <w:sz w:val="24"/>
                        </w:rPr>
                      </m:ctrlPr>
                    </m:num>
                    <m:den>
                      <m:r>
                        <m:rPr/>
                        <w:rPr>
                          <w:rFonts w:hint="default" w:ascii="Cambria Math" w:hAnsi="Cambria Math"/>
                          <w:sz w:val="24"/>
                        </w:rPr>
                        <m:t>1000</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model</m:t>
                              </m:r>
                              <m:ctrlPr>
                                <w:rPr>
                                  <w:rFonts w:ascii="Cambria Math" w:hAnsi="Cambria Math"/>
                                  <w:sz w:val="24"/>
                                </w:rPr>
                              </m:ctrlPr>
                            </m:sub>
                          </m:sSub>
                          <m:ctrlPr>
                            <w:rPr>
                              <w:rFonts w:hint="default" w:ascii="Cambria Math" w:hAnsi="Cambria Math"/>
                              <w:sz w:val="24"/>
                            </w:rPr>
                          </m:ctrlPr>
                        </m:sup>
                      </m:sSup>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func>
        </m:oMath>
      </m:oMathPara>
    </w:p>
    <w:p w14:paraId="3A18FF10">
      <w:pPr>
        <w:pStyle w:val="61"/>
        <w:spacing w:before="312" w:after="312"/>
        <w:ind w:firstLine="480"/>
        <w:jc w:val="center"/>
        <w:rPr>
          <w:rFonts w:hint="eastAsia"/>
        </w:rPr>
      </w:pPr>
      <m:oMathPara>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(pos,2i+1)</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cos</m:t>
              </m:r>
              <m:ctrlPr>
                <w:rPr>
                  <w:rFonts w:ascii="Cambria Math" w:hAnsi="Cambria Math"/>
                  <w:sz w:val="24"/>
                </w:rPr>
              </m:ctrlPr>
            </m:fName>
            <m:e>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pos</m:t>
                      </m:r>
                      <m:ctrlPr>
                        <w:rPr>
                          <w:rFonts w:ascii="Cambria Math" w:hAnsi="Cambria Math"/>
                          <w:sz w:val="24"/>
                        </w:rPr>
                      </m:ctrlPr>
                    </m:num>
                    <m:den>
                      <m:r>
                        <m:rPr/>
                        <w:rPr>
                          <w:rFonts w:hint="default" w:ascii="Cambria Math" w:hAnsi="Cambria Math"/>
                          <w:sz w:val="24"/>
                        </w:rPr>
                        <m:t>1000</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model</m:t>
                              </m:r>
                              <m:ctrlPr>
                                <w:rPr>
                                  <w:rFonts w:ascii="Cambria Math" w:hAnsi="Cambria Math"/>
                                  <w:sz w:val="24"/>
                                </w:rPr>
                              </m:ctrlPr>
                            </m:sub>
                          </m:sSub>
                          <m:ctrlPr>
                            <w:rPr>
                              <w:rFonts w:hint="default" w:ascii="Cambria Math" w:hAnsi="Cambria Math"/>
                              <w:sz w:val="24"/>
                            </w:rPr>
                          </m:ctrlPr>
                        </m:sup>
                      </m:sSup>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func>
        </m:oMath>
      </m:oMathPara>
    </w:p>
    <w:p w14:paraId="140A9512">
      <w:pPr>
        <w:pStyle w:val="61"/>
        <w:spacing w:before="312" w:after="312"/>
        <w:ind w:firstLine="480"/>
        <w:rPr>
          <w:rFonts w:hint="eastAsia"/>
        </w:rPr>
      </w:pPr>
      <w:r>
        <w:rPr>
          <w:rFonts w:hint="eastAsia"/>
        </w:rPr>
        <w:t xml:space="preserve">其中 </w:t>
      </w:r>
      <m:oMath>
        <m:r>
          <m:rPr/>
          <w:rPr>
            <w:rFonts w:hint="default" w:ascii="Cambria Math" w:hAnsi="Cambria Math"/>
            <w:sz w:val="24"/>
          </w:rPr>
          <m:t>pos</m:t>
        </m:r>
      </m:oMath>
      <w:r>
        <w:rPr>
          <w:rFonts w:hint="eastAsia"/>
        </w:rPr>
        <w:t xml:space="preserve"> 为序列中的位置索引，</w:t>
      </w:r>
      <m:oMath>
        <m:r>
          <m:rPr/>
          <w:rPr>
            <w:rFonts w:hint="default" w:ascii="Cambria Math" w:hAnsi="Cambria Math"/>
            <w:sz w:val="24"/>
          </w:rPr>
          <m:t>i</m:t>
        </m:r>
      </m:oMath>
      <w:r>
        <w:rPr>
          <w:rFonts w:hint="eastAsia"/>
        </w:rPr>
        <w:t xml:space="preserve"> 为维度索引，</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model</m:t>
            </m:r>
            <m:ctrlPr>
              <w:rPr>
                <w:rFonts w:ascii="Cambria Math" w:hAnsi="Cambria Math"/>
                <w:sz w:val="24"/>
              </w:rPr>
            </m:ctrlPr>
          </m:sub>
        </m:sSub>
      </m:oMath>
      <w:r>
        <w:rPr>
          <w:rFonts w:hint="eastAsia"/>
        </w:rPr>
        <w:t xml:space="preserve"> 为模型的嵌入维度。</w:t>
      </w:r>
    </w:p>
    <w:p w14:paraId="6483A498">
      <w:pPr>
        <w:pStyle w:val="61"/>
        <w:spacing w:before="312" w:after="312"/>
        <w:ind w:firstLine="480"/>
        <w:rPr>
          <w:rFonts w:hint="eastAsia"/>
        </w:rPr>
      </w:pPr>
      <w:r>
        <w:rPr>
          <w:rFonts w:hint="eastAsia" w:eastAsia="宋体"/>
          <w:lang w:val="en-US" w:eastAsia="zh-CN"/>
        </w:rPr>
        <w:t>Transformer</w:t>
      </w:r>
      <w:r>
        <w:rPr>
          <w:rFonts w:hint="eastAsia"/>
        </w:rPr>
        <w:t>自注意力机制的核心计算如下：</w:t>
      </w:r>
    </w:p>
    <w:p w14:paraId="6A2B3FC3">
      <w:pPr>
        <w:pStyle w:val="61"/>
        <w:spacing w:before="312" w:after="312"/>
        <w:ind w:firstLine="480"/>
        <w:jc w:val="center"/>
        <w:rPr>
          <w:rFonts w:hint="eastAsia"/>
        </w:rPr>
      </w:pPr>
      <m:oMathPara>
        <m:oMath>
          <m:r>
            <m:rPr/>
            <w:rPr>
              <w:rFonts w:hint="default" w:ascii="Cambria Math" w:hAnsi="Cambria Math"/>
              <w:sz w:val="24"/>
            </w:rPr>
            <m:t>Attention(Q,K,V)=softmax</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ctrlPr>
                <w:rPr>
                  <w:rFonts w:hint="default" w:ascii="Cambria Math" w:hAnsi="Cambria Math"/>
                  <w:i/>
                  <w:sz w:val="24"/>
                </w:rPr>
              </m:ctrlPr>
            </m:e>
          </m:d>
          <m:r>
            <m:rPr/>
            <w:rPr>
              <w:rFonts w:hint="default" w:ascii="Cambria Math" w:hAnsi="Cambria Math"/>
              <w:sz w:val="24"/>
            </w:rPr>
            <m:t>V</m:t>
          </m:r>
        </m:oMath>
      </m:oMathPara>
    </w:p>
    <w:p w14:paraId="7D02F0F1">
      <w:pPr>
        <w:pStyle w:val="61"/>
        <w:spacing w:before="312" w:after="312"/>
        <w:ind w:firstLine="480"/>
        <w:rPr>
          <w:rFonts w:hint="eastAsia"/>
        </w:rPr>
      </w:pPr>
      <w:r>
        <w:rPr>
          <w:rFonts w:hint="eastAsia"/>
        </w:rPr>
        <w:t xml:space="preserve">其中 </w:t>
      </w:r>
      <m:oMath>
        <m:r>
          <m:rPr/>
          <w:rPr>
            <w:rFonts w:hint="default" w:ascii="Cambria Math" w:hAnsi="Cambria Math"/>
            <w:sz w:val="24"/>
          </w:rPr>
          <m:t>Q∈</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p>
        </m:sSup>
      </m:oMath>
      <w:r>
        <w:rPr>
          <w:rFonts w:hint="eastAsia"/>
        </w:rPr>
        <w:t>、</w:t>
      </w:r>
      <m:oMath>
        <m:r>
          <m:rPr/>
          <w:rPr>
            <w:rFonts w:hint="default" w:ascii="Cambria Math" w:hAnsi="Cambria Math"/>
            <w:sz w:val="24"/>
          </w:rPr>
          <m:t>K∈</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p>
        </m:sSup>
      </m:oMath>
      <w:r>
        <w:rPr>
          <w:rFonts w:hint="eastAsia"/>
        </w:rPr>
        <w:t>、</w:t>
      </w:r>
      <m:oMath>
        <m:r>
          <m:rPr/>
          <w:rPr>
            <w:rFonts w:hint="default" w:ascii="Cambria Math" w:hAnsi="Cambria Math"/>
            <w:sz w:val="24"/>
          </w:rPr>
          <m:t>V∈</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ctrlPr>
              <w:rPr>
                <w:rFonts w:hint="default" w:ascii="Cambria Math" w:hAnsi="Cambria Math"/>
                <w:sz w:val="24"/>
              </w:rPr>
            </m:ctrlPr>
          </m:sup>
        </m:sSup>
      </m:oMath>
      <w:r>
        <w:rPr>
          <w:rFonts w:hint="eastAsia"/>
        </w:rPr>
        <w:t xml:space="preserve"> 分别为查询（Query）、键（Key）、值（Value）矩阵，</w:t>
      </w:r>
      <m:oMath>
        <m:r>
          <m:rPr/>
          <w:rPr>
            <w:rFonts w:hint="default" w:ascii="Cambria Math" w:hAnsi="Cambria Math"/>
            <w:sz w:val="24"/>
          </w:rPr>
          <m:t>n</m:t>
        </m:r>
      </m:oMath>
      <w:r>
        <w:rPr>
          <w:rFonts w:hint="eastAsia"/>
        </w:rPr>
        <w:t xml:space="preserve"> 为序列长度，</w:t>
      </w:r>
      <m:oMath>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oMath>
      <w:r>
        <w:rPr>
          <w:rFonts w:hint="eastAsia"/>
        </w:rPr>
        <w:t xml:space="preserve"> 为缩放因子，用于防止点积值过大导致的 softmax 梯度消失。</w:t>
      </w:r>
    </w:p>
    <w:p w14:paraId="5DF5C4FF">
      <w:pPr>
        <w:pStyle w:val="61"/>
        <w:spacing w:before="312" w:after="312"/>
        <w:ind w:firstLine="480"/>
        <w:rPr>
          <w:rFonts w:hint="eastAsia"/>
        </w:rPr>
      </w:pPr>
      <w:r>
        <w:rPr>
          <w:rFonts w:hint="eastAsia"/>
        </w:rPr>
        <w:t>为使模型能够关注不同子空间的特征表示，Transformer 采用多头注意力机制：</w:t>
      </w:r>
    </w:p>
    <w:p w14:paraId="211C2E9A">
      <w:pPr>
        <w:pStyle w:val="61"/>
        <w:spacing w:before="312" w:after="312"/>
        <w:ind w:firstLine="480"/>
        <w:jc w:val="center"/>
        <w:rPr>
          <w:rFonts w:hint="eastAsia"/>
        </w:rPr>
      </w:pPr>
      <m:oMathPara>
        <m:oMath>
          <m:r>
            <m:rPr/>
            <w:rPr>
              <w:rFonts w:hint="default" w:ascii="Cambria Math" w:hAnsi="Cambria Math"/>
              <w:sz w:val="24"/>
            </w:rPr>
            <m:t>MultiHead(Q,K,V)=Concat(</m:t>
          </m:r>
          <m:sSub>
            <m:sSubPr>
              <m:ctrlPr>
                <w:rPr>
                  <w:rFonts w:hint="default" w:ascii="Cambria Math" w:hAnsi="Cambria Math"/>
                  <w:sz w:val="24"/>
                </w:rPr>
              </m:ctrlPr>
            </m:sSubPr>
            <m:e>
              <m:r>
                <m:rPr/>
                <w:rPr>
                  <w:rFonts w:hint="default" w:ascii="Cambria Math" w:hAnsi="Cambria Math"/>
                  <w:sz w:val="24"/>
                </w:rPr>
                <m:t>head</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head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W</m:t>
              </m:r>
              <m:ctrlPr>
                <w:rPr>
                  <w:rFonts w:ascii="Cambria Math" w:hAnsi="Cambria Math"/>
                  <w:sz w:val="24"/>
                </w:rPr>
              </m:ctrlPr>
            </m:e>
            <m:sup>
              <m:r>
                <m:rPr/>
                <w:rPr>
                  <w:rFonts w:hint="default" w:ascii="Cambria Math" w:hAnsi="Cambria Math"/>
                  <w:sz w:val="24"/>
                </w:rPr>
                <m:t>O</m:t>
              </m:r>
              <m:ctrlPr>
                <w:rPr>
                  <w:rFonts w:ascii="Cambria Math" w:hAnsi="Cambria Math"/>
                  <w:sz w:val="24"/>
                </w:rPr>
              </m:ctrlPr>
            </m:sup>
          </m:sSup>
        </m:oMath>
      </m:oMathPara>
    </w:p>
    <w:p w14:paraId="3BB23AA1">
      <w:pPr>
        <w:pStyle w:val="61"/>
        <w:spacing w:before="312" w:after="312"/>
        <w:ind w:firstLine="480"/>
        <w:rPr>
          <w:rFonts w:hint="eastAsia"/>
        </w:rPr>
      </w:pPr>
      <w:r>
        <w:rPr>
          <w:rFonts w:hint="eastAsia"/>
        </w:rPr>
        <w:t xml:space="preserve">其中每个注意力头独立计算 </w:t>
      </w:r>
      <m:oMath>
        <m:sSub>
          <m:sSubPr>
            <m:ctrlPr>
              <w:rPr>
                <w:rFonts w:hint="default" w:ascii="Cambria Math" w:hAnsi="Cambria Math"/>
                <w:sz w:val="24"/>
              </w:rPr>
            </m:ctrlPr>
          </m:sSubPr>
          <m:e>
            <m:r>
              <m:rPr/>
              <w:rPr>
                <w:rFonts w:hint="default" w:ascii="Cambria Math" w:hAnsi="Cambria Math"/>
                <w:sz w:val="24"/>
              </w:rPr>
              <m:t>head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=Attention(Q</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Q</m:t>
            </m:r>
            <m:ctrlPr>
              <w:rPr>
                <w:rFonts w:ascii="Cambria Math" w:hAnsi="Cambria Math"/>
                <w:sz w:val="24"/>
              </w:rPr>
            </m:ctrlPr>
          </m:sup>
        </m:sSubSup>
        <m:r>
          <m:rPr/>
          <w:rPr>
            <w:rFonts w:hint="default" w:ascii="Cambria Math" w:hAnsi="Cambria Math"/>
            <w:sz w:val="24"/>
          </w:rPr>
          <m:t>,K</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r>
          <m:rPr/>
          <w:rPr>
            <w:rFonts w:hint="default" w:ascii="Cambria Math" w:hAnsi="Cambria Math"/>
            <w:sz w:val="24"/>
          </w:rPr>
          <m:t>,V</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V</m:t>
            </m:r>
            <m:ctrlPr>
              <w:rPr>
                <w:rFonts w:ascii="Cambria Math" w:hAnsi="Cambria Math"/>
                <w:sz w:val="24"/>
              </w:rPr>
            </m:ctrlPr>
          </m:sup>
        </m:sSubSup>
        <m:r>
          <m:rPr/>
          <w:rPr>
            <w:rFonts w:hint="default" w:ascii="Cambria Math" w:hAnsi="Cambria Math"/>
            <w:sz w:val="24"/>
          </w:rPr>
          <m:t>)</m:t>
        </m:r>
        <m:r>
          <m:rPr>
            <m:sty m:val="p"/>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Q</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V</m:t>
            </m:r>
            <m:ctrlPr>
              <w:rPr>
                <w:rFonts w:ascii="Cambria Math" w:hAnsi="Cambria Math"/>
                <w:sz w:val="24"/>
              </w:rPr>
            </m:ctrlPr>
          </m:sup>
        </m:sSubSup>
      </m:oMath>
      <w:r>
        <w:rPr>
          <w:rFonts w:hint="eastAsia"/>
        </w:rPr>
        <w:t xml:space="preserve"> 为可学习的投影矩阵，</w:t>
      </w:r>
      <m:oMath>
        <m:r>
          <m:rPr/>
          <w:rPr>
            <w:rFonts w:hint="default" w:ascii="Cambria Math" w:hAnsi="Cambria Math"/>
            <w:sz w:val="24"/>
          </w:rPr>
          <m:t>h</m:t>
        </m:r>
      </m:oMath>
      <w:r>
        <w:rPr>
          <w:rFonts w:hint="eastAsia" w:hAnsi="Cambria Math" w:eastAsia="宋体"/>
          <w:i w:val="0"/>
          <w:sz w:val="24"/>
          <w:lang w:val="en-US" w:eastAsia="zh-CN"/>
        </w:rPr>
        <w:t xml:space="preserve"> </w:t>
      </w:r>
      <w:r>
        <w:rPr>
          <w:rFonts w:hint="eastAsia"/>
        </w:rPr>
        <w:t>为注意力头数。</w:t>
      </w:r>
    </w:p>
    <w:p w14:paraId="315572AF">
      <w:pPr>
        <w:pStyle w:val="61"/>
        <w:spacing w:before="312" w:after="312"/>
        <w:ind w:firstLine="480"/>
        <w:rPr>
          <w:rFonts w:hint="eastAsia"/>
        </w:rPr>
      </w:pPr>
      <w:r>
        <w:rPr>
          <w:rFonts w:hint="eastAsia"/>
        </w:rPr>
        <w:t xml:space="preserve">本研究采用仅含编码器（Encoder-only）的简化架构。模型配置如下：嵌入维度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model</m:t>
            </m:r>
            <m:ctrlPr>
              <w:rPr>
                <w:rFonts w:ascii="Cambria Math" w:hAnsi="Cambria Math"/>
                <w:sz w:val="24"/>
              </w:rPr>
            </m:ctrlPr>
          </m:sub>
        </m:sSub>
        <m:r>
          <m:rPr/>
          <w:rPr>
            <w:rFonts w:hint="default" w:ascii="Cambria Math" w:hAnsi="Cambria Math"/>
            <w:sz w:val="24"/>
          </w:rPr>
          <m:t>=64</m:t>
        </m:r>
      </m:oMath>
      <w:r>
        <w:rPr>
          <w:rFonts w:hint="eastAsia" w:hAnsi="Cambria Math" w:eastAsia="宋体"/>
          <w:i w:val="0"/>
          <w:sz w:val="24"/>
          <w:lang w:val="en-US" w:eastAsia="zh-CN"/>
        </w:rPr>
        <w:t xml:space="preserve"> </w:t>
      </w:r>
      <w:r>
        <w:rPr>
          <w:rFonts w:hint="eastAsia"/>
        </w:rPr>
        <w:t xml:space="preserve">，注意力头数 </w:t>
      </w:r>
      <m:oMath>
        <m:r>
          <m:rPr/>
          <w:rPr>
            <w:rFonts w:hint="default" w:ascii="Cambria Math" w:hAnsi="Cambria Math"/>
            <w:sz w:val="24"/>
          </w:rPr>
          <m:t>h=4</m:t>
        </m:r>
      </m:oMath>
      <w:r>
        <w:rPr>
          <w:rFonts w:hint="eastAsia"/>
        </w:rPr>
        <w:t xml:space="preserve">，编码器层数为 2，前馈网络隐藏维度为 128，Dropout 比率为 0.1。完整的模型架构为：线性嵌入层将输入映射至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model</m:t>
            </m:r>
            <m:ctrlPr>
              <w:rPr>
                <w:rFonts w:ascii="Cambria Math" w:hAnsi="Cambria Math"/>
                <w:sz w:val="24"/>
              </w:rPr>
            </m:ctrlPr>
          </m:sub>
        </m:sSub>
      </m:oMath>
      <w:r>
        <w:rPr>
          <w:rFonts w:hint="eastAsia"/>
        </w:rPr>
        <w:t xml:space="preserve"> 维空间 → 叠加位置编码 → 两层 Transformer 编码器 → 取最后时间步的隐藏表示 → 与静态特征拼接 → 两层全连接网络输出预测。</w:t>
      </w:r>
    </w:p>
    <w:p w14:paraId="037367DB">
      <w:pPr>
        <w:pStyle w:val="61"/>
        <w:spacing w:before="312" w:after="312"/>
        <w:ind w:firstLine="480"/>
        <w:rPr>
          <w:rFonts w:hint="eastAsia"/>
        </w:rPr>
      </w:pPr>
      <w:r>
        <w:rPr>
          <w:rFonts w:hint="eastAsia"/>
        </w:rPr>
        <w:t>Transformer 的优势在于：（1）自注意力机制实现全局依赖建模，不受序列长度限制；（2）完全并行化计算，训练效率显著优于 RNN 类模型；（3）注意力权重具有可解释性，可用于分析模型关注的历史时间点。近年来，Transformer 及其变体在血糖预测领域展现出强大的建模潜力 [23]。</w:t>
      </w:r>
    </w:p>
    <w:p w14:paraId="2C02A194">
      <w:pPr>
        <w:pStyle w:val="61"/>
        <w:spacing w:before="312" w:after="312"/>
        <w:ind w:firstLine="480"/>
        <w:rPr>
          <w:rFonts w:hint="eastAsia" w:eastAsia="宋体"/>
          <w:lang w:val="en-US" w:eastAsia="zh-CN"/>
        </w:rPr>
      </w:pPr>
      <w:r>
        <w:rPr>
          <w:rFonts w:hint="eastAsia" w:eastAsia="宋体"/>
          <w:lang w:val="en-US" w:eastAsia="zh-CN"/>
        </w:rPr>
        <w:t>在保留集受试者2和受试者306上的预测结果：</w:t>
      </w:r>
    </w:p>
    <w:p w14:paraId="71A1B709">
      <w:pPr>
        <w:pStyle w:val="61"/>
        <w:spacing w:before="312" w:after="312"/>
        <w:ind w:firstLine="480"/>
        <w:jc w:val="left"/>
      </w:pPr>
      <w:r>
        <w:drawing>
          <wp:inline distT="0" distB="0" distL="114300" distR="114300">
            <wp:extent cx="4766945" cy="2879725"/>
            <wp:effectExtent l="0" t="0" r="317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6"/>
                    <a:stretch>
                      <a:fillRect/>
                    </a:stretch>
                  </pic:blipFill>
                  <pic:spPr>
                    <a:xfrm>
                      <a:off x="0" y="0"/>
                      <a:ext cx="4766945" cy="2879725"/>
                    </a:xfrm>
                    <a:prstGeom prst="rect">
                      <a:avLst/>
                    </a:prstGeom>
                    <a:noFill/>
                    <a:ln>
                      <a:noFill/>
                    </a:ln>
                  </pic:spPr>
                </pic:pic>
              </a:graphicData>
            </a:graphic>
          </wp:inline>
        </w:drawing>
      </w:r>
    </w:p>
    <w:p w14:paraId="64BFA042">
      <w:pPr>
        <w:pStyle w:val="61"/>
        <w:spacing w:before="312" w:after="312"/>
        <w:ind w:firstLine="480"/>
        <w:jc w:val="left"/>
      </w:pPr>
      <w:r>
        <w:drawing>
          <wp:inline distT="0" distB="0" distL="114300" distR="114300">
            <wp:extent cx="4759325" cy="2879725"/>
            <wp:effectExtent l="0" t="0" r="10795" b="63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37"/>
                    <a:stretch>
                      <a:fillRect/>
                    </a:stretch>
                  </pic:blipFill>
                  <pic:spPr>
                    <a:xfrm>
                      <a:off x="0" y="0"/>
                      <a:ext cx="4759325" cy="2879725"/>
                    </a:xfrm>
                    <a:prstGeom prst="rect">
                      <a:avLst/>
                    </a:prstGeom>
                    <a:noFill/>
                    <a:ln>
                      <a:noFill/>
                    </a:ln>
                  </pic:spPr>
                </pic:pic>
              </a:graphicData>
            </a:graphic>
          </wp:inline>
        </w:drawing>
      </w:r>
    </w:p>
    <w:p w14:paraId="6C525C13">
      <w:pPr>
        <w:pStyle w:val="62"/>
        <w:numPr>
          <w:ilvl w:val="5"/>
          <w:numId w:val="9"/>
        </w:numPr>
        <w:spacing w:before="312" w:after="624"/>
        <w:rPr>
          <w:rFonts w:hint="eastAsia"/>
          <w:lang w:val="en-GB" w:eastAsia="zh-CN"/>
        </w:rPr>
      </w:pPr>
      <w:r>
        <w:rPr>
          <w:lang w:val="en-US"/>
        </w:rPr>
        <w:t xml:space="preserve">The </w:t>
      </w:r>
      <w:r>
        <w:rPr>
          <w:rFonts w:hint="eastAsia" w:eastAsia="宋体"/>
          <w:lang w:val="en-US" w:eastAsia="zh-CN"/>
        </w:rPr>
        <w:t>transformer prediction on served set(subject 2 and 306)</w:t>
      </w:r>
      <w:r>
        <w:rPr>
          <w:rFonts w:hint="eastAsia" w:ascii="宋体" w:hAnsi="宋体" w:eastAsia="宋体" w:cs="宋体"/>
          <w:lang w:val="en-US"/>
        </w:rPr>
        <w:t>.</w:t>
      </w:r>
    </w:p>
    <w:p w14:paraId="53F1774E">
      <w:pPr>
        <w:pStyle w:val="56"/>
        <w:numPr>
          <w:ilvl w:val="1"/>
          <w:numId w:val="9"/>
        </w:numPr>
      </w:pPr>
      <w:r>
        <w:rPr>
          <w:rFonts w:hint="eastAsia" w:eastAsia="宋体"/>
          <w:lang w:val="en-US" w:eastAsia="zh-CN"/>
        </w:rPr>
        <w:t>Results Analysis</w:t>
      </w:r>
    </w:p>
    <w:p w14:paraId="41B5B3E5">
      <w:pPr>
        <w:pStyle w:val="61"/>
        <w:spacing w:before="312" w:after="312"/>
        <w:ind w:firstLine="480"/>
        <w:rPr>
          <w:rFonts w:hint="eastAsia"/>
        </w:rPr>
      </w:pPr>
      <w:r>
        <w:rPr>
          <w:rFonts w:hint="eastAsia"/>
        </w:rPr>
        <w:t>表 4-1 汇总了各模型在测试集（预测时间跨度  H=30  分钟）上的性能表现。</w:t>
      </w:r>
    </w:p>
    <w:p w14:paraId="15670D63">
      <w:pPr>
        <w:pStyle w:val="63"/>
        <w:spacing w:before="624" w:after="312"/>
        <w:rPr>
          <w:rFonts w:hint="eastAsia"/>
        </w:rPr>
      </w:pPr>
      <w:r>
        <w:rPr>
          <w:rFonts w:hint="eastAsia" w:eastAsia="宋体"/>
          <w:lang w:val="en-US" w:eastAsia="zh-CN"/>
        </w:rPr>
        <w:t>comparison of  prediction</w:t>
      </w:r>
      <w:r>
        <w:rPr>
          <w:rFonts w:hint="eastAsia"/>
        </w:rPr>
        <w:t>.</w:t>
      </w:r>
    </w:p>
    <w:tbl>
      <w:tblPr>
        <w:tblStyle w:val="31"/>
        <w:tblW w:w="8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56"/>
        <w:gridCol w:w="1134"/>
        <w:gridCol w:w="1442"/>
        <w:gridCol w:w="1575"/>
        <w:gridCol w:w="1885"/>
      </w:tblGrid>
      <w:tr w14:paraId="0A02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16" w:type="dxa"/>
            <w:tcBorders>
              <w:top w:val="single" w:color="auto" w:sz="12" w:space="0"/>
              <w:left w:val="nil"/>
              <w:bottom w:val="single" w:color="auto" w:sz="4" w:space="0"/>
              <w:right w:val="nil"/>
            </w:tcBorders>
            <w:vAlign w:val="center"/>
          </w:tcPr>
          <w:p w14:paraId="5BBE5C18">
            <w:pPr>
              <w:pStyle w:val="64"/>
              <w:snapToGrid w:val="0"/>
              <w:spacing w:line="240" w:lineRule="auto"/>
              <w:ind w:left="0" w:leftChars="0" w:right="0" w:rightChars="0" w:firstLine="0" w:firstLineChars="0"/>
              <w:rPr>
                <w:rFonts w:hint="eastAsia" w:ascii="Times New Roman" w:eastAsia="宋体"/>
                <w:b/>
                <w:sz w:val="24"/>
                <w:vertAlign w:val="baseline"/>
              </w:rPr>
            </w:pPr>
          </w:p>
        </w:tc>
        <w:tc>
          <w:tcPr>
            <w:tcW w:w="1056" w:type="dxa"/>
            <w:tcBorders>
              <w:top w:val="single" w:color="auto" w:sz="12" w:space="0"/>
              <w:left w:val="nil"/>
              <w:bottom w:val="single" w:color="auto" w:sz="4" w:space="0"/>
              <w:right w:val="nil"/>
            </w:tcBorders>
            <w:vAlign w:val="center"/>
          </w:tcPr>
          <w:p w14:paraId="240B6B57">
            <w:pPr>
              <w:pStyle w:val="64"/>
              <w:snapToGrid w:val="0"/>
              <w:spacing w:line="240" w:lineRule="auto"/>
              <w:ind w:left="0" w:leftChars="0" w:right="0" w:rightChars="0" w:firstLine="0" w:firstLineChars="0"/>
              <w:rPr>
                <w:rFonts w:hint="eastAsia" w:ascii="Times New Roman" w:eastAsia="宋体"/>
                <w:b/>
                <w:sz w:val="24"/>
                <w:vertAlign w:val="baseline"/>
                <w:lang w:val="en-US" w:eastAsia="zh-CN"/>
              </w:rPr>
            </w:pPr>
            <w:r>
              <w:rPr>
                <w:rFonts w:hint="eastAsia" w:ascii="Times New Roman" w:eastAsia="宋体"/>
                <w:b/>
                <w:sz w:val="24"/>
                <w:vertAlign w:val="baseline"/>
                <w:lang w:val="en-US" w:eastAsia="zh-CN"/>
              </w:rPr>
              <w:t>MAE</w:t>
            </w:r>
          </w:p>
          <w:p w14:paraId="2B0EE6CA">
            <w:pPr>
              <w:pStyle w:val="64"/>
              <w:snapToGrid w:val="0"/>
              <w:spacing w:line="240" w:lineRule="auto"/>
              <w:ind w:left="0" w:leftChars="0" w:right="0" w:rightChars="0" w:firstLine="0" w:firstLineChars="0"/>
              <w:rPr>
                <w:rFonts w:hint="default" w:ascii="Times New Roman" w:eastAsia="宋体"/>
                <w:b/>
                <w:sz w:val="24"/>
                <w:vertAlign w:val="baseline"/>
                <w:lang w:val="en-US" w:eastAsia="zh-CN"/>
              </w:rPr>
            </w:pPr>
            <w:r>
              <w:rPr>
                <w:rFonts w:hint="eastAsia" w:eastAsia="宋体"/>
                <w:b/>
                <w:sz w:val="24"/>
                <w:vertAlign w:val="baseline"/>
                <w:lang w:val="en-US" w:eastAsia="zh-CN"/>
              </w:rPr>
              <w:t>(mg/dL)</w:t>
            </w:r>
          </w:p>
        </w:tc>
        <w:tc>
          <w:tcPr>
            <w:tcW w:w="1134" w:type="dxa"/>
            <w:tcBorders>
              <w:top w:val="single" w:color="auto" w:sz="12" w:space="0"/>
              <w:left w:val="nil"/>
              <w:bottom w:val="single" w:color="auto" w:sz="4" w:space="0"/>
              <w:right w:val="nil"/>
            </w:tcBorders>
            <w:vAlign w:val="center"/>
          </w:tcPr>
          <w:p w14:paraId="4E6AD18B">
            <w:pPr>
              <w:pStyle w:val="64"/>
              <w:snapToGrid w:val="0"/>
              <w:spacing w:line="240" w:lineRule="auto"/>
              <w:ind w:left="0" w:leftChars="0" w:right="0" w:rightChars="0" w:firstLine="0" w:firstLineChars="0"/>
              <w:rPr>
                <w:rFonts w:hint="eastAsia" w:ascii="Times New Roman" w:eastAsia="宋体"/>
                <w:b/>
                <w:sz w:val="24"/>
                <w:vertAlign w:val="baseline"/>
                <w:lang w:val="en-US" w:eastAsia="zh-CN"/>
              </w:rPr>
            </w:pPr>
            <w:r>
              <w:rPr>
                <w:rFonts w:hint="eastAsia" w:ascii="Times New Roman" w:eastAsia="宋体"/>
                <w:b/>
                <w:sz w:val="24"/>
                <w:vertAlign w:val="baseline"/>
                <w:lang w:val="en-US" w:eastAsia="zh-CN"/>
              </w:rPr>
              <w:t>RMSE</w:t>
            </w:r>
          </w:p>
          <w:p w14:paraId="22FAA257">
            <w:pPr>
              <w:pStyle w:val="64"/>
              <w:snapToGrid w:val="0"/>
              <w:spacing w:line="240" w:lineRule="auto"/>
              <w:ind w:left="0" w:leftChars="0" w:right="0" w:rightChars="0" w:firstLine="0" w:firstLineChars="0"/>
              <w:rPr>
                <w:rFonts w:hint="default" w:ascii="Times New Roman" w:eastAsia="宋体"/>
                <w:b/>
                <w:sz w:val="24"/>
                <w:vertAlign w:val="baseline"/>
                <w:lang w:val="en-US" w:eastAsia="zh-CN"/>
              </w:rPr>
            </w:pPr>
            <w:r>
              <w:rPr>
                <w:rFonts w:hint="eastAsia" w:eastAsia="宋体"/>
                <w:b/>
                <w:sz w:val="24"/>
                <w:vertAlign w:val="baseline"/>
                <w:lang w:val="en-US" w:eastAsia="zh-CN"/>
              </w:rPr>
              <w:t>(mg/dL)</w:t>
            </w:r>
          </w:p>
        </w:tc>
        <w:tc>
          <w:tcPr>
            <w:tcW w:w="1442" w:type="dxa"/>
            <w:tcBorders>
              <w:top w:val="single" w:color="auto" w:sz="12" w:space="0"/>
              <w:left w:val="nil"/>
              <w:bottom w:val="single" w:color="auto" w:sz="4" w:space="0"/>
              <w:right w:val="nil"/>
            </w:tcBorders>
            <w:vAlign w:val="center"/>
          </w:tcPr>
          <w:p w14:paraId="77C9FF12">
            <w:pPr>
              <w:pStyle w:val="64"/>
              <w:snapToGrid w:val="0"/>
              <w:spacing w:line="240" w:lineRule="auto"/>
              <w:ind w:left="0" w:leftChars="0" w:right="0" w:rightChars="0" w:firstLine="0" w:firstLineChars="0"/>
              <w:rPr>
                <w:rFonts w:hint="default" w:ascii="Times New Roman" w:eastAsia="宋体"/>
                <w:b/>
                <w:sz w:val="24"/>
                <w:vertAlign w:val="baseline"/>
                <w:lang w:val="en-US" w:eastAsia="zh-CN"/>
              </w:rPr>
            </w:pPr>
            <w:r>
              <w:rPr>
                <w:rFonts w:hint="eastAsia" w:ascii="Times New Roman" w:eastAsia="宋体"/>
                <w:b/>
                <w:sz w:val="24"/>
                <w:vertAlign w:val="baseline"/>
                <w:lang w:val="en-US" w:eastAsia="zh-CN"/>
              </w:rPr>
              <w:t>MAPE</w:t>
            </w:r>
            <w:r>
              <w:rPr>
                <w:rFonts w:hint="eastAsia" w:eastAsia="宋体"/>
                <w:b/>
                <w:sz w:val="24"/>
                <w:vertAlign w:val="baseline"/>
                <w:lang w:val="en-US" w:eastAsia="zh-CN"/>
              </w:rPr>
              <w:t>(%)</w:t>
            </w:r>
          </w:p>
        </w:tc>
        <w:tc>
          <w:tcPr>
            <w:tcW w:w="1575" w:type="dxa"/>
            <w:tcBorders>
              <w:top w:val="single" w:color="auto" w:sz="12" w:space="0"/>
              <w:left w:val="nil"/>
              <w:bottom w:val="single" w:color="auto" w:sz="4" w:space="0"/>
              <w:right w:val="nil"/>
            </w:tcBorders>
            <w:vAlign w:val="center"/>
          </w:tcPr>
          <w:p w14:paraId="7F6BAAB5">
            <w:pPr>
              <w:pStyle w:val="64"/>
              <w:snapToGrid w:val="0"/>
              <w:spacing w:line="240" w:lineRule="auto"/>
              <w:ind w:left="0" w:leftChars="0" w:right="0" w:rightChars="0" w:firstLine="0" w:firstLineChars="0"/>
              <w:rPr>
                <w:rFonts w:hint="default" w:ascii="Times New Roman" w:eastAsia="宋体"/>
                <w:b/>
                <w:sz w:val="24"/>
                <w:vertAlign w:val="baseline"/>
                <w:lang w:val="en-US" w:eastAsia="zh-CN"/>
              </w:rPr>
            </w:pPr>
            <w:r>
              <w:rPr>
                <w:rFonts w:hint="eastAsia" w:ascii="Times New Roman" w:eastAsia="宋体"/>
                <w:b/>
                <w:sz w:val="24"/>
                <w:vertAlign w:val="baseline"/>
                <w:lang w:val="en-US" w:eastAsia="zh-CN"/>
              </w:rPr>
              <w:t>RMSPE</w:t>
            </w:r>
            <w:r>
              <w:rPr>
                <w:rFonts w:hint="eastAsia" w:eastAsia="宋体"/>
                <w:b/>
                <w:sz w:val="24"/>
                <w:vertAlign w:val="baseline"/>
                <w:lang w:val="en-US" w:eastAsia="zh-CN"/>
              </w:rPr>
              <w:t>(%)</w:t>
            </w:r>
          </w:p>
        </w:tc>
        <w:tc>
          <w:tcPr>
            <w:tcW w:w="1885" w:type="dxa"/>
            <w:tcBorders>
              <w:top w:val="single" w:color="auto" w:sz="12" w:space="0"/>
              <w:left w:val="nil"/>
              <w:bottom w:val="single" w:color="auto" w:sz="4" w:space="0"/>
              <w:right w:val="nil"/>
            </w:tcBorders>
            <w:vAlign w:val="center"/>
          </w:tcPr>
          <w:p w14:paraId="4A54AECB">
            <w:pPr>
              <w:pStyle w:val="64"/>
              <w:snapToGrid w:val="0"/>
              <w:spacing w:line="240" w:lineRule="auto"/>
              <w:ind w:left="0" w:leftChars="0" w:right="0" w:rightChars="0" w:firstLine="0" w:firstLineChars="0"/>
              <w:rPr>
                <w:rFonts w:hint="default" w:ascii="Times New Roman" w:eastAsia="宋体"/>
                <w:b/>
                <w:sz w:val="24"/>
                <w:vertAlign w:val="baseline"/>
                <w:lang w:val="en-US" w:eastAsia="zh-CN"/>
              </w:rPr>
            </w:pPr>
            <w:r>
              <w:rPr>
                <w:rFonts w:hint="eastAsia" w:ascii="Times New Roman" w:eastAsia="宋体"/>
                <w:b/>
                <w:sz w:val="24"/>
                <w:vertAlign w:val="baseline"/>
                <w:lang w:val="en-US" w:eastAsia="zh-CN"/>
              </w:rPr>
              <w:t>CEG(A+B)</w:t>
            </w:r>
            <w:r>
              <w:rPr>
                <w:rFonts w:hint="eastAsia" w:eastAsia="宋体"/>
                <w:b/>
                <w:sz w:val="24"/>
                <w:vertAlign w:val="baseline"/>
                <w:lang w:val="en-US" w:eastAsia="zh-CN"/>
              </w:rPr>
              <w:t>(%)</w:t>
            </w:r>
          </w:p>
        </w:tc>
      </w:tr>
      <w:tr w14:paraId="5F3D9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single" w:color="auto" w:sz="4" w:space="0"/>
              <w:left w:val="nil"/>
              <w:bottom w:val="nil"/>
              <w:right w:val="nil"/>
            </w:tcBorders>
            <w:vAlign w:val="center"/>
          </w:tcPr>
          <w:p w14:paraId="1A187B0E">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ARIMA</w:t>
            </w:r>
          </w:p>
        </w:tc>
        <w:tc>
          <w:tcPr>
            <w:tcW w:w="1056" w:type="dxa"/>
            <w:tcBorders>
              <w:top w:val="single" w:color="auto" w:sz="4" w:space="0"/>
              <w:left w:val="nil"/>
              <w:bottom w:val="nil"/>
              <w:right w:val="nil"/>
            </w:tcBorders>
            <w:vAlign w:val="center"/>
          </w:tcPr>
          <w:p w14:paraId="3FC796AC">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5.7965</w:t>
            </w:r>
          </w:p>
        </w:tc>
        <w:tc>
          <w:tcPr>
            <w:tcW w:w="1134" w:type="dxa"/>
            <w:tcBorders>
              <w:top w:val="single" w:color="auto" w:sz="4" w:space="0"/>
              <w:left w:val="nil"/>
              <w:bottom w:val="nil"/>
              <w:right w:val="nil"/>
            </w:tcBorders>
            <w:vAlign w:val="center"/>
          </w:tcPr>
          <w:p w14:paraId="77AFF4A5">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8.9621</w:t>
            </w:r>
          </w:p>
        </w:tc>
        <w:tc>
          <w:tcPr>
            <w:tcW w:w="1442" w:type="dxa"/>
            <w:tcBorders>
              <w:top w:val="single" w:color="auto" w:sz="4" w:space="0"/>
              <w:left w:val="nil"/>
              <w:bottom w:val="nil"/>
              <w:right w:val="nil"/>
            </w:tcBorders>
            <w:vAlign w:val="center"/>
          </w:tcPr>
          <w:p w14:paraId="20D20D0E">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4.4696</w:t>
            </w:r>
          </w:p>
        </w:tc>
        <w:tc>
          <w:tcPr>
            <w:tcW w:w="1575" w:type="dxa"/>
            <w:tcBorders>
              <w:top w:val="single" w:color="auto" w:sz="4" w:space="0"/>
              <w:left w:val="nil"/>
              <w:bottom w:val="nil"/>
              <w:right w:val="nil"/>
            </w:tcBorders>
            <w:vAlign w:val="center"/>
          </w:tcPr>
          <w:p w14:paraId="3D5D4D82">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6.9105</w:t>
            </w:r>
          </w:p>
        </w:tc>
        <w:tc>
          <w:tcPr>
            <w:tcW w:w="1885" w:type="dxa"/>
            <w:tcBorders>
              <w:top w:val="single" w:color="auto" w:sz="4" w:space="0"/>
              <w:left w:val="nil"/>
              <w:bottom w:val="nil"/>
              <w:right w:val="nil"/>
            </w:tcBorders>
            <w:vAlign w:val="center"/>
          </w:tcPr>
          <w:p w14:paraId="61AABED7">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99.8+0.2</w:t>
            </w:r>
          </w:p>
        </w:tc>
      </w:tr>
      <w:tr w14:paraId="2242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71FB6B14">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Linear</w:t>
            </w:r>
          </w:p>
        </w:tc>
        <w:tc>
          <w:tcPr>
            <w:tcW w:w="1056" w:type="dxa"/>
            <w:tcBorders>
              <w:top w:val="nil"/>
              <w:left w:val="nil"/>
              <w:bottom w:val="nil"/>
              <w:right w:val="nil"/>
            </w:tcBorders>
            <w:vAlign w:val="center"/>
          </w:tcPr>
          <w:p w14:paraId="304674D5">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5.2298</w:t>
            </w:r>
          </w:p>
        </w:tc>
        <w:tc>
          <w:tcPr>
            <w:tcW w:w="1134" w:type="dxa"/>
            <w:tcBorders>
              <w:top w:val="nil"/>
              <w:left w:val="nil"/>
              <w:bottom w:val="nil"/>
              <w:right w:val="nil"/>
            </w:tcBorders>
            <w:vAlign w:val="center"/>
          </w:tcPr>
          <w:p w14:paraId="3BC5C4BB">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8.5292</w:t>
            </w:r>
          </w:p>
        </w:tc>
        <w:tc>
          <w:tcPr>
            <w:tcW w:w="1442" w:type="dxa"/>
            <w:tcBorders>
              <w:top w:val="nil"/>
              <w:left w:val="nil"/>
              <w:bottom w:val="nil"/>
              <w:right w:val="nil"/>
            </w:tcBorders>
            <w:vAlign w:val="center"/>
          </w:tcPr>
          <w:p w14:paraId="69CED245">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4.3827</w:t>
            </w:r>
          </w:p>
        </w:tc>
        <w:tc>
          <w:tcPr>
            <w:tcW w:w="1575" w:type="dxa"/>
            <w:tcBorders>
              <w:top w:val="nil"/>
              <w:left w:val="nil"/>
              <w:bottom w:val="nil"/>
              <w:right w:val="nil"/>
            </w:tcBorders>
            <w:vAlign w:val="center"/>
          </w:tcPr>
          <w:p w14:paraId="0AE5A13E">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6.8298</w:t>
            </w:r>
          </w:p>
        </w:tc>
        <w:tc>
          <w:tcPr>
            <w:tcW w:w="1885" w:type="dxa"/>
            <w:tcBorders>
              <w:top w:val="nil"/>
              <w:left w:val="nil"/>
              <w:bottom w:val="nil"/>
              <w:right w:val="nil"/>
            </w:tcBorders>
            <w:vAlign w:val="center"/>
          </w:tcPr>
          <w:p w14:paraId="3E8780BD">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99.8+0.2</w:t>
            </w:r>
          </w:p>
        </w:tc>
      </w:tr>
      <w:tr w14:paraId="065E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4A4031EA">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KNN</w:t>
            </w:r>
          </w:p>
        </w:tc>
        <w:tc>
          <w:tcPr>
            <w:tcW w:w="1056" w:type="dxa"/>
            <w:tcBorders>
              <w:top w:val="nil"/>
              <w:left w:val="nil"/>
              <w:bottom w:val="nil"/>
              <w:right w:val="nil"/>
            </w:tcBorders>
            <w:vAlign w:val="center"/>
          </w:tcPr>
          <w:p w14:paraId="06900001">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11.3252</w:t>
            </w:r>
          </w:p>
        </w:tc>
        <w:tc>
          <w:tcPr>
            <w:tcW w:w="1134" w:type="dxa"/>
            <w:tcBorders>
              <w:top w:val="nil"/>
              <w:left w:val="nil"/>
              <w:bottom w:val="nil"/>
              <w:right w:val="nil"/>
            </w:tcBorders>
            <w:vAlign w:val="center"/>
          </w:tcPr>
          <w:p w14:paraId="0F366EEA">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15.6312</w:t>
            </w:r>
          </w:p>
        </w:tc>
        <w:tc>
          <w:tcPr>
            <w:tcW w:w="1442" w:type="dxa"/>
            <w:tcBorders>
              <w:top w:val="nil"/>
              <w:left w:val="nil"/>
              <w:bottom w:val="nil"/>
              <w:right w:val="nil"/>
            </w:tcBorders>
            <w:vAlign w:val="center"/>
          </w:tcPr>
          <w:p w14:paraId="588B795A">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9.9544</w:t>
            </w:r>
          </w:p>
        </w:tc>
        <w:tc>
          <w:tcPr>
            <w:tcW w:w="1575" w:type="dxa"/>
            <w:tcBorders>
              <w:top w:val="nil"/>
              <w:left w:val="nil"/>
              <w:bottom w:val="nil"/>
              <w:right w:val="nil"/>
            </w:tcBorders>
            <w:vAlign w:val="center"/>
          </w:tcPr>
          <w:p w14:paraId="4081D408">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13.6284</w:t>
            </w:r>
          </w:p>
        </w:tc>
        <w:tc>
          <w:tcPr>
            <w:tcW w:w="1885" w:type="dxa"/>
            <w:tcBorders>
              <w:top w:val="nil"/>
              <w:left w:val="nil"/>
              <w:bottom w:val="nil"/>
              <w:right w:val="nil"/>
            </w:tcBorders>
            <w:vAlign w:val="center"/>
          </w:tcPr>
          <w:p w14:paraId="1F3EF276">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93.4+6.3</w:t>
            </w:r>
          </w:p>
        </w:tc>
      </w:tr>
      <w:tr w14:paraId="59E9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46FB8AF3">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Random Forest</w:t>
            </w:r>
          </w:p>
        </w:tc>
        <w:tc>
          <w:tcPr>
            <w:tcW w:w="1056" w:type="dxa"/>
            <w:tcBorders>
              <w:top w:val="nil"/>
              <w:left w:val="nil"/>
              <w:bottom w:val="nil"/>
              <w:right w:val="nil"/>
            </w:tcBorders>
            <w:vAlign w:val="center"/>
          </w:tcPr>
          <w:p w14:paraId="71420F77">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6.6398</w:t>
            </w:r>
          </w:p>
        </w:tc>
        <w:tc>
          <w:tcPr>
            <w:tcW w:w="1134" w:type="dxa"/>
            <w:tcBorders>
              <w:top w:val="nil"/>
              <w:left w:val="nil"/>
              <w:bottom w:val="nil"/>
              <w:right w:val="nil"/>
            </w:tcBorders>
            <w:vAlign w:val="center"/>
          </w:tcPr>
          <w:p w14:paraId="1AD12843">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10.2797</w:t>
            </w:r>
          </w:p>
        </w:tc>
        <w:tc>
          <w:tcPr>
            <w:tcW w:w="1442" w:type="dxa"/>
            <w:tcBorders>
              <w:top w:val="nil"/>
              <w:left w:val="nil"/>
              <w:bottom w:val="nil"/>
              <w:right w:val="nil"/>
            </w:tcBorders>
            <w:vAlign w:val="center"/>
          </w:tcPr>
          <w:p w14:paraId="3F4D476E">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5.5753</w:t>
            </w:r>
          </w:p>
        </w:tc>
        <w:tc>
          <w:tcPr>
            <w:tcW w:w="1575" w:type="dxa"/>
            <w:tcBorders>
              <w:top w:val="nil"/>
              <w:left w:val="nil"/>
              <w:bottom w:val="nil"/>
              <w:right w:val="nil"/>
            </w:tcBorders>
            <w:vAlign w:val="center"/>
          </w:tcPr>
          <w:p w14:paraId="467ED980">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8.2342</w:t>
            </w:r>
          </w:p>
        </w:tc>
        <w:tc>
          <w:tcPr>
            <w:tcW w:w="1885" w:type="dxa"/>
            <w:tcBorders>
              <w:top w:val="nil"/>
              <w:left w:val="nil"/>
              <w:bottom w:val="nil"/>
              <w:right w:val="nil"/>
            </w:tcBorders>
            <w:vAlign w:val="center"/>
          </w:tcPr>
          <w:p w14:paraId="5D0B3884">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99.2+0.6</w:t>
            </w:r>
          </w:p>
        </w:tc>
      </w:tr>
      <w:tr w14:paraId="06C4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171339D9">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XGBoost</w:t>
            </w:r>
          </w:p>
        </w:tc>
        <w:tc>
          <w:tcPr>
            <w:tcW w:w="1056" w:type="dxa"/>
            <w:tcBorders>
              <w:top w:val="nil"/>
              <w:left w:val="nil"/>
              <w:bottom w:val="nil"/>
              <w:right w:val="nil"/>
            </w:tcBorders>
            <w:vAlign w:val="center"/>
          </w:tcPr>
          <w:p w14:paraId="7970BC38">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8.2151</w:t>
            </w:r>
          </w:p>
        </w:tc>
        <w:tc>
          <w:tcPr>
            <w:tcW w:w="1134" w:type="dxa"/>
            <w:tcBorders>
              <w:top w:val="nil"/>
              <w:left w:val="nil"/>
              <w:bottom w:val="nil"/>
              <w:right w:val="nil"/>
            </w:tcBorders>
            <w:vAlign w:val="center"/>
          </w:tcPr>
          <w:p w14:paraId="5D352D13">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12.3310</w:t>
            </w:r>
          </w:p>
        </w:tc>
        <w:tc>
          <w:tcPr>
            <w:tcW w:w="1442" w:type="dxa"/>
            <w:tcBorders>
              <w:top w:val="nil"/>
              <w:left w:val="nil"/>
              <w:bottom w:val="nil"/>
              <w:right w:val="nil"/>
            </w:tcBorders>
            <w:vAlign w:val="center"/>
          </w:tcPr>
          <w:p w14:paraId="36F39A0C">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6.9834</w:t>
            </w:r>
          </w:p>
        </w:tc>
        <w:tc>
          <w:tcPr>
            <w:tcW w:w="1575" w:type="dxa"/>
            <w:tcBorders>
              <w:top w:val="nil"/>
              <w:left w:val="nil"/>
              <w:bottom w:val="nil"/>
              <w:right w:val="nil"/>
            </w:tcBorders>
            <w:vAlign w:val="center"/>
          </w:tcPr>
          <w:p w14:paraId="165A3508">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10.1447</w:t>
            </w:r>
          </w:p>
        </w:tc>
        <w:tc>
          <w:tcPr>
            <w:tcW w:w="1885" w:type="dxa"/>
            <w:tcBorders>
              <w:top w:val="nil"/>
              <w:left w:val="nil"/>
              <w:bottom w:val="nil"/>
              <w:right w:val="nil"/>
            </w:tcBorders>
            <w:vAlign w:val="center"/>
          </w:tcPr>
          <w:p w14:paraId="0042A0B1">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98.1+1.6</w:t>
            </w:r>
          </w:p>
        </w:tc>
      </w:tr>
      <w:tr w14:paraId="25B5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57C96CFA">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CNN</w:t>
            </w:r>
          </w:p>
        </w:tc>
        <w:tc>
          <w:tcPr>
            <w:tcW w:w="1056" w:type="dxa"/>
            <w:tcBorders>
              <w:top w:val="nil"/>
              <w:left w:val="nil"/>
              <w:bottom w:val="nil"/>
              <w:right w:val="nil"/>
            </w:tcBorders>
            <w:vAlign w:val="center"/>
          </w:tcPr>
          <w:p w14:paraId="6C37BC1B">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5.4077</w:t>
            </w:r>
          </w:p>
        </w:tc>
        <w:tc>
          <w:tcPr>
            <w:tcW w:w="1134" w:type="dxa"/>
            <w:tcBorders>
              <w:top w:val="nil"/>
              <w:left w:val="nil"/>
              <w:bottom w:val="nil"/>
              <w:right w:val="nil"/>
            </w:tcBorders>
            <w:vAlign w:val="center"/>
          </w:tcPr>
          <w:p w14:paraId="0AC044F1">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8.6982</w:t>
            </w:r>
          </w:p>
        </w:tc>
        <w:tc>
          <w:tcPr>
            <w:tcW w:w="1442" w:type="dxa"/>
            <w:tcBorders>
              <w:top w:val="nil"/>
              <w:left w:val="nil"/>
              <w:bottom w:val="nil"/>
              <w:right w:val="nil"/>
            </w:tcBorders>
            <w:vAlign w:val="center"/>
          </w:tcPr>
          <w:p w14:paraId="252431BF">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4.5519</w:t>
            </w:r>
          </w:p>
        </w:tc>
        <w:tc>
          <w:tcPr>
            <w:tcW w:w="1575" w:type="dxa"/>
            <w:tcBorders>
              <w:top w:val="nil"/>
              <w:left w:val="nil"/>
              <w:bottom w:val="nil"/>
              <w:right w:val="nil"/>
            </w:tcBorders>
            <w:vAlign w:val="center"/>
          </w:tcPr>
          <w:p w14:paraId="09CFB2B9">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7.0817</w:t>
            </w:r>
          </w:p>
        </w:tc>
        <w:tc>
          <w:tcPr>
            <w:tcW w:w="1885" w:type="dxa"/>
            <w:tcBorders>
              <w:top w:val="nil"/>
              <w:left w:val="nil"/>
              <w:bottom w:val="nil"/>
              <w:right w:val="nil"/>
            </w:tcBorders>
            <w:vAlign w:val="center"/>
          </w:tcPr>
          <w:p w14:paraId="13FA3CC0">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99.8+0.2</w:t>
            </w:r>
          </w:p>
        </w:tc>
      </w:tr>
      <w:tr w14:paraId="686A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0182309B">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RNN</w:t>
            </w:r>
          </w:p>
        </w:tc>
        <w:tc>
          <w:tcPr>
            <w:tcW w:w="1056" w:type="dxa"/>
            <w:tcBorders>
              <w:top w:val="nil"/>
              <w:left w:val="nil"/>
              <w:bottom w:val="nil"/>
              <w:right w:val="nil"/>
            </w:tcBorders>
            <w:vAlign w:val="center"/>
          </w:tcPr>
          <w:p w14:paraId="590C259C">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7.4727</w:t>
            </w:r>
          </w:p>
        </w:tc>
        <w:tc>
          <w:tcPr>
            <w:tcW w:w="1134" w:type="dxa"/>
            <w:tcBorders>
              <w:top w:val="nil"/>
              <w:left w:val="nil"/>
              <w:bottom w:val="nil"/>
              <w:right w:val="nil"/>
            </w:tcBorders>
            <w:vAlign w:val="center"/>
          </w:tcPr>
          <w:p w14:paraId="47BE9DCE">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11.0343</w:t>
            </w:r>
          </w:p>
        </w:tc>
        <w:tc>
          <w:tcPr>
            <w:tcW w:w="1442" w:type="dxa"/>
            <w:tcBorders>
              <w:top w:val="nil"/>
              <w:left w:val="nil"/>
              <w:bottom w:val="nil"/>
              <w:right w:val="nil"/>
            </w:tcBorders>
            <w:vAlign w:val="center"/>
          </w:tcPr>
          <w:p w14:paraId="333915B3">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6.3253</w:t>
            </w:r>
          </w:p>
        </w:tc>
        <w:tc>
          <w:tcPr>
            <w:tcW w:w="1575" w:type="dxa"/>
            <w:tcBorders>
              <w:top w:val="nil"/>
              <w:left w:val="nil"/>
              <w:bottom w:val="nil"/>
              <w:right w:val="nil"/>
            </w:tcBorders>
            <w:vAlign w:val="center"/>
          </w:tcPr>
          <w:p w14:paraId="6590BF2B">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8.9341</w:t>
            </w:r>
          </w:p>
        </w:tc>
        <w:tc>
          <w:tcPr>
            <w:tcW w:w="1885" w:type="dxa"/>
            <w:tcBorders>
              <w:top w:val="nil"/>
              <w:left w:val="nil"/>
              <w:bottom w:val="nil"/>
              <w:right w:val="nil"/>
            </w:tcBorders>
            <w:vAlign w:val="center"/>
          </w:tcPr>
          <w:p w14:paraId="6A2A8ED2">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99.0+0.9</w:t>
            </w:r>
          </w:p>
        </w:tc>
      </w:tr>
      <w:tr w14:paraId="51D0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773832A7">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LSTM</w:t>
            </w:r>
          </w:p>
        </w:tc>
        <w:tc>
          <w:tcPr>
            <w:tcW w:w="1056" w:type="dxa"/>
            <w:tcBorders>
              <w:top w:val="nil"/>
              <w:left w:val="nil"/>
              <w:bottom w:val="nil"/>
              <w:right w:val="nil"/>
            </w:tcBorders>
            <w:vAlign w:val="center"/>
          </w:tcPr>
          <w:p w14:paraId="30733F5F">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5.0236</w:t>
            </w:r>
          </w:p>
        </w:tc>
        <w:tc>
          <w:tcPr>
            <w:tcW w:w="1134" w:type="dxa"/>
            <w:tcBorders>
              <w:top w:val="nil"/>
              <w:left w:val="nil"/>
              <w:bottom w:val="nil"/>
              <w:right w:val="nil"/>
            </w:tcBorders>
            <w:vAlign w:val="center"/>
          </w:tcPr>
          <w:p w14:paraId="5AE75881">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8.1853</w:t>
            </w:r>
          </w:p>
        </w:tc>
        <w:tc>
          <w:tcPr>
            <w:tcW w:w="1442" w:type="dxa"/>
            <w:tcBorders>
              <w:top w:val="nil"/>
              <w:left w:val="nil"/>
              <w:bottom w:val="nil"/>
              <w:right w:val="nil"/>
            </w:tcBorders>
            <w:vAlign w:val="center"/>
          </w:tcPr>
          <w:p w14:paraId="1C1EA5BB">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4.2701</w:t>
            </w:r>
          </w:p>
        </w:tc>
        <w:tc>
          <w:tcPr>
            <w:tcW w:w="1575" w:type="dxa"/>
            <w:tcBorders>
              <w:top w:val="nil"/>
              <w:left w:val="nil"/>
              <w:bottom w:val="nil"/>
              <w:right w:val="nil"/>
            </w:tcBorders>
            <w:vAlign w:val="center"/>
          </w:tcPr>
          <w:p w14:paraId="14F983F7">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6.7352</w:t>
            </w:r>
          </w:p>
        </w:tc>
        <w:tc>
          <w:tcPr>
            <w:tcW w:w="1885" w:type="dxa"/>
            <w:tcBorders>
              <w:top w:val="nil"/>
              <w:left w:val="nil"/>
              <w:bottom w:val="nil"/>
              <w:right w:val="nil"/>
            </w:tcBorders>
            <w:vAlign w:val="center"/>
          </w:tcPr>
          <w:p w14:paraId="2DBB76B8">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99.8+0.2</w:t>
            </w:r>
          </w:p>
        </w:tc>
      </w:tr>
      <w:tr w14:paraId="572A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6" w:type="dxa"/>
            <w:tcBorders>
              <w:top w:val="nil"/>
              <w:left w:val="nil"/>
              <w:bottom w:val="single" w:color="auto" w:sz="12" w:space="0"/>
              <w:right w:val="nil"/>
            </w:tcBorders>
            <w:vAlign w:val="center"/>
          </w:tcPr>
          <w:p w14:paraId="20AAADCD">
            <w:pPr>
              <w:pStyle w:val="64"/>
              <w:snapToGrid w:val="0"/>
              <w:spacing w:line="240" w:lineRule="auto"/>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Transformer</w:t>
            </w:r>
          </w:p>
        </w:tc>
        <w:tc>
          <w:tcPr>
            <w:tcW w:w="1056" w:type="dxa"/>
            <w:tcBorders>
              <w:top w:val="nil"/>
              <w:left w:val="nil"/>
              <w:bottom w:val="single" w:color="auto" w:sz="12" w:space="0"/>
              <w:right w:val="nil"/>
            </w:tcBorders>
            <w:vAlign w:val="center"/>
          </w:tcPr>
          <w:p w14:paraId="300BE9E4">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6.5029</w:t>
            </w:r>
          </w:p>
        </w:tc>
        <w:tc>
          <w:tcPr>
            <w:tcW w:w="1134" w:type="dxa"/>
            <w:tcBorders>
              <w:top w:val="nil"/>
              <w:left w:val="nil"/>
              <w:bottom w:val="single" w:color="auto" w:sz="12" w:space="0"/>
              <w:right w:val="nil"/>
            </w:tcBorders>
            <w:vAlign w:val="center"/>
          </w:tcPr>
          <w:p w14:paraId="7D5BDC35">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9.1394</w:t>
            </w:r>
          </w:p>
        </w:tc>
        <w:tc>
          <w:tcPr>
            <w:tcW w:w="1442" w:type="dxa"/>
            <w:tcBorders>
              <w:top w:val="nil"/>
              <w:left w:val="nil"/>
              <w:bottom w:val="single" w:color="auto" w:sz="12" w:space="0"/>
              <w:right w:val="nil"/>
            </w:tcBorders>
            <w:vAlign w:val="center"/>
          </w:tcPr>
          <w:p w14:paraId="33B21A9E">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5.7825</w:t>
            </w:r>
          </w:p>
        </w:tc>
        <w:tc>
          <w:tcPr>
            <w:tcW w:w="1575" w:type="dxa"/>
            <w:tcBorders>
              <w:top w:val="nil"/>
              <w:left w:val="nil"/>
              <w:bottom w:val="single" w:color="auto" w:sz="12" w:space="0"/>
              <w:right w:val="nil"/>
            </w:tcBorders>
            <w:vAlign w:val="center"/>
          </w:tcPr>
          <w:p w14:paraId="4DD1BC09">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7.9993</w:t>
            </w:r>
          </w:p>
        </w:tc>
        <w:tc>
          <w:tcPr>
            <w:tcW w:w="1885" w:type="dxa"/>
            <w:tcBorders>
              <w:top w:val="nil"/>
              <w:left w:val="nil"/>
              <w:bottom w:val="single" w:color="auto" w:sz="12" w:space="0"/>
              <w:right w:val="nil"/>
            </w:tcBorders>
            <w:vAlign w:val="center"/>
          </w:tcPr>
          <w:p w14:paraId="004F4FC9">
            <w:pPr>
              <w:pStyle w:val="64"/>
              <w:snapToGrid w:val="0"/>
              <w:spacing w:line="240" w:lineRule="auto"/>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99.6+0.3</w:t>
            </w:r>
          </w:p>
        </w:tc>
      </w:tr>
    </w:tbl>
    <w:p w14:paraId="21C5CD9C">
      <w:pPr>
        <w:pStyle w:val="61"/>
        <w:spacing w:before="312" w:after="312"/>
        <w:ind w:left="0" w:leftChars="0" w:firstLine="0" w:firstLineChars="0"/>
        <w:rPr>
          <w:rFonts w:hint="eastAsia"/>
        </w:rPr>
      </w:pPr>
    </w:p>
    <w:p w14:paraId="5660BA5B">
      <w:pPr>
        <w:pStyle w:val="61"/>
        <w:spacing w:before="312" w:after="312"/>
        <w:ind w:left="0" w:leftChars="0" w:firstLine="420" w:firstLineChars="0"/>
        <w:rPr>
          <w:rFonts w:hint="eastAsia"/>
        </w:rPr>
      </w:pPr>
      <w:r>
        <w:rPr>
          <w:rFonts w:hint="eastAsia"/>
        </w:rPr>
        <w:t>从实验结果可以观察到明显的性能分层现象。深度学习模型整体显著优于传统统计与机器学习模型，这一结论与近年来血糖预测领域的研究趋势一致 [23][45]。具体而言：</w:t>
      </w:r>
    </w:p>
    <w:p w14:paraId="7733C3CD">
      <w:pPr>
        <w:pStyle w:val="61"/>
        <w:spacing w:before="312" w:after="312"/>
        <w:ind w:firstLine="480"/>
        <w:rPr>
          <w:rFonts w:hint="eastAsia"/>
        </w:rPr>
      </w:pPr>
      <w:r>
        <w:rPr>
          <w:rFonts w:hint="eastAsia"/>
        </w:rPr>
        <w:t>传统模型的局限性：ARIMA 模型受限于其线性假设，难以捕捉血糖动态的非线性特性；线性回归虽然计算高效，但在血糖快速变化时段表现欠佳；KNN 虽为非参数方法，但其基于局部相似性的预测策略难以建模长程时序依赖</w:t>
      </w:r>
      <w:r>
        <w:rPr>
          <w:rFonts w:hint="eastAsia" w:eastAsia="宋体"/>
          <w:lang w:eastAsia="zh-CN"/>
        </w:rPr>
        <w:t>，</w:t>
      </w:r>
      <w:r>
        <w:rPr>
          <w:rFonts w:hint="eastAsia" w:eastAsia="宋体"/>
          <w:lang w:val="en-US" w:eastAsia="zh-CN"/>
        </w:rPr>
        <w:t>显著落后于其他模型</w:t>
      </w:r>
      <w:r>
        <w:rPr>
          <w:rFonts w:hint="eastAsia"/>
        </w:rPr>
        <w:t>。</w:t>
      </w:r>
    </w:p>
    <w:p w14:paraId="2C84D1E0">
      <w:pPr>
        <w:pStyle w:val="61"/>
        <w:spacing w:before="312" w:after="312"/>
        <w:ind w:firstLine="480"/>
        <w:rPr>
          <w:rFonts w:hint="eastAsia"/>
        </w:rPr>
      </w:pPr>
      <w:r>
        <w:rPr>
          <w:rFonts w:hint="eastAsia" w:eastAsia="宋体"/>
          <w:lang w:val="en-US" w:eastAsia="zh-CN"/>
        </w:rPr>
        <w:t>Linear</w:t>
      </w:r>
      <w:r>
        <w:rPr>
          <w:rFonts w:hint="eastAsia"/>
        </w:rPr>
        <w:t xml:space="preserve"> 在传统模型中表现最优，其 RMSE 甚至</w:t>
      </w:r>
      <w:r>
        <w:rPr>
          <w:rFonts w:hint="eastAsia" w:eastAsia="宋体"/>
          <w:lang w:val="en-US" w:eastAsia="zh-CN"/>
        </w:rPr>
        <w:t>超过</w:t>
      </w:r>
      <w:r>
        <w:rPr>
          <w:rFonts w:hint="eastAsia"/>
        </w:rPr>
        <w:t xml:space="preserve"> </w:t>
      </w:r>
      <w:r>
        <w:rPr>
          <w:rFonts w:hint="eastAsia" w:eastAsia="宋体"/>
          <w:lang w:val="en-US" w:eastAsia="zh-CN"/>
        </w:rPr>
        <w:t>LSTM</w:t>
      </w:r>
      <w:r>
        <w:rPr>
          <w:rFonts w:hint="eastAsia"/>
        </w:rPr>
        <w:t>。线性回归采用的滑动窗口加直接预测策略恰好能够有效</w:t>
      </w:r>
      <w:r>
        <w:rPr>
          <w:rFonts w:hint="eastAsia" w:eastAsia="宋体"/>
          <w:lang w:val="en-US" w:eastAsia="zh-CN"/>
        </w:rPr>
        <w:t>应对血糖变化中的线性惯性</w:t>
      </w:r>
      <w:r>
        <w:rPr>
          <w:rFonts w:hint="eastAsia"/>
        </w:rPr>
        <w:t>，加之模型参数少、不易过拟合，在训练数据有限的条件下反而具备一定的泛化优势。当然，线性回归的本质局限在于其无法捕捉非线性动态，在血糖急剧波动时段仍会出现预测滞后，这一点在后续的波形分析中将进一步讨论。</w:t>
      </w:r>
    </w:p>
    <w:p w14:paraId="504E1259">
      <w:pPr>
        <w:pStyle w:val="61"/>
        <w:spacing w:before="312" w:after="312"/>
        <w:ind w:firstLine="480"/>
        <w:rPr>
          <w:rFonts w:hint="eastAsia"/>
        </w:rPr>
      </w:pPr>
      <w:r>
        <w:rPr>
          <w:rFonts w:hint="eastAsia"/>
        </w:rPr>
        <w:t>深度学习的优势：LSTM 和 Transformer 模型取得了最低的 RMSE 和 MAE，体现了深度学习在时序建模上的独特优势。深度学习模型能够通过端到端的方式自动学习层次化的特征表示，无需繁琐的人工特征工程，且能够捕捉血糖序列中复杂的非线性动态模式。特别值得注意的是，Transformer 模型展现出与 LSTM 相当的性能，同时具备更好的并行计算效率和可解释性——这为后续的模型优化和迁移学习奠定了重要基础。</w:t>
      </w:r>
    </w:p>
    <w:p w14:paraId="33767334">
      <w:pPr>
        <w:pStyle w:val="61"/>
        <w:spacing w:before="312" w:after="312"/>
        <w:ind w:firstLine="480"/>
        <w:jc w:val="center"/>
        <w:rPr>
          <w:rFonts w:hint="eastAsia"/>
        </w:rPr>
      </w:pPr>
      <w:r>
        <w:drawing>
          <wp:inline distT="0" distB="0" distL="114300" distR="114300">
            <wp:extent cx="5038090" cy="4680585"/>
            <wp:effectExtent l="0" t="0" r="6350" b="133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8"/>
                    <a:stretch>
                      <a:fillRect/>
                    </a:stretch>
                  </pic:blipFill>
                  <pic:spPr>
                    <a:xfrm>
                      <a:off x="0" y="0"/>
                      <a:ext cx="5038090" cy="4680585"/>
                    </a:xfrm>
                    <a:prstGeom prst="rect">
                      <a:avLst/>
                    </a:prstGeom>
                    <a:noFill/>
                    <a:ln>
                      <a:noFill/>
                    </a:ln>
                  </pic:spPr>
                </pic:pic>
              </a:graphicData>
            </a:graphic>
          </wp:inline>
        </w:drawing>
      </w:r>
    </w:p>
    <w:p w14:paraId="609E57BC">
      <w:pPr>
        <w:pStyle w:val="62"/>
        <w:numPr>
          <w:ilvl w:val="5"/>
          <w:numId w:val="9"/>
        </w:numPr>
        <w:spacing w:before="312" w:after="624"/>
        <w:rPr>
          <w:rFonts w:hint="eastAsia"/>
        </w:rPr>
      </w:pPr>
      <w:r>
        <w:rPr>
          <w:lang w:val="en-US"/>
        </w:rPr>
        <w:t xml:space="preserve">The </w:t>
      </w:r>
      <w:r>
        <w:rPr>
          <w:rFonts w:hint="eastAsia" w:eastAsia="宋体"/>
          <w:lang w:val="en-US" w:eastAsia="zh-CN"/>
        </w:rPr>
        <w:t>CEG</w:t>
      </w:r>
      <w:r>
        <w:rPr>
          <w:rFonts w:hint="eastAsia" w:ascii="宋体" w:hAnsi="宋体" w:eastAsia="宋体" w:cs="宋体"/>
          <w:lang w:val="en-US"/>
        </w:rPr>
        <w:t>.</w:t>
      </w:r>
    </w:p>
    <w:p w14:paraId="1D345C55">
      <w:pPr>
        <w:pStyle w:val="61"/>
        <w:spacing w:before="312" w:after="312"/>
        <w:ind w:firstLine="480"/>
        <w:rPr>
          <w:rFonts w:hint="eastAsia"/>
        </w:rPr>
      </w:pPr>
      <w:r>
        <w:rPr>
          <w:rFonts w:hint="eastAsia"/>
        </w:rPr>
        <w:t>从 Clarke 误差网格结果来看，除 KNN 外的全部模型均实现了 A+B 区占比超过 99% 的临床安全性水平。其中 LSTM、Linear、CNN 和 ARIMA 的 A 区占比均达到 99.8%，Transformer 为 99.6%，均满足临床应用对预测安全性的基本要求。KNN 的 A 区占比仅为 93.4%，意味着超过 6% 的预测点偏离了临床可接受的精度范围，在低血糖预警等关键场景中可能导致临床决策的延误。整体而言，在 30 分钟预测窗口下，排名靠前的模型在临床安全性上的差异已不显著，各模型的区分度主要体现在数值精度而非安全等级上。</w:t>
      </w:r>
    </w:p>
    <w:p w14:paraId="381743BD">
      <w:pPr>
        <w:pStyle w:val="61"/>
        <w:spacing w:before="312" w:after="312"/>
        <w:ind w:firstLine="480"/>
        <w:rPr>
          <w:rFonts w:hint="eastAsia"/>
        </w:rPr>
      </w:pPr>
      <w:r>
        <w:rPr>
          <w:rFonts w:hint="eastAsia"/>
        </w:rPr>
        <w:t>为了直观展示预测效果，图 4-</w:t>
      </w:r>
      <w:r>
        <w:rPr>
          <w:rFonts w:hint="eastAsia" w:eastAsia="宋体"/>
          <w:lang w:val="en-US" w:eastAsia="zh-CN"/>
        </w:rPr>
        <w:t>11</w:t>
      </w:r>
      <w:r>
        <w:rPr>
          <w:rFonts w:hint="eastAsia"/>
        </w:rPr>
        <w:t xml:space="preserve"> 选取了一位具有代表性的受试者（ID: </w:t>
      </w:r>
      <w:r>
        <w:rPr>
          <w:rFonts w:hint="eastAsia" w:eastAsia="宋体"/>
          <w:lang w:val="en-US" w:eastAsia="zh-CN"/>
        </w:rPr>
        <w:t>306</w:t>
      </w:r>
      <w:r>
        <w:rPr>
          <w:rFonts w:hint="eastAsia"/>
        </w:rPr>
        <w:t>），展示了不同模型在一段连续时间内的预测曲线。</w:t>
      </w:r>
    </w:p>
    <w:p w14:paraId="78D6F310">
      <w:pPr>
        <w:pStyle w:val="61"/>
        <w:spacing w:before="312" w:after="312"/>
        <w:ind w:firstLine="480"/>
        <w:jc w:val="center"/>
        <w:rPr>
          <w:rFonts w:hint="eastAsia"/>
        </w:rPr>
      </w:pPr>
      <w:r>
        <w:drawing>
          <wp:inline distT="0" distB="0" distL="114300" distR="114300">
            <wp:extent cx="5457190" cy="3068955"/>
            <wp:effectExtent l="0" t="0" r="1397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9"/>
                    <a:stretch>
                      <a:fillRect/>
                    </a:stretch>
                  </pic:blipFill>
                  <pic:spPr>
                    <a:xfrm>
                      <a:off x="0" y="0"/>
                      <a:ext cx="5457190" cy="3068955"/>
                    </a:xfrm>
                    <a:prstGeom prst="rect">
                      <a:avLst/>
                    </a:prstGeom>
                    <a:noFill/>
                    <a:ln>
                      <a:noFill/>
                    </a:ln>
                  </pic:spPr>
                </pic:pic>
              </a:graphicData>
            </a:graphic>
          </wp:inline>
        </w:drawing>
      </w:r>
    </w:p>
    <w:p w14:paraId="213A04D7">
      <w:pPr>
        <w:pStyle w:val="62"/>
        <w:numPr>
          <w:ilvl w:val="5"/>
          <w:numId w:val="9"/>
        </w:numPr>
        <w:spacing w:before="312" w:after="624"/>
        <w:rPr>
          <w:rFonts w:hint="eastAsia"/>
        </w:rPr>
      </w:pPr>
      <w:r>
        <w:rPr>
          <w:lang w:val="en-US"/>
        </w:rPr>
        <w:t xml:space="preserve">The </w:t>
      </w:r>
      <w:r>
        <w:rPr>
          <w:rFonts w:hint="eastAsia" w:ascii="宋体" w:hAnsi="宋体" w:eastAsia="宋体" w:cs="宋体"/>
          <w:lang w:val="en-US"/>
        </w:rPr>
        <w:t>.</w:t>
      </w:r>
    </w:p>
    <w:p w14:paraId="65376C15">
      <w:pPr>
        <w:pStyle w:val="61"/>
        <w:spacing w:before="312" w:after="312"/>
        <w:ind w:firstLine="480"/>
        <w:rPr>
          <w:rFonts w:hint="eastAsia"/>
        </w:rPr>
      </w:pPr>
      <w:r>
        <w:rPr>
          <w:rFonts w:hint="eastAsia"/>
        </w:rPr>
        <w:t>通过对预测波形的细致分析，可以观察到以下现象：</w:t>
      </w:r>
    </w:p>
    <w:p w14:paraId="19D60CA4">
      <w:pPr>
        <w:pStyle w:val="61"/>
        <w:spacing w:before="312" w:after="312"/>
        <w:ind w:firstLine="480"/>
        <w:rPr>
          <w:rFonts w:hint="eastAsia"/>
        </w:rPr>
      </w:pPr>
      <w:r>
        <w:rPr>
          <w:rFonts w:hint="eastAsia"/>
        </w:rPr>
        <w:t>平稳期表现：在血糖相对平稳的时段，所有模型均能给出较为准确的预测，模型间差异不大。这是因为平稳期的血糖变化主要由惯性主导，历史值本身即可提供充分的预测信息。</w:t>
      </w:r>
    </w:p>
    <w:p w14:paraId="4B0D394C">
      <w:pPr>
        <w:pStyle w:val="61"/>
        <w:spacing w:before="312" w:after="312"/>
        <w:ind w:firstLine="480"/>
        <w:rPr>
          <w:rFonts w:hint="eastAsia"/>
        </w:rPr>
      </w:pPr>
      <w:r>
        <w:rPr>
          <w:rFonts w:hint="eastAsia"/>
        </w:rPr>
        <w:t xml:space="preserve">快速变化期表现：在血糖快速上升（如餐后）或快速下降（如运动后）的时段，模型间的性能差异显著放大。传统模型（ARIMA、线性回归）存在明显的预测滞后现象（Phase Lag），即预测曲线相对于真实曲线存在约 </w:t>
      </w:r>
      <w:r>
        <w:rPr>
          <w:rFonts w:hint="eastAsia" w:eastAsia="宋体"/>
          <w:lang w:val="en-US" w:eastAsia="zh-CN"/>
        </w:rPr>
        <w:t>5-10</w:t>
      </w:r>
      <w:r>
        <w:rPr>
          <w:rFonts w:hint="eastAsia"/>
        </w:rPr>
        <w:t xml:space="preserve"> 分钟的延迟。这一现象的本质原因在于：传统模型过度依赖最近的历史观测值，当血糖趋势发生逆转时，模型需要等待新的观测信息才能做出响应。</w:t>
      </w:r>
    </w:p>
    <w:p w14:paraId="0A423974">
      <w:pPr>
        <w:pStyle w:val="61"/>
        <w:spacing w:before="312" w:after="312"/>
        <w:ind w:firstLine="480"/>
        <w:rPr>
          <w:rFonts w:hint="eastAsia"/>
        </w:rPr>
      </w:pPr>
      <w:r>
        <w:rPr>
          <w:rFonts w:hint="eastAsia"/>
        </w:rPr>
        <w:t>深度学习的响应优势：相比之下，LSTM 和 Transformer 对血糖变化的响应更为敏锐，预测滞后显著减少。这得益于深度学习模型对序列趋势特征的隐式学习能力——它们能够从历史序列中提取二阶甚至更高阶的动态信息（如加速度、曲率），从而提前感知血糖变化的趋势。Transformer 模型通过自注意力机制，能够直接建模任意两个时间点之间的依赖关系，在捕捉血糖的周期性模式和突变事件方面展现出独特优势。</w:t>
      </w:r>
    </w:p>
    <w:p w14:paraId="1708A53F">
      <w:pPr>
        <w:pStyle w:val="61"/>
        <w:spacing w:before="312" w:after="312"/>
        <w:ind w:firstLine="480"/>
        <w:rPr>
          <w:rFonts w:hint="eastAsia"/>
        </w:rPr>
      </w:pPr>
      <w:r>
        <w:rPr>
          <w:rFonts w:hint="eastAsia"/>
        </w:rPr>
        <w:t>基于上述实验结果，我们进一步分析深度学习模型相较于传统方法的核心优势：</w:t>
      </w:r>
    </w:p>
    <w:p w14:paraId="283EB02E">
      <w:pPr>
        <w:pStyle w:val="61"/>
        <w:spacing w:before="312" w:after="312"/>
        <w:ind w:firstLine="480"/>
        <w:rPr>
          <w:rFonts w:hint="eastAsia"/>
        </w:rPr>
      </w:pPr>
      <w:r>
        <w:rPr>
          <w:rFonts w:hint="eastAsia"/>
        </w:rPr>
        <w:t>1. 自动特征学习能力</w:t>
      </w:r>
    </w:p>
    <w:p w14:paraId="21FC92AB">
      <w:pPr>
        <w:pStyle w:val="61"/>
        <w:spacing w:before="312" w:after="312"/>
        <w:ind w:firstLine="480"/>
        <w:rPr>
          <w:rFonts w:hint="eastAsia"/>
        </w:rPr>
      </w:pPr>
      <w:r>
        <w:rPr>
          <w:rFonts w:hint="eastAsia"/>
        </w:rPr>
        <w:t>传统机器学习方法（如 KNN、随机森林、XGBoost）依赖人工设计的特征（滞后值、统计量、时间编码等），其性能上限受制于特征工程的质量。深度学习模型通过多层非线性变换，能够从原始血糖序列中自动提取层次化的抽象特征，无需领域专家的先验知识干预。</w:t>
      </w:r>
    </w:p>
    <w:p w14:paraId="33B2A01F">
      <w:pPr>
        <w:pStyle w:val="61"/>
        <w:spacing w:before="312" w:after="312"/>
        <w:ind w:firstLine="480"/>
        <w:rPr>
          <w:rFonts w:hint="eastAsia"/>
        </w:rPr>
      </w:pPr>
      <w:r>
        <w:rPr>
          <w:rFonts w:hint="eastAsia"/>
        </w:rPr>
        <w:t>2. 长程依赖建模</w:t>
      </w:r>
    </w:p>
    <w:p w14:paraId="22DD868F">
      <w:pPr>
        <w:pStyle w:val="61"/>
        <w:spacing w:before="312" w:after="312"/>
        <w:ind w:firstLine="480"/>
        <w:rPr>
          <w:rFonts w:hint="eastAsia"/>
        </w:rPr>
      </w:pPr>
      <w:r>
        <w:rPr>
          <w:rFonts w:hint="eastAsia"/>
        </w:rPr>
        <w:t>血糖动态受多种因素影响，包括近期的进食、运动，以及更长时间尺度的生理节律（如黎明现象）。RNN 类模型虽然理论上可以建模任意长度的依赖关系，但实际中受限于梯度消失问题。LSTM 通过门控机制部分缓解了这一问题，而 Transformer 通过自注意力机制实现了  O(1)  的长程依赖建模，能够直接关注历史窗口中任意时刻的信息，不受中间状态传递的信息损耗。</w:t>
      </w:r>
    </w:p>
    <w:p w14:paraId="47014944">
      <w:pPr>
        <w:pStyle w:val="61"/>
        <w:spacing w:before="312" w:after="312"/>
        <w:ind w:firstLine="480"/>
        <w:rPr>
          <w:rFonts w:hint="eastAsia"/>
        </w:rPr>
      </w:pPr>
      <w:r>
        <w:rPr>
          <w:rFonts w:hint="eastAsia"/>
        </w:rPr>
        <w:t>3. 可扩展性与迁移学习潜力</w:t>
      </w:r>
    </w:p>
    <w:p w14:paraId="119AD55F">
      <w:pPr>
        <w:pStyle w:val="61"/>
        <w:spacing w:before="312" w:after="312"/>
        <w:ind w:firstLine="480"/>
        <w:rPr>
          <w:rFonts w:hint="eastAsia"/>
        </w:rPr>
      </w:pPr>
      <w:r>
        <w:rPr>
          <w:rFonts w:hint="eastAsia"/>
        </w:rPr>
        <w:t>深度学习模型的另一核心优势在于其迁移学习能力。在大规模群体数据上预训练的深度模型能够学习到血糖动态的通用规律（如餐后上升模式、运动后下降模式等），这些知识可以通过微调（Fine-tuning）高效地迁移到新的个体上。相比之下，传统机器学习模型缺乏有效的知识迁移机制，为每个新用户都需要从头训练。</w:t>
      </w:r>
    </w:p>
    <w:p w14:paraId="2B14285B">
      <w:pPr>
        <w:pStyle w:val="61"/>
        <w:spacing w:before="312" w:after="312"/>
        <w:ind w:firstLine="480"/>
        <w:rPr>
          <w:rFonts w:hint="eastAsia"/>
        </w:rPr>
      </w:pPr>
      <w:r>
        <w:rPr>
          <w:rFonts w:hint="eastAsia"/>
        </w:rPr>
        <w:t>Transformer 模型在迁移学习方面具有独特优势：其模块化的架构设计（嵌入层、编码器层、预测头）使得可以灵活地选择冻结或微调不同的组件；自注意力权重的可解释性有助于理解模型在新个体上的适应过程；此外，Transformer 在自然语言处理和计算机视觉领域的成功迁移学习实践（如 BERT、ViT）也为其在血糖预测领域的应用提供了理论和实践支撑 [23]。</w:t>
      </w:r>
    </w:p>
    <w:p w14:paraId="7E90E101">
      <w:pPr>
        <w:pStyle w:val="61"/>
        <w:spacing w:before="312" w:after="312"/>
        <w:ind w:firstLine="480"/>
        <w:rPr>
          <w:rFonts w:hint="eastAsia"/>
        </w:rPr>
      </w:pPr>
    </w:p>
    <w:p w14:paraId="21222242">
      <w:pPr>
        <w:pStyle w:val="56"/>
        <w:numPr>
          <w:ilvl w:val="1"/>
          <w:numId w:val="9"/>
        </w:numPr>
      </w:pPr>
      <w:r>
        <w:rPr>
          <w:rFonts w:hint="eastAsia" w:eastAsia="宋体"/>
          <w:lang w:val="en-US" w:eastAsia="zh-CN"/>
        </w:rPr>
        <w:t>Conclusion</w:t>
      </w:r>
    </w:p>
    <w:p w14:paraId="6B47291F">
      <w:pPr>
        <w:pStyle w:val="61"/>
        <w:spacing w:before="312" w:after="312"/>
        <w:ind w:firstLine="480"/>
        <w:rPr>
          <w:rFonts w:hint="eastAsia" w:eastAsia="宋体"/>
          <w:lang w:eastAsia="zh-CN"/>
        </w:rPr>
      </w:pPr>
    </w:p>
    <w:p w14:paraId="43081B26">
      <w:pPr>
        <w:pStyle w:val="61"/>
        <w:spacing w:before="312" w:after="312"/>
        <w:ind w:firstLine="480"/>
        <w:rPr>
          <w:rFonts w:hint="eastAsia" w:eastAsia="宋体"/>
          <w:lang w:eastAsia="zh-CN"/>
        </w:rPr>
      </w:pPr>
      <w:r>
        <w:rPr>
          <w:rFonts w:hint="eastAsia" w:eastAsia="宋体"/>
          <w:lang w:eastAsia="zh-CN"/>
        </w:rPr>
        <w:t>本章系统探讨了血糖预测模型的构建过程，从传统统计学方法到前沿深度学习技术，全面比较了九种预测算法的性能表现。主要研究结论如下：</w:t>
      </w:r>
    </w:p>
    <w:p w14:paraId="233FF5C6">
      <w:pPr>
        <w:pStyle w:val="61"/>
        <w:spacing w:before="312" w:after="312"/>
        <w:ind w:firstLine="480"/>
        <w:rPr>
          <w:rFonts w:hint="eastAsia" w:eastAsia="宋体"/>
          <w:lang w:eastAsia="zh-CN"/>
        </w:rPr>
      </w:pPr>
      <w:r>
        <w:rPr>
          <w:rFonts w:hint="eastAsia" w:eastAsia="宋体"/>
          <w:lang w:eastAsia="zh-CN"/>
        </w:rPr>
        <w:t>1. 实验体系的完备性</w:t>
      </w:r>
    </w:p>
    <w:p w14:paraId="450C3384">
      <w:pPr>
        <w:pStyle w:val="61"/>
        <w:spacing w:before="312" w:after="312"/>
        <w:ind w:firstLine="480"/>
        <w:rPr>
          <w:rFonts w:hint="eastAsia" w:eastAsia="宋体"/>
          <w:lang w:eastAsia="zh-CN"/>
        </w:rPr>
      </w:pPr>
      <w:r>
        <w:rPr>
          <w:rFonts w:hint="eastAsia" w:eastAsia="宋体"/>
          <w:lang w:eastAsia="zh-CN"/>
        </w:rPr>
        <w:t>本研究建立了标准化的血糖预测评估框架：以 60 分钟历史序列作为输入，预测未来 30 分钟的血糖值。评估体系不仅包含传统的统计指标（MAE、RMSE、MAPE），还引入了临床导向的 Clarke 误差网格分析，确保模型评估兼顾数值精度与临床安全性。</w:t>
      </w:r>
    </w:p>
    <w:p w14:paraId="723FAF12">
      <w:pPr>
        <w:pStyle w:val="61"/>
        <w:spacing w:before="312" w:after="312"/>
        <w:ind w:firstLine="480"/>
        <w:rPr>
          <w:rFonts w:hint="eastAsia" w:eastAsia="宋体"/>
          <w:lang w:eastAsia="zh-CN"/>
        </w:rPr>
      </w:pPr>
      <w:r>
        <w:rPr>
          <w:rFonts w:hint="eastAsia" w:eastAsia="宋体"/>
          <w:lang w:eastAsia="zh-CN"/>
        </w:rPr>
        <w:t>2. 深度学习模型的显著优势</w:t>
      </w:r>
    </w:p>
    <w:p w14:paraId="50EFDC4C">
      <w:pPr>
        <w:pStyle w:val="61"/>
        <w:spacing w:before="312" w:after="312"/>
        <w:ind w:firstLine="480"/>
        <w:rPr>
          <w:rFonts w:hint="eastAsia" w:eastAsia="宋体"/>
          <w:lang w:eastAsia="zh-CN"/>
        </w:rPr>
      </w:pPr>
      <w:r>
        <w:rPr>
          <w:rFonts w:hint="eastAsia" w:eastAsia="宋体"/>
          <w:lang w:eastAsia="zh-CN"/>
        </w:rPr>
        <w:t>实验结果明确证实，深度学习模型在血糖预测任务中优于传统方法。LSTM 和 Transformer 等深度序列模型在预测精度、响应速度和临床安全性方面取得了很好的表现。核心优势体现在：</w:t>
      </w:r>
    </w:p>
    <w:p w14:paraId="684C3292">
      <w:pPr>
        <w:pStyle w:val="61"/>
        <w:spacing w:before="312" w:after="312"/>
        <w:ind w:firstLine="480"/>
        <w:rPr>
          <w:rFonts w:hint="eastAsia" w:eastAsia="宋体"/>
          <w:lang w:eastAsia="zh-CN"/>
        </w:rPr>
      </w:pPr>
      <w:r>
        <w:rPr>
          <w:rFonts w:hint="eastAsia" w:eastAsia="宋体"/>
          <w:lang w:eastAsia="zh-CN"/>
        </w:rPr>
        <w:t>- 自动特征学习：无需人工设计复杂的时序特征，端到端学习血糖动态的抽象表示</w:t>
      </w:r>
    </w:p>
    <w:p w14:paraId="1A661B61">
      <w:pPr>
        <w:pStyle w:val="61"/>
        <w:spacing w:before="312" w:after="312"/>
        <w:ind w:firstLine="480"/>
        <w:rPr>
          <w:rFonts w:hint="eastAsia" w:eastAsia="宋体"/>
          <w:lang w:eastAsia="zh-CN"/>
        </w:rPr>
      </w:pPr>
      <w:r>
        <w:rPr>
          <w:rFonts w:hint="eastAsia" w:eastAsia="宋体"/>
          <w:lang w:eastAsia="zh-CN"/>
        </w:rPr>
        <w:t>- 长程依赖建模：有效捕捉血糖变化的周期性模式和趋势信息</w:t>
      </w:r>
    </w:p>
    <w:p w14:paraId="12CECA84">
      <w:pPr>
        <w:pStyle w:val="61"/>
        <w:spacing w:before="312" w:after="312"/>
        <w:ind w:firstLine="480"/>
        <w:rPr>
          <w:rFonts w:hint="eastAsia" w:eastAsia="宋体"/>
          <w:lang w:eastAsia="zh-CN"/>
        </w:rPr>
      </w:pPr>
      <w:r>
        <w:rPr>
          <w:rFonts w:hint="eastAsia" w:eastAsia="宋体"/>
          <w:lang w:eastAsia="zh-CN"/>
        </w:rPr>
        <w:t>- 滞后问题改善：显著减少传统模型在血糖快速变化时的预测延迟</w:t>
      </w:r>
    </w:p>
    <w:p w14:paraId="4298FAE9">
      <w:pPr>
        <w:pStyle w:val="61"/>
        <w:spacing w:before="312" w:after="312"/>
        <w:ind w:firstLine="480"/>
        <w:rPr>
          <w:rFonts w:hint="eastAsia" w:eastAsia="宋体"/>
          <w:lang w:eastAsia="zh-CN"/>
        </w:rPr>
      </w:pPr>
      <w:r>
        <w:rPr>
          <w:rFonts w:hint="eastAsia" w:eastAsia="宋体"/>
          <w:lang w:eastAsia="zh-CN"/>
        </w:rPr>
        <w:t>3. Transformer 模型的独特价值</w:t>
      </w:r>
    </w:p>
    <w:p w14:paraId="5120A042">
      <w:pPr>
        <w:pStyle w:val="61"/>
        <w:spacing w:before="312" w:after="312"/>
        <w:ind w:firstLine="480"/>
        <w:rPr>
          <w:rFonts w:hint="eastAsia" w:eastAsia="宋体"/>
          <w:lang w:eastAsia="zh-CN"/>
        </w:rPr>
      </w:pPr>
      <w:r>
        <w:rPr>
          <w:rFonts w:hint="eastAsia" w:eastAsia="宋体"/>
          <w:lang w:eastAsia="zh-CN"/>
        </w:rPr>
        <w:t>在深度学习模型中，Transformer 展现出与 LSTM 相当的预测性能，同时具备以下独特优势：</w:t>
      </w:r>
    </w:p>
    <w:p w14:paraId="7A1A6644">
      <w:pPr>
        <w:pStyle w:val="61"/>
        <w:spacing w:before="312" w:after="312"/>
        <w:ind w:firstLine="480"/>
        <w:rPr>
          <w:rFonts w:hint="eastAsia" w:eastAsia="宋体"/>
          <w:lang w:eastAsia="zh-CN"/>
        </w:rPr>
      </w:pPr>
      <w:r>
        <w:rPr>
          <w:rFonts w:hint="eastAsia" w:eastAsia="宋体"/>
          <w:lang w:eastAsia="zh-CN"/>
        </w:rPr>
        <w:t>- 全局依赖建模：自注意力机制实现  O(1)  的长程依赖，不受序列长度限制</w:t>
      </w:r>
    </w:p>
    <w:p w14:paraId="64FDE885">
      <w:pPr>
        <w:pStyle w:val="61"/>
        <w:spacing w:before="312" w:after="312"/>
        <w:ind w:firstLine="480"/>
        <w:rPr>
          <w:rFonts w:hint="eastAsia" w:eastAsia="宋体"/>
          <w:lang w:eastAsia="zh-CN"/>
        </w:rPr>
      </w:pPr>
      <w:r>
        <w:rPr>
          <w:rFonts w:hint="eastAsia" w:eastAsia="宋体"/>
          <w:lang w:eastAsia="zh-CN"/>
        </w:rPr>
        <w:t>- 并行计算效率：摒弃循环结构，训练和推理速度更快</w:t>
      </w:r>
    </w:p>
    <w:p w14:paraId="18317065">
      <w:pPr>
        <w:pStyle w:val="61"/>
        <w:spacing w:before="312" w:after="312"/>
        <w:ind w:firstLine="480"/>
        <w:rPr>
          <w:rFonts w:hint="eastAsia" w:eastAsia="宋体"/>
          <w:lang w:eastAsia="zh-CN"/>
        </w:rPr>
      </w:pPr>
      <w:r>
        <w:rPr>
          <w:rFonts w:hint="eastAsia" w:eastAsia="宋体"/>
          <w:lang w:eastAsia="zh-CN"/>
        </w:rPr>
        <w:t>- 可解释性：注意力权重可视化有助于理解模型决策依据</w:t>
      </w:r>
    </w:p>
    <w:p w14:paraId="285E7005">
      <w:pPr>
        <w:pStyle w:val="61"/>
        <w:spacing w:before="312" w:after="312"/>
        <w:ind w:firstLine="480"/>
        <w:rPr>
          <w:rFonts w:hint="eastAsia" w:eastAsia="宋体"/>
          <w:lang w:eastAsia="zh-CN"/>
        </w:rPr>
      </w:pPr>
      <w:r>
        <w:rPr>
          <w:rFonts w:hint="eastAsia" w:eastAsia="宋体"/>
          <w:lang w:eastAsia="zh-CN"/>
        </w:rPr>
        <w:t>- 迁移学习友好：模块化架构设计便于知识迁移和个性化微调</w:t>
      </w:r>
    </w:p>
    <w:p w14:paraId="109FD31C">
      <w:pPr>
        <w:pStyle w:val="61"/>
        <w:spacing w:before="312" w:after="312"/>
        <w:ind w:firstLine="480"/>
        <w:rPr>
          <w:rFonts w:hint="eastAsia" w:eastAsia="宋体"/>
          <w:lang w:eastAsia="zh-CN"/>
        </w:rPr>
      </w:pPr>
      <w:r>
        <w:rPr>
          <w:rFonts w:hint="eastAsia" w:eastAsia="宋体"/>
          <w:lang w:eastAsia="zh-CN"/>
        </w:rPr>
        <w:t>4. 通用模型的局限性与个性化需求</w:t>
      </w:r>
    </w:p>
    <w:p w14:paraId="26828EFD">
      <w:pPr>
        <w:pStyle w:val="61"/>
        <w:spacing w:before="312" w:after="312"/>
        <w:ind w:firstLine="480"/>
        <w:rPr>
          <w:rFonts w:hint="eastAsia" w:eastAsia="宋体"/>
          <w:lang w:eastAsia="zh-CN"/>
        </w:rPr>
      </w:pPr>
      <w:r>
        <w:rPr>
          <w:rFonts w:hint="eastAsia" w:eastAsia="宋体"/>
          <w:lang w:eastAsia="zh-CN"/>
        </w:rPr>
        <w:t>尽管深度学习模型整体表现优异，实验中仍观察到部分受试者的预测效果欠佳。这一现象揭示了基于群体数据训练的通用模型（General Model）的固有局限：不同个体在胰岛素敏感性、代谢速率、饮食习惯等方面存在显著差异，单一的通用模型难以完美适配所有个体的独特生理模式。</w:t>
      </w:r>
    </w:p>
    <w:p w14:paraId="66A1A6D2">
      <w:pPr>
        <w:pStyle w:val="61"/>
        <w:spacing w:before="312" w:after="312"/>
        <w:ind w:firstLine="480"/>
        <w:rPr>
          <w:rFonts w:hint="eastAsia" w:eastAsia="宋体"/>
          <w:lang w:eastAsia="zh-CN"/>
        </w:rPr>
      </w:pPr>
      <w:r>
        <w:rPr>
          <w:rFonts w:hint="eastAsia" w:eastAsia="宋体"/>
          <w:lang w:eastAsia="zh-CN"/>
        </w:rPr>
        <w:t>5. 研究展望：迁移学习与个性化预测</w:t>
      </w:r>
    </w:p>
    <w:p w14:paraId="12FD861A">
      <w:pPr>
        <w:pStyle w:val="61"/>
        <w:spacing w:before="312" w:after="312"/>
        <w:ind w:firstLine="480"/>
        <w:rPr>
          <w:rFonts w:hint="eastAsia" w:eastAsia="宋体"/>
          <w:lang w:eastAsia="zh-CN"/>
        </w:rPr>
      </w:pPr>
      <w:r>
        <w:rPr>
          <w:rFonts w:hint="eastAsia" w:eastAsia="宋体"/>
          <w:lang w:eastAsia="zh-CN"/>
        </w:rPr>
        <w:t>上述分析表明，实现高精度的个性化血糖预测需要在通用模型的基础上进行个体适配。迁移学习提供了一种高效的解决方案：利用在大规模群体数据上预训练的模型作为知识载体，通过少量个体数据进行微调，快速适应新用户的生理特征。</w:t>
      </w:r>
    </w:p>
    <w:p w14:paraId="3A4DFFF4">
      <w:pPr>
        <w:pStyle w:val="61"/>
        <w:spacing w:before="312" w:after="312"/>
        <w:ind w:firstLine="480"/>
        <w:rPr>
          <w:rFonts w:hint="eastAsia" w:eastAsia="宋体"/>
          <w:lang w:eastAsia="zh-CN"/>
        </w:rPr>
      </w:pPr>
      <w:r>
        <w:rPr>
          <w:rFonts w:hint="eastAsia" w:eastAsia="宋体"/>
          <w:lang w:eastAsia="zh-CN"/>
        </w:rPr>
        <w:t>考虑到 Transformer 模型在本章实验中展现的优异性能及其架构优势，本研究选择 Transformer 作为迁移学习的基础模型。下一章将深入探讨如何利用迁移学习技术，将 Transformer 预训练模型的通用知识高效迁移到特定个体，实现"千人千面"的精准个性化血糖预测。</w:t>
      </w:r>
    </w:p>
    <w:p w14:paraId="5F8F9C3F">
      <w:pPr>
        <w:pStyle w:val="61"/>
        <w:spacing w:before="312" w:after="312"/>
        <w:ind w:firstLine="480"/>
        <w:rPr>
          <w:rFonts w:hint="eastAsia" w:eastAsia="宋体"/>
          <w:lang w:eastAsia="zh-CN"/>
        </w:rPr>
      </w:pPr>
    </w:p>
    <w:p w14:paraId="132E600F">
      <w:pPr>
        <w:pStyle w:val="61"/>
        <w:spacing w:before="312" w:after="312"/>
        <w:ind w:firstLine="480"/>
        <w:rPr>
          <w:rFonts w:hint="eastAsia" w:eastAsia="宋体"/>
          <w:lang w:eastAsia="zh-CN"/>
        </w:rPr>
        <w:sectPr>
          <w:pgSz w:w="11906" w:h="16838"/>
          <w:pgMar w:top="1418" w:right="1985" w:bottom="1418" w:left="1985" w:header="851" w:footer="992" w:gutter="0"/>
          <w:cols w:space="425" w:num="1"/>
          <w:titlePg/>
          <w:docGrid w:type="lines" w:linePitch="312" w:charSpace="0"/>
        </w:sectPr>
      </w:pPr>
    </w:p>
    <w:bookmarkEnd w:id="1"/>
    <w:p w14:paraId="57B8054A">
      <w:pPr>
        <w:pStyle w:val="55"/>
        <w:numPr>
          <w:ilvl w:val="0"/>
          <w:numId w:val="9"/>
        </w:numPr>
        <w:wordWrap w:val="0"/>
        <w:rPr>
          <w:u w:val="none"/>
        </w:rPr>
      </w:pPr>
      <w:r>
        <w:rPr>
          <w:u w:val="none"/>
        </w:rPr>
        <w:br w:type="textWrapping"/>
      </w:r>
      <w:r>
        <w:rPr>
          <w:rFonts w:hint="eastAsia" w:eastAsia="宋体"/>
          <w:u w:val="none"/>
          <w:lang w:val="en-US" w:eastAsia="zh-CN"/>
        </w:rPr>
        <w:t>Tansfer Learning</w:t>
      </w:r>
    </w:p>
    <w:p w14:paraId="7F537A23">
      <w:pPr>
        <w:pStyle w:val="56"/>
        <w:numPr>
          <w:ilvl w:val="1"/>
          <w:numId w:val="9"/>
        </w:numPr>
        <w:rPr>
          <w:rFonts w:hint="eastAsia"/>
          <w:lang w:val="en-GB"/>
        </w:rPr>
      </w:pPr>
      <w:r>
        <w:rPr>
          <w:rFonts w:hint="eastAsia" w:eastAsia="宋体"/>
          <w:lang w:val="en-US" w:eastAsia="zh-CN"/>
        </w:rPr>
        <w:t>Introduction</w:t>
      </w:r>
    </w:p>
    <w:p w14:paraId="57A54710">
      <w:pPr>
        <w:pStyle w:val="61"/>
        <w:spacing w:before="312" w:after="312"/>
        <w:ind w:firstLine="480"/>
        <w:rPr>
          <w:rFonts w:hint="eastAsia" w:eastAsia="宋体"/>
          <w:lang w:eastAsia="zh-CN"/>
        </w:rPr>
      </w:pPr>
      <w:r>
        <w:rPr>
          <w:rFonts w:hint="eastAsia" w:eastAsia="宋体"/>
          <w:lang w:eastAsia="zh-CN"/>
        </w:rPr>
        <w:t>上一章的实验结果表明，虽然基于 Transformer 的通用模型在群体层面上表现优异，但在部分个体上的预测精度仍有待提高。这种性能差异主要源于个体间的生理</w:t>
      </w:r>
      <w:r>
        <w:rPr>
          <w:rFonts w:hint="eastAsia" w:eastAsia="宋体"/>
          <w:lang w:val="en-US" w:eastAsia="zh-CN"/>
        </w:rPr>
        <w:t>差异</w:t>
      </w:r>
      <w:r>
        <w:rPr>
          <w:rFonts w:hint="eastAsia" w:eastAsia="宋体"/>
          <w:lang w:eastAsia="zh-CN"/>
        </w:rPr>
        <w:t>：不同患者的血糖代谢模式受其独特的生理参数（如胰岛素敏感性、胃排空速率）和生活习惯（饮食结构、运动频率）影响显著 [22][24]。</w:t>
      </w:r>
    </w:p>
    <w:p w14:paraId="079C058F">
      <w:pPr>
        <w:pStyle w:val="61"/>
        <w:spacing w:before="312" w:after="312"/>
        <w:ind w:firstLine="480"/>
        <w:rPr>
          <w:rFonts w:hint="eastAsia" w:eastAsia="宋体"/>
          <w:lang w:eastAsia="zh-CN"/>
        </w:rPr>
      </w:pPr>
      <w:r>
        <w:rPr>
          <w:rFonts w:hint="eastAsia" w:eastAsia="宋体"/>
          <w:lang w:eastAsia="zh-CN"/>
        </w:rPr>
        <w:t>通用模型在训练时尝试拟合所有受试者的平均分布，这往往会导致一种“平均化”的妥协，即为了降低整体的平均误差而牺牲了对特定高变异性个体的捕捉能力。针对这一问题，传统的解决方案是为每个新用户收集大量数据并重新训练一个独立模型（Isolated Training）。然而，对于新入组的患者（Cold Start Problem），往往缺乏足够的历史数据来训练复杂的深度学习模型；即使对于长期用户，从头训练深度神经网络的高计算成本也使其在移动端或可穿戴设备上的实时部署变得具有挑战性。</w:t>
      </w:r>
    </w:p>
    <w:p w14:paraId="6C08D75F">
      <w:pPr>
        <w:pStyle w:val="61"/>
        <w:spacing w:before="312" w:after="312"/>
        <w:ind w:firstLine="480"/>
        <w:rPr>
          <w:rFonts w:hint="eastAsia" w:eastAsia="宋体"/>
          <w:lang w:eastAsia="zh-CN"/>
        </w:rPr>
      </w:pPr>
      <w:r>
        <w:rPr>
          <w:rFonts w:hint="eastAsia" w:eastAsia="宋体"/>
          <w:lang w:eastAsia="zh-CN"/>
        </w:rPr>
        <w:t>迁移学习（Transfer Learning）为解决上述“数据稀缺”与“计算昂贵”的矛盾提供了理想的途径。其核心思想是：利用在大规模源域数据集（Source Domain）上学习到的通用知识（如血糖对碳水化合物响应的基本生理规律），来辅助目标域（Target Domain）的学习 [13][51]。通过一种“预训练-微调”（Pre-train -&gt; Fine-tune）的范式，我们可以在只需少量个体数据（Few-shot Learning）的情况下，快速将通用模型适配为个性化模型。</w:t>
      </w:r>
    </w:p>
    <w:p w14:paraId="39E7F2DF">
      <w:pPr>
        <w:pStyle w:val="61"/>
        <w:spacing w:before="312" w:after="312"/>
        <w:ind w:firstLine="480"/>
        <w:rPr>
          <w:rFonts w:hint="default" w:eastAsia="宋体"/>
          <w:lang w:val="en-US" w:eastAsia="zh-CN"/>
        </w:rPr>
        <w:sectPr>
          <w:pgSz w:w="11906" w:h="16838"/>
          <w:pgMar w:top="1418" w:right="1985" w:bottom="1418" w:left="1985" w:header="851" w:footer="992" w:gutter="0"/>
          <w:cols w:space="425" w:num="1"/>
          <w:titlePg/>
          <w:docGrid w:type="lines" w:linePitch="312" w:charSpace="0"/>
        </w:sectPr>
      </w:pPr>
      <w:r>
        <w:rPr>
          <w:rFonts w:hint="eastAsia" w:eastAsia="宋体"/>
          <w:lang w:eastAsia="zh-CN"/>
        </w:rPr>
        <w:t>本章将深入探讨基于 Transformer 的个性化迁移学习策略。具体而言，我们将选取上一章中</w:t>
      </w:r>
      <w:r>
        <w:rPr>
          <w:rFonts w:hint="eastAsia" w:eastAsia="宋体"/>
          <w:lang w:val="en-US" w:eastAsia="zh-CN"/>
        </w:rPr>
        <w:t>保留</w:t>
      </w:r>
      <w:r>
        <w:rPr>
          <w:rFonts w:hint="eastAsia" w:eastAsia="宋体"/>
          <w:lang w:eastAsia="zh-CN"/>
        </w:rPr>
        <w:t>集</w:t>
      </w:r>
      <w:r>
        <w:rPr>
          <w:rFonts w:hint="eastAsia" w:eastAsia="宋体"/>
          <w:lang w:val="en-US" w:eastAsia="zh-CN"/>
        </w:rPr>
        <w:t>中</w:t>
      </w:r>
      <w:r>
        <w:rPr>
          <w:rFonts w:hint="eastAsia" w:eastAsia="宋体"/>
          <w:lang w:eastAsia="zh-CN"/>
        </w:rPr>
        <w:t>的典型受试者（ID 306）作为研究对象，验证该策略在少样本场景下的有效</w:t>
      </w:r>
      <w:r>
        <w:rPr>
          <w:rFonts w:hint="eastAsia" w:eastAsia="宋体"/>
          <w:lang w:val="en-US" w:eastAsia="zh-CN"/>
        </w:rPr>
        <w:t>性。</w:t>
      </w:r>
    </w:p>
    <w:p w14:paraId="17991C5F">
      <w:pPr>
        <w:pStyle w:val="61"/>
        <w:spacing w:before="312" w:after="312"/>
        <w:ind w:left="0" w:leftChars="0" w:firstLine="0" w:firstLineChars="0"/>
        <w:rPr>
          <w:rFonts w:hint="eastAsia"/>
          <w:lang w:val="en-GB"/>
        </w:rPr>
      </w:pPr>
    </w:p>
    <w:p w14:paraId="74723538">
      <w:pPr>
        <w:pStyle w:val="56"/>
        <w:numPr>
          <w:ilvl w:val="1"/>
          <w:numId w:val="9"/>
        </w:numPr>
      </w:pPr>
      <w:r>
        <w:rPr>
          <w:rFonts w:hint="eastAsia" w:eastAsia="宋体"/>
          <w:lang w:val="en-US" w:eastAsia="zh-CN"/>
        </w:rPr>
        <w:t>Transfer Strategy</w:t>
      </w:r>
    </w:p>
    <w:p w14:paraId="60F4BE7D">
      <w:pPr>
        <w:pStyle w:val="61"/>
        <w:spacing w:before="312" w:after="312"/>
        <w:ind w:firstLine="480"/>
        <w:rPr>
          <w:rFonts w:hint="default" w:eastAsia="宋体"/>
          <w:lang w:val="en-US" w:eastAsia="zh-CN"/>
        </w:rPr>
      </w:pPr>
      <w:bookmarkStart w:id="24" w:name="_Ref195103107"/>
      <w:r>
        <w:rPr>
          <w:rFonts w:hint="eastAsia" w:eastAsia="宋体"/>
          <w:lang w:val="en-US" w:eastAsia="zh-CN"/>
        </w:rPr>
        <w:t xml:space="preserve">在血糖预测任务中，我们可以将不同受试者的数据视为不同的分布域。设源域数据（群体数据）为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i=1</m:t>
            </m:r>
            <m:ctrlPr>
              <w:rPr>
                <w:rFonts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ctrlPr>
              <w:rPr>
                <w:rFonts w:hint="default" w:ascii="Cambria Math" w:hAnsi="Cambria Math" w:eastAsia="宋体"/>
                <w:sz w:val="24"/>
              </w:rPr>
            </m:ctrlPr>
          </m:sup>
        </m:sSubSup>
      </m:oMath>
      <w:r>
        <w:rPr>
          <w:rFonts w:hint="eastAsia" w:eastAsia="宋体"/>
          <w:lang w:val="en-US" w:eastAsia="zh-CN"/>
        </w:rPr>
        <w:t xml:space="preserve">，目标域数据（特定个体数据）为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j=1</m:t>
            </m:r>
            <m:ctrlPr>
              <w:rPr>
                <w:rFonts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p>
        </m:sSubSup>
      </m:oMath>
      <w:r>
        <w:rPr>
          <w:rFonts w:hint="eastAsia" w:eastAsia="宋体"/>
          <w:lang w:val="en-US" w:eastAsia="zh-CN"/>
        </w:rPr>
        <w:t xml:space="preserve">。由于生理差异，尽管特征空间相同（都是历史血糖序列），但其边缘分布和条件分布存在偏移，即 </w:t>
      </w:r>
      <m:oMath>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r>
        <w:rPr>
          <w:rFonts w:hint="eastAsia" w:eastAsia="宋体"/>
          <w:lang w:val="en-US" w:eastAsia="zh-CN"/>
        </w:rPr>
        <w:t xml:space="preserve"> 且  </w:t>
      </w:r>
      <m:oMath>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eastAsia="宋体"/>
          <w:i w:val="0"/>
          <w:sz w:val="24"/>
          <w:lang w:val="en-US" w:eastAsia="zh-CN"/>
        </w:rPr>
        <w:t xml:space="preserve"> .</w:t>
      </w:r>
    </w:p>
    <w:p w14:paraId="33A7D0AF">
      <w:pPr>
        <w:pStyle w:val="61"/>
        <w:spacing w:before="312" w:after="312"/>
        <w:ind w:firstLine="480"/>
        <w:rPr>
          <w:rFonts w:hint="eastAsia" w:eastAsia="宋体"/>
          <w:lang w:val="en-US" w:eastAsia="zh-CN"/>
        </w:rPr>
      </w:pPr>
      <w:r>
        <w:rPr>
          <w:rFonts w:hint="eastAsia" w:eastAsia="宋体"/>
          <w:lang w:val="en-US" w:eastAsia="zh-CN"/>
        </w:rPr>
        <w:t xml:space="preserve">直接将源域模型 </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hint="eastAsia" w:eastAsia="宋体"/>
          <w:lang w:val="en-US" w:eastAsia="zh-CN"/>
        </w:rPr>
        <w:t xml:space="preserve"> 应用于目标域（即 Zero-shot 预测）通常会导致性能下降（Negative Transfer）。我们的目标是利用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hint="eastAsia" w:eastAsia="宋体"/>
          <w:lang w:val="en-US" w:eastAsia="zh-CN"/>
        </w:rPr>
        <w:t xml:space="preserve"> 和极少量的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eastAsia="宋体"/>
          <w:lang w:val="en-US" w:eastAsia="zh-CN"/>
        </w:rPr>
        <w:t xml:space="preserve">（即  </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hint="eastAsia" w:eastAsia="宋体"/>
          <w:lang w:val="en-US" w:eastAsia="zh-CN"/>
        </w:rPr>
        <w:t xml:space="preserve">），找到一个最优的目标函数 </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eastAsia="宋体"/>
          <w:lang w:val="en-US" w:eastAsia="zh-CN"/>
        </w:rPr>
        <w:t>，使得在目标域测试集上的经验风险最小化。</w:t>
      </w:r>
    </w:p>
    <w:p w14:paraId="6C11CFAD">
      <w:pPr>
        <w:pStyle w:val="61"/>
        <w:spacing w:before="312" w:after="312"/>
        <w:ind w:firstLine="480"/>
        <w:rPr>
          <w:rFonts w:hint="eastAsia" w:eastAsia="宋体"/>
          <w:lang w:val="en-US" w:eastAsia="zh-CN"/>
        </w:rPr>
      </w:pPr>
      <w:r>
        <w:rPr>
          <w:rFonts w:hint="eastAsia" w:eastAsia="宋体"/>
          <w:lang w:val="en-US" w:eastAsia="zh-CN"/>
        </w:rPr>
        <w:t>为了在小样本下防止过拟合（Overfitting）并保留通用知识，本研究采用“冻结编码器”策略。Transformer 模型在本架构中被解耦为两部分：</w:t>
      </w:r>
    </w:p>
    <w:p w14:paraId="51C673A8">
      <w:pPr>
        <w:pStyle w:val="61"/>
        <w:spacing w:before="312" w:after="312"/>
        <w:ind w:firstLine="480"/>
        <w:rPr>
          <w:rFonts w:hint="eastAsia" w:eastAsia="宋体"/>
          <w:lang w:val="en-US" w:eastAsia="zh-CN"/>
        </w:rPr>
      </w:pPr>
      <w:r>
        <w:rPr>
          <w:rFonts w:hint="eastAsia" w:eastAsia="宋体"/>
          <w:lang w:val="en-US" w:eastAsia="zh-CN"/>
        </w:rPr>
        <w:t>1.  特征提取器（Encoder）：由多层自注意力机制（Self-Attention）和前馈网络（Feed Forward Network）组成，负责将原始时序输入映射到高维语义特征空间。我们假设这部分学习到的是通用的血糖动态规律（Physiological Dynamics），具有较强的跨个体复用性。</w:t>
      </w:r>
    </w:p>
    <w:p w14:paraId="4E96B07A">
      <w:pPr>
        <w:pStyle w:val="61"/>
        <w:spacing w:before="312" w:after="312"/>
        <w:ind w:firstLine="480"/>
        <w:rPr>
          <w:rFonts w:hint="eastAsia" w:eastAsia="宋体"/>
          <w:lang w:val="en-US" w:eastAsia="zh-CN"/>
        </w:rPr>
      </w:pPr>
      <w:r>
        <w:rPr>
          <w:rFonts w:hint="eastAsia" w:eastAsia="宋体"/>
          <w:lang w:val="en-US" w:eastAsia="zh-CN"/>
        </w:rPr>
        <w:t>2.  回归预测头（Head）：由全连接层（Fully Connected Layer）组成，负责将高维特征映射到具体的未来血糖值。这部分参数更依赖于个体的绝对血糖水平和具体的代谢参数（如基础血糖值偏置）。</w:t>
      </w:r>
    </w:p>
    <w:p w14:paraId="2402E4D8">
      <w:pPr>
        <w:pStyle w:val="61"/>
        <w:spacing w:before="312" w:after="312"/>
        <w:ind w:firstLine="480"/>
        <w:rPr>
          <w:rFonts w:hint="eastAsia" w:eastAsia="宋体"/>
          <w:lang w:val="en-US" w:eastAsia="zh-CN"/>
        </w:rPr>
      </w:pPr>
      <w:r>
        <w:rPr>
          <w:rFonts w:hint="eastAsia" w:eastAsia="宋体"/>
          <w:lang w:val="en-US" w:eastAsia="zh-CN"/>
        </w:rPr>
        <w:t>在迁移学习过程中，我们采取以下具体步骤：</w:t>
      </w:r>
    </w:p>
    <w:p w14:paraId="572ADA44">
      <w:pPr>
        <w:pStyle w:val="61"/>
        <w:spacing w:before="312" w:after="312"/>
        <w:ind w:firstLine="480"/>
        <w:rPr>
          <w:rFonts w:hint="eastAsia" w:eastAsia="宋体"/>
          <w:lang w:val="en-US" w:eastAsia="zh-CN"/>
        </w:rPr>
      </w:pPr>
      <w:r>
        <w:rPr>
          <w:rFonts w:hint="eastAsia" w:eastAsia="宋体"/>
          <w:lang w:val="en-US" w:eastAsia="zh-CN"/>
        </w:rPr>
        <w:t xml:space="preserve">1.  预训练阶段（Pre-training）：在包含所有训练集受试者的大规模数据集上从头训练Transformer模型，得到参数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Enc</m:t>
            </m:r>
            <m:ctrlPr>
              <w:rPr>
                <w:rFonts w:ascii="Cambria Math" w:hAnsi="Cambria Math" w:eastAsia="宋体"/>
                <w:sz w:val="24"/>
              </w:rPr>
            </m:ctrlPr>
          </m:sub>
        </m:sSub>
      </m:oMath>
      <w:r>
        <w:rPr>
          <w:rFonts w:hint="eastAsia" w:eastAsia="宋体"/>
          <w:lang w:val="en-US" w:eastAsia="zh-CN"/>
        </w:rPr>
        <w:t xml:space="preserve"> 和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Head</m:t>
            </m:r>
            <m:ctrlPr>
              <w:rPr>
                <w:rFonts w:ascii="Cambria Math" w:hAnsi="Cambria Math" w:eastAsia="宋体"/>
                <w:sz w:val="24"/>
              </w:rPr>
            </m:ctrlPr>
          </m:sub>
        </m:sSub>
      </m:oMath>
      <w:r>
        <w:rPr>
          <w:rFonts w:hint="eastAsia" w:eastAsia="宋体"/>
          <w:lang w:val="en-US" w:eastAsia="zh-CN"/>
        </w:rPr>
        <w:t>。</w:t>
      </w:r>
    </w:p>
    <w:p w14:paraId="4C771662">
      <w:pPr>
        <w:pStyle w:val="61"/>
        <w:spacing w:before="312" w:after="312"/>
        <w:ind w:firstLine="480"/>
        <w:rPr>
          <w:rFonts w:hint="eastAsia" w:eastAsia="宋体"/>
          <w:lang w:val="en-US" w:eastAsia="zh-CN"/>
        </w:rPr>
      </w:pPr>
      <w:r>
        <w:rPr>
          <w:rFonts w:hint="eastAsia" w:eastAsia="宋体"/>
          <w:lang w:val="en-US" w:eastAsia="zh-CN"/>
        </w:rPr>
        <w:t xml:space="preserve">2.  微调阶段（Fine-tuning）：对于新个体，加载预训练参数。冻结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Enc</m:t>
            </m:r>
            <m:ctrlPr>
              <w:rPr>
                <w:rFonts w:ascii="Cambria Math" w:hAnsi="Cambria Math" w:eastAsia="宋体"/>
                <w:sz w:val="24"/>
              </w:rPr>
            </m:ctrlPr>
          </m:sub>
        </m:sSub>
      </m:oMath>
      <w:r>
        <w:rPr>
          <w:rFonts w:hint="eastAsia" w:eastAsia="宋体"/>
          <w:lang w:val="en-US" w:eastAsia="zh-CN"/>
        </w:rPr>
        <w:t xml:space="preserve">（即在反向传播中不更新编码器的梯度），仅利用该个体的少量校准数据（Calibration Data）更新回归头参数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Head</m:t>
            </m:r>
            <m:ctrlPr>
              <w:rPr>
                <w:rFonts w:ascii="Cambria Math" w:hAnsi="Cambria Math" w:eastAsia="宋体"/>
                <w:sz w:val="24"/>
              </w:rPr>
            </m:ctrlPr>
          </m:sub>
        </m:sSub>
      </m:oMath>
      <w:r>
        <w:rPr>
          <w:rFonts w:hint="eastAsia" w:eastAsia="宋体"/>
          <w:lang w:val="en-US" w:eastAsia="zh-CN"/>
        </w:rPr>
        <w:t>。</w:t>
      </w:r>
    </w:p>
    <w:p w14:paraId="7916F4CB">
      <w:pPr>
        <w:pStyle w:val="61"/>
        <w:spacing w:before="312" w:after="312"/>
        <w:ind w:firstLine="480"/>
        <w:rPr>
          <w:rFonts w:hint="eastAsia" w:eastAsia="宋体"/>
          <w:lang w:val="en-US" w:eastAsia="zh-CN"/>
        </w:rPr>
      </w:pPr>
      <w:r>
        <w:rPr>
          <w:rFonts w:hint="eastAsia" w:eastAsia="宋体"/>
          <w:lang w:val="en-US" w:eastAsia="zh-CN"/>
        </w:rPr>
        <w:t>这种策略的优势在于：</w:t>
      </w:r>
    </w:p>
    <w:p w14:paraId="759ABC70">
      <w:pPr>
        <w:pStyle w:val="61"/>
        <w:spacing w:before="312" w:after="312"/>
        <w:ind w:firstLine="480"/>
        <w:rPr>
          <w:rFonts w:hint="eastAsia" w:eastAsia="宋体"/>
          <w:lang w:val="en-US" w:eastAsia="zh-CN"/>
        </w:rPr>
      </w:pPr>
      <w:r>
        <w:rPr>
          <w:rFonts w:hint="eastAsia" w:eastAsia="宋体"/>
          <w:lang w:val="en-US" w:eastAsia="zh-CN"/>
        </w:rPr>
        <w:t>- 参数效率：仅需更新极少量的参数（全连接层），计算开销极低，适合在边缘设备上在线学习。</w:t>
      </w:r>
    </w:p>
    <w:p w14:paraId="28134B9C">
      <w:pPr>
        <w:pStyle w:val="61"/>
        <w:spacing w:before="312" w:after="312"/>
        <w:ind w:firstLine="480"/>
        <w:rPr>
          <w:rFonts w:hint="eastAsia" w:eastAsia="宋体"/>
          <w:lang w:val="en-US" w:eastAsia="zh-CN"/>
        </w:rPr>
      </w:pPr>
      <w:r>
        <w:rPr>
          <w:rFonts w:hint="eastAsia" w:eastAsia="宋体"/>
          <w:lang w:val="en-US" w:eastAsia="zh-CN"/>
        </w:rPr>
        <w:t>- 抗过拟合：由于 Transformer 编码器参数量巨大，在小样本上微调容易过拟合。冻结主体网络起到了强正则化的作用。</w:t>
      </w:r>
    </w:p>
    <w:p w14:paraId="34B599D5">
      <w:pPr>
        <w:pStyle w:val="61"/>
        <w:spacing w:before="312" w:after="312"/>
        <w:ind w:firstLine="480"/>
        <w:rPr>
          <w:rFonts w:hint="eastAsia" w:eastAsia="宋体"/>
          <w:lang w:val="en-US" w:eastAsia="zh-CN"/>
        </w:rPr>
      </w:pPr>
      <w:r>
        <w:rPr>
          <w:rFonts w:hint="eastAsia" w:eastAsia="宋体"/>
          <w:lang w:val="en-US" w:eastAsia="zh-CN"/>
        </w:rPr>
        <w:t>- 灾难性遗忘（Catastrophic Forgetting）预防：保留了模型对通用生理模式的理解，防止在微调过程中模型丧失对未见过情况（如突发的低血糖）的泛化能力。</w:t>
      </w:r>
    </w:p>
    <w:p w14:paraId="3866A150">
      <w:pPr>
        <w:pStyle w:val="61"/>
        <w:spacing w:before="312" w:after="312"/>
        <w:ind w:firstLine="480"/>
        <w:rPr>
          <w:rFonts w:hint="eastAsia" w:eastAsia="宋体"/>
          <w:lang w:val="en-US" w:eastAsia="zh-CN"/>
        </w:rPr>
      </w:pPr>
      <w:r>
        <w:rPr>
          <w:rFonts w:hint="eastAsia" w:eastAsia="宋体"/>
          <w:lang w:val="en-US" w:eastAsia="zh-CN"/>
        </w:rPr>
        <w:t>为了全面验证个性化迁移学习的有效性和泛化能力，我们从第四章中排除的保留数据集（Served Set）中选取10位受试者（ID: 2, 27, 49, 71, 98, 124, 146, 170, 192, 306）进行独立验证。这些受试者未参与通用模型的预训练，能够模拟真实的"新用户"场景。其中，受试者 306 在通用模型下的预测误差较高（RMSE &gt; 13 mg/dL），且血糖波动剧烈，我们将其作为详细案例分析的对象。</w:t>
      </w:r>
    </w:p>
    <w:p w14:paraId="4D5067CE">
      <w:pPr>
        <w:pStyle w:val="61"/>
        <w:spacing w:before="312" w:after="312"/>
        <w:ind w:firstLine="480"/>
        <w:rPr>
          <w:rFonts w:hint="eastAsia" w:eastAsia="宋体"/>
          <w:lang w:val="en-US" w:eastAsia="zh-CN"/>
        </w:rPr>
      </w:pPr>
      <w:r>
        <w:rPr>
          <w:rFonts w:hint="eastAsia" w:eastAsia="宋体"/>
          <w:lang w:val="en-US" w:eastAsia="zh-CN"/>
        </w:rPr>
        <w:t>对于每位受试者，我们将其数据按时间顺序进行划分，模拟真实的临床应用场景：</w:t>
      </w:r>
    </w:p>
    <w:p w14:paraId="32B9D69D">
      <w:pPr>
        <w:pStyle w:val="61"/>
        <w:spacing w:before="312" w:after="312"/>
        <w:ind w:firstLine="480"/>
        <w:rPr>
          <w:rFonts w:hint="eastAsia" w:eastAsia="宋体"/>
          <w:lang w:val="en-US" w:eastAsia="zh-CN"/>
        </w:rPr>
      </w:pPr>
      <w:r>
        <w:rPr>
          <w:rFonts w:hint="eastAsia" w:eastAsia="宋体"/>
          <w:lang w:val="en-US" w:eastAsia="zh-CN"/>
        </w:rPr>
        <w:t>- 校准集（Calibration Set）：取前 30% 的数据。这模拟了患者刚开始佩戴 CGM 设备的前几天（约 2-3 天），主要用于模型的个性化微调。</w:t>
      </w:r>
    </w:p>
    <w:p w14:paraId="4230D02D">
      <w:pPr>
        <w:pStyle w:val="61"/>
        <w:spacing w:before="312" w:after="312"/>
        <w:ind w:firstLine="480"/>
        <w:rPr>
          <w:rFonts w:hint="eastAsia" w:eastAsia="宋体"/>
          <w:lang w:val="en-US" w:eastAsia="zh-CN"/>
        </w:rPr>
      </w:pPr>
      <w:r>
        <w:rPr>
          <w:rFonts w:hint="eastAsia" w:eastAsia="宋体"/>
          <w:lang w:val="en-US" w:eastAsia="zh-CN"/>
        </w:rPr>
        <w:t>- 测试集（Test Set）：取后 70% 的数据。用于评估模型在未来一段时间内的预测性能。</w:t>
      </w:r>
    </w:p>
    <w:p w14:paraId="24ACE167">
      <w:pPr>
        <w:pStyle w:val="61"/>
        <w:spacing w:before="312" w:after="312"/>
        <w:ind w:firstLine="480"/>
        <w:jc w:val="center"/>
        <w:rPr>
          <w:rFonts w:hint="eastAsia" w:eastAsia="宋体"/>
          <w:lang w:val="en-US" w:eastAsia="zh-CN"/>
        </w:rPr>
      </w:pPr>
      <w:r>
        <w:drawing>
          <wp:inline distT="0" distB="0" distL="114300" distR="114300">
            <wp:extent cx="5033645" cy="1763395"/>
            <wp:effectExtent l="0" t="0" r="1079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0"/>
                    <a:stretch>
                      <a:fillRect/>
                    </a:stretch>
                  </pic:blipFill>
                  <pic:spPr>
                    <a:xfrm>
                      <a:off x="0" y="0"/>
                      <a:ext cx="5033645" cy="1763395"/>
                    </a:xfrm>
                    <a:prstGeom prst="rect">
                      <a:avLst/>
                    </a:prstGeom>
                    <a:noFill/>
                    <a:ln>
                      <a:noFill/>
                    </a:ln>
                  </pic:spPr>
                </pic:pic>
              </a:graphicData>
            </a:graphic>
          </wp:inline>
        </w:drawing>
      </w:r>
    </w:p>
    <w:p w14:paraId="587ECD7B">
      <w:pPr>
        <w:pStyle w:val="62"/>
        <w:numPr>
          <w:ilvl w:val="5"/>
          <w:numId w:val="9"/>
        </w:numPr>
        <w:spacing w:before="312" w:after="624"/>
        <w:rPr>
          <w:rFonts w:hint="eastAsia" w:eastAsia="宋体"/>
          <w:lang w:val="en-US" w:eastAsia="zh-CN"/>
        </w:rPr>
      </w:pPr>
      <w:r>
        <w:rPr>
          <w:lang w:val="en-US"/>
        </w:rPr>
        <w:t xml:space="preserve">The </w:t>
      </w:r>
      <w:r>
        <w:rPr>
          <w:rFonts w:hint="eastAsia" w:ascii="宋体" w:hAnsi="宋体" w:eastAsia="宋体" w:cs="宋体"/>
          <w:lang w:val="en-US"/>
        </w:rPr>
        <w:t>.</w:t>
      </w:r>
    </w:p>
    <w:p w14:paraId="6327987D">
      <w:pPr>
        <w:pStyle w:val="61"/>
        <w:spacing w:before="312" w:after="312"/>
        <w:ind w:firstLine="480"/>
        <w:rPr>
          <w:rFonts w:hint="eastAsia" w:eastAsia="宋体"/>
          <w:lang w:val="en-US" w:eastAsia="zh-CN"/>
        </w:rPr>
      </w:pPr>
      <w:r>
        <w:rPr>
          <w:rFonts w:hint="eastAsia" w:eastAsia="宋体"/>
          <w:lang w:val="en-US" w:eastAsia="zh-CN"/>
        </w:rPr>
        <w:t>这种划分方式严格遵循时间因果性，且测试集数据量远大于校准集，属于典型的少样本学习（Few-shot Learning）场景。</w:t>
      </w:r>
    </w:p>
    <w:p w14:paraId="1E0AA40F">
      <w:pPr>
        <w:pStyle w:val="61"/>
        <w:spacing w:before="312" w:after="312"/>
        <w:ind w:firstLine="480"/>
        <w:rPr>
          <w:rFonts w:hint="eastAsia" w:eastAsia="宋体"/>
          <w:lang w:val="en-US" w:eastAsia="zh-CN"/>
        </w:rPr>
      </w:pPr>
      <w:r>
        <w:rPr>
          <w:rFonts w:hint="eastAsia" w:eastAsia="宋体"/>
          <w:lang w:val="en-US" w:eastAsia="zh-CN"/>
        </w:rPr>
        <w:t>具体的微调参数配置如下：</w:t>
      </w:r>
    </w:p>
    <w:p w14:paraId="582FEBA6">
      <w:pPr>
        <w:pStyle w:val="63"/>
        <w:spacing w:before="624" w:after="312"/>
        <w:rPr>
          <w:rFonts w:hint="eastAsia" w:eastAsia="宋体"/>
          <w:lang w:val="en-US" w:eastAsia="zh-CN"/>
        </w:rPr>
      </w:pPr>
      <w:r>
        <w:rPr>
          <w:rFonts w:hint="eastAsia" w:eastAsia="宋体"/>
          <w:lang w:val="en-US" w:eastAsia="zh-CN"/>
        </w:rPr>
        <w:t>c</w:t>
      </w:r>
      <w:r>
        <w:rPr>
          <w:rFonts w:hint="eastAsia"/>
        </w:rPr>
        <w:t>.</w:t>
      </w:r>
    </w:p>
    <w:tbl>
      <w:tblPr>
        <w:tblStyle w:val="30"/>
        <w:tblW w:w="81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4"/>
        <w:gridCol w:w="5621"/>
      </w:tblGrid>
      <w:tr w14:paraId="433A6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504" w:type="dxa"/>
            <w:tcBorders>
              <w:top w:val="single" w:color="auto" w:sz="12" w:space="0"/>
              <w:left w:val="nil"/>
              <w:bottom w:val="single" w:color="auto" w:sz="4" w:space="0"/>
              <w:right w:val="nil"/>
            </w:tcBorders>
            <w:shd w:val="clear" w:color="auto" w:fill="auto"/>
            <w:tcMar>
              <w:top w:w="96" w:type="dxa"/>
              <w:left w:w="96" w:type="dxa"/>
              <w:bottom w:w="96" w:type="dxa"/>
              <w:right w:w="96" w:type="dxa"/>
            </w:tcMar>
            <w:vAlign w:val="center"/>
          </w:tcPr>
          <w:p w14:paraId="7164E1AB">
            <w:pPr>
              <w:keepNext w:val="0"/>
              <w:keepLines w:val="0"/>
              <w:widowControl/>
              <w:suppressLineNumbers w:val="0"/>
              <w:snapToGrid w:val="0"/>
              <w:ind w:left="0" w:leftChars="0" w:right="0" w:rightChars="0" w:firstLine="0" w:firstLineChars="0"/>
              <w:jc w:val="center"/>
              <w:rPr>
                <w:rFonts w:hint="eastAsia" w:ascii="Times New Roman" w:hAnsi="Times New Roman" w:eastAsia="宋体" w:cs="Times New Roman (正文 CS 字体)"/>
                <w:b/>
                <w:kern w:val="0"/>
                <w:sz w:val="24"/>
                <w:szCs w:val="24"/>
                <w:lang w:val="en-US" w:eastAsia="zh-CN" w:bidi="ar-SA"/>
                <w14:ligatures w14:val="none"/>
              </w:rPr>
            </w:pPr>
            <w:r>
              <w:rPr>
                <w:rFonts w:hint="eastAsia" w:ascii="Times New Roman" w:hAnsi="Times New Roman" w:eastAsia="宋体" w:cs="Times New Roman (正文 CS 字体)"/>
                <w:b/>
                <w:kern w:val="0"/>
                <w:sz w:val="24"/>
                <w:szCs w:val="24"/>
                <w:lang w:val="en-US" w:eastAsia="zh-CN" w:bidi="ar-SA"/>
                <w14:ligatures w14:val="none"/>
              </w:rPr>
              <w:t>Parameter</w:t>
            </w:r>
          </w:p>
        </w:tc>
        <w:tc>
          <w:tcPr>
            <w:tcW w:w="5621" w:type="dxa"/>
            <w:tcBorders>
              <w:top w:val="single" w:color="auto" w:sz="12" w:space="0"/>
              <w:left w:val="nil"/>
              <w:bottom w:val="single" w:color="auto" w:sz="4" w:space="0"/>
              <w:right w:val="nil"/>
            </w:tcBorders>
            <w:shd w:val="clear" w:color="auto" w:fill="auto"/>
            <w:tcMar>
              <w:top w:w="96" w:type="dxa"/>
              <w:left w:w="96" w:type="dxa"/>
              <w:bottom w:w="96" w:type="dxa"/>
              <w:right w:w="96" w:type="dxa"/>
            </w:tcMar>
            <w:vAlign w:val="center"/>
          </w:tcPr>
          <w:p w14:paraId="1EF34BA8">
            <w:pPr>
              <w:keepNext w:val="0"/>
              <w:keepLines w:val="0"/>
              <w:widowControl/>
              <w:suppressLineNumbers w:val="0"/>
              <w:snapToGrid w:val="0"/>
              <w:ind w:left="0" w:leftChars="0" w:right="0" w:rightChars="0" w:firstLine="0" w:firstLineChars="0"/>
              <w:jc w:val="center"/>
              <w:rPr>
                <w:rFonts w:hint="eastAsia" w:ascii="Times New Roman" w:hAnsi="Times New Roman" w:eastAsia="宋体" w:cs="Times New Roman (正文 CS 字体)"/>
                <w:b/>
                <w:kern w:val="0"/>
                <w:sz w:val="24"/>
                <w:szCs w:val="24"/>
                <w:lang w:val="en-US" w:eastAsia="zh-CN" w:bidi="ar-SA"/>
                <w14:ligatures w14:val="none"/>
              </w:rPr>
            </w:pPr>
            <w:r>
              <w:rPr>
                <w:rFonts w:hint="eastAsia" w:ascii="Times New Roman" w:hAnsi="Times New Roman" w:eastAsia="宋体" w:cs="Times New Roman (正文 CS 字体)"/>
                <w:b/>
                <w:kern w:val="0"/>
                <w:sz w:val="24"/>
                <w:szCs w:val="24"/>
                <w:lang w:val="en-US" w:eastAsia="zh-CN" w:bidi="ar-SA"/>
                <w14:ligatures w14:val="none"/>
              </w:rPr>
              <w:t>Setting</w:t>
            </w:r>
          </w:p>
        </w:tc>
      </w:tr>
      <w:tr w14:paraId="4E11F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04"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4E4CB6C6">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Optimizer</w:t>
            </w:r>
          </w:p>
        </w:tc>
        <w:tc>
          <w:tcPr>
            <w:tcW w:w="5621"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3475070C">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Adam optimizer</w:t>
            </w:r>
          </w:p>
        </w:tc>
      </w:tr>
      <w:tr w14:paraId="6F19D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04" w:type="dxa"/>
            <w:tcBorders>
              <w:top w:val="nil"/>
              <w:left w:val="nil"/>
              <w:bottom w:val="nil"/>
              <w:right w:val="nil"/>
            </w:tcBorders>
            <w:shd w:val="clear" w:color="auto" w:fill="auto"/>
            <w:tcMar>
              <w:top w:w="96" w:type="dxa"/>
              <w:left w:w="96" w:type="dxa"/>
              <w:bottom w:w="96" w:type="dxa"/>
              <w:right w:w="96" w:type="dxa"/>
            </w:tcMar>
            <w:vAlign w:val="center"/>
          </w:tcPr>
          <w:p w14:paraId="4581F676">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Learning rate</w:t>
            </w:r>
          </w:p>
        </w:tc>
        <w:tc>
          <w:tcPr>
            <w:tcW w:w="5621" w:type="dxa"/>
            <w:tcBorders>
              <w:top w:val="nil"/>
              <w:left w:val="nil"/>
              <w:bottom w:val="nil"/>
              <w:right w:val="nil"/>
            </w:tcBorders>
            <w:shd w:val="clear" w:color="auto" w:fill="auto"/>
            <w:tcMar>
              <w:top w:w="96" w:type="dxa"/>
              <w:left w:w="96" w:type="dxa"/>
              <w:bottom w:w="96" w:type="dxa"/>
              <w:right w:w="96" w:type="dxa"/>
            </w:tcMar>
            <w:vAlign w:val="center"/>
          </w:tcPr>
          <w:p w14:paraId="382192AD">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1e−4</w:t>
            </w:r>
          </w:p>
        </w:tc>
      </w:tr>
      <w:tr w14:paraId="13ED7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04" w:type="dxa"/>
            <w:tcBorders>
              <w:top w:val="nil"/>
              <w:left w:val="nil"/>
              <w:bottom w:val="nil"/>
              <w:right w:val="nil"/>
            </w:tcBorders>
            <w:shd w:val="clear" w:color="auto" w:fill="auto"/>
            <w:tcMar>
              <w:top w:w="96" w:type="dxa"/>
              <w:left w:w="96" w:type="dxa"/>
              <w:bottom w:w="96" w:type="dxa"/>
              <w:right w:w="96" w:type="dxa"/>
            </w:tcMar>
            <w:vAlign w:val="center"/>
          </w:tcPr>
          <w:p w14:paraId="41505BFC">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Loss function</w:t>
            </w:r>
          </w:p>
        </w:tc>
        <w:tc>
          <w:tcPr>
            <w:tcW w:w="5621" w:type="dxa"/>
            <w:tcBorders>
              <w:top w:val="nil"/>
              <w:left w:val="nil"/>
              <w:bottom w:val="nil"/>
              <w:right w:val="nil"/>
            </w:tcBorders>
            <w:shd w:val="clear" w:color="auto" w:fill="auto"/>
            <w:tcMar>
              <w:top w:w="96" w:type="dxa"/>
              <w:left w:w="96" w:type="dxa"/>
              <w:bottom w:w="96" w:type="dxa"/>
              <w:right w:w="96" w:type="dxa"/>
            </w:tcMar>
            <w:vAlign w:val="center"/>
          </w:tcPr>
          <w:p w14:paraId="04C87272">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Mean Squared Error</w:t>
            </w:r>
          </w:p>
        </w:tc>
      </w:tr>
      <w:tr w14:paraId="20D6F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04" w:type="dxa"/>
            <w:tcBorders>
              <w:top w:val="nil"/>
              <w:left w:val="nil"/>
              <w:bottom w:val="nil"/>
              <w:right w:val="nil"/>
            </w:tcBorders>
            <w:shd w:val="clear" w:color="auto" w:fill="auto"/>
            <w:tcMar>
              <w:top w:w="96" w:type="dxa"/>
              <w:left w:w="96" w:type="dxa"/>
              <w:bottom w:w="96" w:type="dxa"/>
              <w:right w:w="96" w:type="dxa"/>
            </w:tcMar>
            <w:vAlign w:val="center"/>
          </w:tcPr>
          <w:p w14:paraId="4D5747F5">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Batch size</w:t>
            </w:r>
          </w:p>
        </w:tc>
        <w:tc>
          <w:tcPr>
            <w:tcW w:w="5621" w:type="dxa"/>
            <w:tcBorders>
              <w:top w:val="nil"/>
              <w:left w:val="nil"/>
              <w:bottom w:val="nil"/>
              <w:right w:val="nil"/>
            </w:tcBorders>
            <w:shd w:val="clear" w:color="auto" w:fill="auto"/>
            <w:tcMar>
              <w:top w:w="96" w:type="dxa"/>
              <w:left w:w="96" w:type="dxa"/>
              <w:bottom w:w="96" w:type="dxa"/>
              <w:right w:w="96" w:type="dxa"/>
            </w:tcMar>
            <w:vAlign w:val="center"/>
          </w:tcPr>
          <w:p w14:paraId="2BEE027E">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16</w:t>
            </w:r>
          </w:p>
        </w:tc>
      </w:tr>
      <w:tr w14:paraId="79791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04" w:type="dxa"/>
            <w:tcBorders>
              <w:top w:val="nil"/>
              <w:left w:val="nil"/>
              <w:bottom w:val="single" w:color="auto" w:sz="12" w:space="0"/>
              <w:right w:val="nil"/>
            </w:tcBorders>
            <w:shd w:val="clear" w:color="auto" w:fill="auto"/>
            <w:tcMar>
              <w:top w:w="96" w:type="dxa"/>
              <w:left w:w="96" w:type="dxa"/>
              <w:bottom w:w="96" w:type="dxa"/>
              <w:right w:w="96" w:type="dxa"/>
            </w:tcMar>
            <w:vAlign w:val="center"/>
          </w:tcPr>
          <w:p w14:paraId="3D435CE6">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Epochs</w:t>
            </w:r>
          </w:p>
        </w:tc>
        <w:tc>
          <w:tcPr>
            <w:tcW w:w="5621" w:type="dxa"/>
            <w:tcBorders>
              <w:top w:val="nil"/>
              <w:left w:val="nil"/>
              <w:bottom w:val="single" w:color="auto" w:sz="12" w:space="0"/>
              <w:right w:val="nil"/>
            </w:tcBorders>
            <w:shd w:val="clear" w:color="auto" w:fill="auto"/>
            <w:tcMar>
              <w:top w:w="96" w:type="dxa"/>
              <w:left w:w="96" w:type="dxa"/>
              <w:bottom w:w="96" w:type="dxa"/>
              <w:right w:w="96" w:type="dxa"/>
            </w:tcMar>
            <w:vAlign w:val="center"/>
          </w:tcPr>
          <w:p w14:paraId="47884765">
            <w:pPr>
              <w:keepNext w:val="0"/>
              <w:keepLines w:val="0"/>
              <w:widowControl/>
              <w:suppressLineNumbers w:val="0"/>
              <w:snapToGrid w:val="0"/>
              <w:ind w:left="0" w:leftChars="0" w:right="0" w:rightChars="0" w:firstLine="0" w:firstLineChars="0"/>
              <w:jc w:val="left"/>
              <w:rPr>
                <w:rFonts w:hint="eastAsia" w:ascii="Times New Roman" w:hAnsi="Times New Roman" w:eastAsia="宋体" w:cs="Times New Roman (正文 CS 字体)"/>
                <w:kern w:val="0"/>
                <w:sz w:val="24"/>
                <w:szCs w:val="24"/>
                <w:lang w:val="en-US" w:eastAsia="zh-CN" w:bidi="ar-SA"/>
                <w14:ligatures w14:val="none"/>
              </w:rPr>
            </w:pPr>
            <w:r>
              <w:rPr>
                <w:rFonts w:hint="eastAsia" w:ascii="Times New Roman" w:hAnsi="Times New Roman" w:eastAsia="宋体" w:cs="Times New Roman (正文 CS 字体)"/>
                <w:kern w:val="0"/>
                <w:sz w:val="24"/>
                <w:szCs w:val="24"/>
                <w:lang w:val="en-US" w:eastAsia="zh-CN" w:bidi="ar-SA"/>
                <w14:ligatures w14:val="none"/>
              </w:rPr>
              <w:t>100</w:t>
            </w:r>
          </w:p>
        </w:tc>
      </w:tr>
    </w:tbl>
    <w:p w14:paraId="3C9BF98A">
      <w:pPr>
        <w:pStyle w:val="61"/>
        <w:spacing w:before="312" w:after="312"/>
        <w:ind w:firstLine="480"/>
      </w:pPr>
    </w:p>
    <w:bookmarkEnd w:id="24"/>
    <w:p w14:paraId="1F303850">
      <w:pPr>
        <w:pStyle w:val="56"/>
        <w:numPr>
          <w:ilvl w:val="1"/>
          <w:numId w:val="9"/>
        </w:numPr>
      </w:pPr>
      <w:r>
        <w:rPr>
          <w:rFonts w:hint="eastAsia" w:eastAsia="宋体"/>
          <w:lang w:val="en-US" w:eastAsia="zh-CN"/>
        </w:rPr>
        <w:t>Result Analysis</w:t>
      </w:r>
    </w:p>
    <w:p w14:paraId="35B719F0">
      <w:pPr>
        <w:pStyle w:val="61"/>
        <w:spacing w:before="312" w:after="312"/>
        <w:ind w:firstLine="480"/>
      </w:pPr>
    </w:p>
    <w:p w14:paraId="58449BC4">
      <w:pPr>
        <w:pStyle w:val="61"/>
        <w:spacing w:before="312" w:after="312"/>
        <w:ind w:firstLine="480"/>
        <w:rPr>
          <w:rFonts w:hint="eastAsia"/>
        </w:rPr>
      </w:pPr>
      <w:r>
        <w:rPr>
          <w:rFonts w:hint="eastAsia"/>
        </w:rPr>
        <w:t>表 5-1 展示了通用模型（Baseline）与个性化微调模型（Fine-tuned）在受试者 306 测试集上的</w:t>
      </w:r>
      <w:r>
        <w:rPr>
          <w:rFonts w:hint="eastAsia" w:eastAsia="宋体"/>
          <w:lang w:val="en-US" w:eastAsia="zh-CN"/>
        </w:rPr>
        <w:t>预测</w:t>
      </w:r>
      <w:r>
        <w:rPr>
          <w:rFonts w:hint="eastAsia"/>
        </w:rPr>
        <w:t>结果。</w:t>
      </w:r>
    </w:p>
    <w:p w14:paraId="58366879">
      <w:pPr>
        <w:pStyle w:val="63"/>
        <w:spacing w:before="624" w:after="312"/>
        <w:rPr>
          <w:rFonts w:hint="default"/>
          <w:lang w:val="en-US" w:eastAsia="zh-CN"/>
        </w:rPr>
      </w:pPr>
      <w:r>
        <w:rPr>
          <w:rFonts w:hint="eastAsia" w:eastAsia="宋体"/>
          <w:lang w:val="en-US" w:eastAsia="zh-CN"/>
        </w:rPr>
        <w:t>c</w:t>
      </w:r>
      <w:r>
        <w:rPr>
          <w:rFonts w:hint="eastAsia"/>
        </w:rPr>
        <w:t>.</w:t>
      </w:r>
    </w:p>
    <w:tbl>
      <w:tblPr>
        <w:tblStyle w:val="31"/>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2208"/>
        <w:gridCol w:w="2465"/>
        <w:gridCol w:w="2243"/>
      </w:tblGrid>
      <w:tr w14:paraId="1739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37" w:type="dxa"/>
            <w:tcBorders>
              <w:top w:val="single" w:color="auto" w:sz="12" w:space="0"/>
              <w:left w:val="nil"/>
              <w:bottom w:val="single" w:color="auto" w:sz="4" w:space="0"/>
              <w:right w:val="nil"/>
            </w:tcBorders>
            <w:vAlign w:val="center"/>
          </w:tcPr>
          <w:p w14:paraId="2EA248F0">
            <w:pPr>
              <w:pStyle w:val="61"/>
              <w:snapToGrid w:val="0"/>
              <w:spacing w:before="312" w:after="312"/>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Metric</w:t>
            </w:r>
          </w:p>
        </w:tc>
        <w:tc>
          <w:tcPr>
            <w:tcW w:w="2208" w:type="dxa"/>
            <w:tcBorders>
              <w:top w:val="single" w:color="auto" w:sz="12" w:space="0"/>
              <w:left w:val="nil"/>
              <w:bottom w:val="single" w:color="auto" w:sz="4" w:space="0"/>
              <w:right w:val="nil"/>
            </w:tcBorders>
            <w:vAlign w:val="center"/>
          </w:tcPr>
          <w:p w14:paraId="7C56769B">
            <w:pPr>
              <w:pStyle w:val="61"/>
              <w:snapToGrid w:val="0"/>
              <w:spacing w:before="312" w:after="312"/>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Baseline(mg/dL)</w:t>
            </w:r>
          </w:p>
        </w:tc>
        <w:tc>
          <w:tcPr>
            <w:tcW w:w="2465" w:type="dxa"/>
            <w:tcBorders>
              <w:top w:val="single" w:color="auto" w:sz="12" w:space="0"/>
              <w:left w:val="nil"/>
              <w:bottom w:val="single" w:color="auto" w:sz="4" w:space="0"/>
              <w:right w:val="nil"/>
            </w:tcBorders>
            <w:vAlign w:val="center"/>
          </w:tcPr>
          <w:p w14:paraId="2310DFBC">
            <w:pPr>
              <w:pStyle w:val="61"/>
              <w:snapToGrid w:val="0"/>
              <w:spacing w:before="312" w:after="312"/>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Fine-tuned(mg/dL)</w:t>
            </w:r>
          </w:p>
        </w:tc>
        <w:tc>
          <w:tcPr>
            <w:tcW w:w="2243" w:type="dxa"/>
            <w:tcBorders>
              <w:top w:val="single" w:color="auto" w:sz="12" w:space="0"/>
              <w:left w:val="nil"/>
              <w:bottom w:val="single" w:color="auto" w:sz="4" w:space="0"/>
              <w:right w:val="nil"/>
            </w:tcBorders>
            <w:vAlign w:val="center"/>
          </w:tcPr>
          <w:p w14:paraId="6ACC41FE">
            <w:pPr>
              <w:pStyle w:val="61"/>
              <w:snapToGrid w:val="0"/>
              <w:spacing w:before="312" w:after="312"/>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Improvement(%)</w:t>
            </w:r>
          </w:p>
        </w:tc>
      </w:tr>
      <w:tr w14:paraId="394A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7" w:type="dxa"/>
            <w:tcBorders>
              <w:top w:val="single" w:color="auto" w:sz="4" w:space="0"/>
              <w:left w:val="nil"/>
              <w:bottom w:val="nil"/>
              <w:right w:val="nil"/>
            </w:tcBorders>
            <w:vAlign w:val="center"/>
          </w:tcPr>
          <w:p w14:paraId="7D08771B">
            <w:pPr>
              <w:pStyle w:val="61"/>
              <w:snapToGrid w:val="0"/>
              <w:spacing w:before="312" w:after="312"/>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MAE</w:t>
            </w:r>
          </w:p>
        </w:tc>
        <w:tc>
          <w:tcPr>
            <w:tcW w:w="2208" w:type="dxa"/>
            <w:tcBorders>
              <w:top w:val="single" w:color="auto" w:sz="4" w:space="0"/>
              <w:left w:val="nil"/>
              <w:bottom w:val="nil"/>
              <w:right w:val="nil"/>
            </w:tcBorders>
            <w:vAlign w:val="center"/>
          </w:tcPr>
          <w:p w14:paraId="46A3257B">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9.9727</w:t>
            </w:r>
          </w:p>
        </w:tc>
        <w:tc>
          <w:tcPr>
            <w:tcW w:w="2465" w:type="dxa"/>
            <w:tcBorders>
              <w:top w:val="single" w:color="auto" w:sz="4" w:space="0"/>
              <w:left w:val="nil"/>
              <w:bottom w:val="nil"/>
              <w:right w:val="nil"/>
            </w:tcBorders>
            <w:vAlign w:val="center"/>
          </w:tcPr>
          <w:p w14:paraId="0628CD24">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9.2107</w:t>
            </w:r>
          </w:p>
        </w:tc>
        <w:tc>
          <w:tcPr>
            <w:tcW w:w="2243" w:type="dxa"/>
            <w:tcBorders>
              <w:top w:val="single" w:color="auto" w:sz="4" w:space="0"/>
              <w:left w:val="nil"/>
              <w:bottom w:val="nil"/>
              <w:right w:val="nil"/>
            </w:tcBorders>
            <w:vAlign w:val="center"/>
          </w:tcPr>
          <w:p w14:paraId="401E59CE">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+7.64</w:t>
            </w:r>
          </w:p>
        </w:tc>
      </w:tr>
      <w:tr w14:paraId="2ADD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7" w:type="dxa"/>
            <w:tcBorders>
              <w:top w:val="nil"/>
              <w:left w:val="nil"/>
              <w:bottom w:val="nil"/>
              <w:right w:val="nil"/>
            </w:tcBorders>
            <w:vAlign w:val="center"/>
          </w:tcPr>
          <w:p w14:paraId="675BA56C">
            <w:pPr>
              <w:pStyle w:val="61"/>
              <w:snapToGrid w:val="0"/>
              <w:spacing w:before="312" w:after="312"/>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RMSE</w:t>
            </w:r>
          </w:p>
        </w:tc>
        <w:tc>
          <w:tcPr>
            <w:tcW w:w="2208" w:type="dxa"/>
            <w:tcBorders>
              <w:top w:val="nil"/>
              <w:left w:val="nil"/>
              <w:bottom w:val="nil"/>
              <w:right w:val="nil"/>
            </w:tcBorders>
            <w:vAlign w:val="center"/>
          </w:tcPr>
          <w:p w14:paraId="3F2C8601">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13.5865</w:t>
            </w:r>
          </w:p>
        </w:tc>
        <w:tc>
          <w:tcPr>
            <w:tcW w:w="2465" w:type="dxa"/>
            <w:tcBorders>
              <w:top w:val="nil"/>
              <w:left w:val="nil"/>
              <w:bottom w:val="nil"/>
              <w:right w:val="nil"/>
            </w:tcBorders>
            <w:vAlign w:val="center"/>
          </w:tcPr>
          <w:p w14:paraId="26315326">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12.6926</w:t>
            </w:r>
          </w:p>
        </w:tc>
        <w:tc>
          <w:tcPr>
            <w:tcW w:w="2243" w:type="dxa"/>
            <w:tcBorders>
              <w:top w:val="nil"/>
              <w:left w:val="nil"/>
              <w:bottom w:val="nil"/>
              <w:right w:val="nil"/>
            </w:tcBorders>
            <w:vAlign w:val="center"/>
          </w:tcPr>
          <w:p w14:paraId="03F4620A">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+6.58</w:t>
            </w:r>
          </w:p>
        </w:tc>
      </w:tr>
      <w:tr w14:paraId="39AB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7" w:type="dxa"/>
            <w:tcBorders>
              <w:top w:val="nil"/>
              <w:left w:val="nil"/>
              <w:bottom w:val="nil"/>
              <w:right w:val="nil"/>
            </w:tcBorders>
            <w:vAlign w:val="center"/>
          </w:tcPr>
          <w:p w14:paraId="73A708CB">
            <w:pPr>
              <w:pStyle w:val="61"/>
              <w:snapToGrid w:val="0"/>
              <w:spacing w:before="312" w:after="312"/>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MAPE</w:t>
            </w:r>
          </w:p>
        </w:tc>
        <w:tc>
          <w:tcPr>
            <w:tcW w:w="2208" w:type="dxa"/>
            <w:tcBorders>
              <w:top w:val="nil"/>
              <w:left w:val="nil"/>
              <w:bottom w:val="nil"/>
              <w:right w:val="nil"/>
            </w:tcBorders>
            <w:vAlign w:val="center"/>
          </w:tcPr>
          <w:p w14:paraId="217A16ED">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7.6601</w:t>
            </w:r>
          </w:p>
        </w:tc>
        <w:tc>
          <w:tcPr>
            <w:tcW w:w="2465" w:type="dxa"/>
            <w:tcBorders>
              <w:top w:val="nil"/>
              <w:left w:val="nil"/>
              <w:bottom w:val="nil"/>
              <w:right w:val="nil"/>
            </w:tcBorders>
            <w:vAlign w:val="center"/>
          </w:tcPr>
          <w:p w14:paraId="7D3E1C3D">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7.2057</w:t>
            </w:r>
          </w:p>
        </w:tc>
        <w:tc>
          <w:tcPr>
            <w:tcW w:w="2243" w:type="dxa"/>
            <w:tcBorders>
              <w:top w:val="nil"/>
              <w:left w:val="nil"/>
              <w:bottom w:val="nil"/>
              <w:right w:val="nil"/>
            </w:tcBorders>
            <w:vAlign w:val="center"/>
          </w:tcPr>
          <w:p w14:paraId="7309125C">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+5.93</w:t>
            </w:r>
          </w:p>
        </w:tc>
      </w:tr>
      <w:tr w14:paraId="6F0E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7" w:type="dxa"/>
            <w:tcBorders>
              <w:top w:val="nil"/>
              <w:left w:val="nil"/>
              <w:bottom w:val="single" w:color="auto" w:sz="12" w:space="0"/>
              <w:right w:val="nil"/>
            </w:tcBorders>
            <w:vAlign w:val="center"/>
          </w:tcPr>
          <w:p w14:paraId="6795A233">
            <w:pPr>
              <w:pStyle w:val="61"/>
              <w:snapToGrid w:val="0"/>
              <w:spacing w:before="312" w:after="312"/>
              <w:ind w:left="0" w:leftChars="0" w:right="0" w:rightChars="0" w:firstLine="0" w:firstLineChars="0"/>
              <w:jc w:val="left"/>
              <w:rPr>
                <w:rFonts w:hint="default" w:eastAsia="宋体"/>
                <w:vertAlign w:val="baseline"/>
                <w:lang w:val="en-US" w:eastAsia="zh-CN"/>
              </w:rPr>
            </w:pPr>
            <w:r>
              <w:rPr>
                <w:rFonts w:hint="eastAsia" w:eastAsia="宋体"/>
                <w:vertAlign w:val="baseline"/>
                <w:lang w:val="en-US" w:eastAsia="zh-CN"/>
              </w:rPr>
              <w:t>RMSPE</w:t>
            </w:r>
          </w:p>
        </w:tc>
        <w:tc>
          <w:tcPr>
            <w:tcW w:w="2208" w:type="dxa"/>
            <w:tcBorders>
              <w:top w:val="nil"/>
              <w:left w:val="nil"/>
              <w:bottom w:val="single" w:color="auto" w:sz="12" w:space="0"/>
              <w:right w:val="nil"/>
            </w:tcBorders>
            <w:vAlign w:val="center"/>
          </w:tcPr>
          <w:p w14:paraId="3344719C">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10.8066</w:t>
            </w:r>
          </w:p>
        </w:tc>
        <w:tc>
          <w:tcPr>
            <w:tcW w:w="2465" w:type="dxa"/>
            <w:tcBorders>
              <w:top w:val="nil"/>
              <w:left w:val="nil"/>
              <w:bottom w:val="single" w:color="auto" w:sz="12" w:space="0"/>
              <w:right w:val="nil"/>
            </w:tcBorders>
            <w:vAlign w:val="center"/>
          </w:tcPr>
          <w:p w14:paraId="63906AF3">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10.2925</w:t>
            </w:r>
          </w:p>
        </w:tc>
        <w:tc>
          <w:tcPr>
            <w:tcW w:w="2243" w:type="dxa"/>
            <w:tcBorders>
              <w:top w:val="nil"/>
              <w:left w:val="nil"/>
              <w:bottom w:val="single" w:color="auto" w:sz="12" w:space="0"/>
              <w:right w:val="nil"/>
            </w:tcBorders>
            <w:vAlign w:val="center"/>
          </w:tcPr>
          <w:p w14:paraId="01A4B0D9">
            <w:pPr>
              <w:pStyle w:val="61"/>
              <w:snapToGrid w:val="0"/>
              <w:spacing w:before="312" w:after="312"/>
              <w:ind w:left="0" w:leftChars="0" w:right="0" w:rightChars="0" w:firstLine="0" w:firstLineChars="0"/>
              <w:jc w:val="right"/>
              <w:rPr>
                <w:rFonts w:hint="default" w:eastAsia="宋体"/>
                <w:vertAlign w:val="baseline"/>
                <w:lang w:val="en-US" w:eastAsia="zh-CN"/>
              </w:rPr>
            </w:pPr>
            <w:r>
              <w:rPr>
                <w:rFonts w:hint="eastAsia" w:eastAsia="宋体"/>
                <w:vertAlign w:val="baseline"/>
                <w:lang w:val="en-US" w:eastAsia="zh-CN"/>
              </w:rPr>
              <w:t>+4.76</w:t>
            </w:r>
          </w:p>
        </w:tc>
      </w:tr>
    </w:tbl>
    <w:p w14:paraId="3DF2CC1F">
      <w:pPr>
        <w:pStyle w:val="61"/>
        <w:spacing w:before="312" w:after="312"/>
        <w:ind w:left="0" w:leftChars="0" w:firstLine="0" w:firstLineChars="0"/>
        <w:rPr>
          <w:rFonts w:hint="eastAsia"/>
        </w:rPr>
      </w:pPr>
    </w:p>
    <w:p w14:paraId="121286B5">
      <w:pPr>
        <w:pStyle w:val="61"/>
        <w:spacing w:before="312" w:after="312"/>
        <w:ind w:firstLine="480"/>
        <w:rPr>
          <w:rFonts w:hint="eastAsia"/>
        </w:rPr>
      </w:pPr>
      <w:r>
        <w:rPr>
          <w:rFonts w:hint="eastAsia"/>
        </w:rPr>
        <w:t>数据表明，仅使用 30% 的校准数据进行微调，模型的各项误差指标均取得了显著下降，意味着预测结果的标准差显著减小，模型的不确定性有效降低。为验证该策略的泛化能力，我们在全部 10 位受试者上重复了上述实验流程。</w:t>
      </w:r>
    </w:p>
    <w:p w14:paraId="2A241175">
      <w:pPr>
        <w:pStyle w:val="63"/>
        <w:spacing w:before="624" w:after="312"/>
        <w:rPr>
          <w:rFonts w:hint="eastAsia"/>
        </w:rPr>
      </w:pPr>
      <w:r>
        <w:rPr>
          <w:rFonts w:hint="eastAsia" w:eastAsia="宋体"/>
          <w:lang w:val="en-US" w:eastAsia="zh-CN"/>
        </w:rPr>
        <w:t>c</w:t>
      </w:r>
      <w:r>
        <w:rPr>
          <w:rFonts w:hint="eastAsia"/>
        </w:rPr>
        <w:t>.</w:t>
      </w:r>
    </w:p>
    <w:tbl>
      <w:tblPr>
        <w:tblStyle w:val="31"/>
        <w:tblW w:w="8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2141"/>
        <w:gridCol w:w="2417"/>
        <w:gridCol w:w="2247"/>
      </w:tblGrid>
      <w:tr w14:paraId="3FF9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47" w:type="dxa"/>
            <w:tcBorders>
              <w:top w:val="single" w:color="auto" w:sz="12" w:space="0"/>
              <w:left w:val="nil"/>
              <w:bottom w:val="single" w:color="auto" w:sz="4" w:space="0"/>
              <w:right w:val="nil"/>
            </w:tcBorders>
            <w:vAlign w:val="center"/>
          </w:tcPr>
          <w:p w14:paraId="7F75D66E">
            <w:pPr>
              <w:pStyle w:val="61"/>
              <w:snapToGrid w:val="0"/>
              <w:spacing w:before="312" w:after="312"/>
              <w:ind w:left="0" w:leftChars="0" w:right="0" w:rightChars="0" w:firstLine="0" w:firstLineChars="0"/>
              <w:jc w:val="center"/>
              <w:rPr>
                <w:rFonts w:hint="default" w:ascii="Times New Roman" w:eastAsia="宋体"/>
                <w:b/>
                <w:sz w:val="24"/>
                <w:vertAlign w:val="baseline"/>
                <w:lang w:val="en-US" w:eastAsia="zh-CN"/>
              </w:rPr>
            </w:pPr>
            <w:r>
              <w:rPr>
                <w:rFonts w:hint="eastAsia" w:ascii="Times New Roman" w:eastAsia="宋体"/>
                <w:b/>
                <w:sz w:val="24"/>
                <w:vertAlign w:val="baseline"/>
                <w:lang w:val="en-US" w:eastAsia="zh-CN"/>
              </w:rPr>
              <w:t>subject ID</w:t>
            </w:r>
          </w:p>
        </w:tc>
        <w:tc>
          <w:tcPr>
            <w:tcW w:w="2141" w:type="dxa"/>
            <w:tcBorders>
              <w:top w:val="single" w:color="auto" w:sz="12" w:space="0"/>
              <w:left w:val="nil"/>
              <w:bottom w:val="single" w:color="auto" w:sz="4" w:space="0"/>
              <w:right w:val="nil"/>
            </w:tcBorders>
            <w:vAlign w:val="center"/>
          </w:tcPr>
          <w:p w14:paraId="6EBC326E">
            <w:pPr>
              <w:pStyle w:val="61"/>
              <w:snapToGrid w:val="0"/>
              <w:spacing w:before="312" w:after="312"/>
              <w:ind w:left="0" w:leftChars="0" w:right="0" w:rightChars="0" w:firstLine="0" w:firstLineChars="0"/>
              <w:jc w:val="center"/>
              <w:rPr>
                <w:rFonts w:hint="default" w:ascii="Times New Roman" w:eastAsia="宋体"/>
                <w:b/>
                <w:sz w:val="24"/>
                <w:vertAlign w:val="baseline"/>
                <w:lang w:val="en-US" w:eastAsia="zh-CN"/>
              </w:rPr>
            </w:pPr>
            <w:r>
              <w:rPr>
                <w:rFonts w:hint="eastAsia" w:ascii="Times New Roman" w:eastAsia="宋体"/>
                <w:b/>
                <w:sz w:val="24"/>
                <w:vertAlign w:val="baseline"/>
                <w:lang w:val="en-US" w:eastAsia="zh-CN"/>
              </w:rPr>
              <w:t>Baseline(mg/dL)</w:t>
            </w:r>
          </w:p>
        </w:tc>
        <w:tc>
          <w:tcPr>
            <w:tcW w:w="2417" w:type="dxa"/>
            <w:tcBorders>
              <w:top w:val="single" w:color="auto" w:sz="12" w:space="0"/>
              <w:left w:val="nil"/>
              <w:bottom w:val="single" w:color="auto" w:sz="4" w:space="0"/>
              <w:right w:val="nil"/>
            </w:tcBorders>
            <w:vAlign w:val="center"/>
          </w:tcPr>
          <w:p w14:paraId="43EA91B1">
            <w:pPr>
              <w:pStyle w:val="61"/>
              <w:snapToGrid w:val="0"/>
              <w:spacing w:before="312" w:after="312"/>
              <w:ind w:left="0" w:leftChars="0" w:right="0" w:rightChars="0" w:firstLine="0" w:firstLineChars="0"/>
              <w:jc w:val="center"/>
              <w:rPr>
                <w:rFonts w:hint="eastAsia" w:ascii="Times New Roman" w:eastAsia="宋体"/>
                <w:b/>
                <w:sz w:val="24"/>
                <w:vertAlign w:val="baseline"/>
              </w:rPr>
            </w:pPr>
            <w:r>
              <w:rPr>
                <w:rFonts w:hint="eastAsia" w:ascii="Times New Roman" w:eastAsia="宋体"/>
                <w:b/>
                <w:sz w:val="24"/>
                <w:vertAlign w:val="baseline"/>
                <w:lang w:val="en-US" w:eastAsia="zh-CN"/>
              </w:rPr>
              <w:t>Fine-tuned(mg/dL)</w:t>
            </w:r>
          </w:p>
        </w:tc>
        <w:tc>
          <w:tcPr>
            <w:tcW w:w="2247" w:type="dxa"/>
            <w:tcBorders>
              <w:top w:val="single" w:color="auto" w:sz="12" w:space="0"/>
              <w:left w:val="nil"/>
              <w:bottom w:val="single" w:color="auto" w:sz="4" w:space="0"/>
              <w:right w:val="nil"/>
            </w:tcBorders>
            <w:vAlign w:val="center"/>
          </w:tcPr>
          <w:p w14:paraId="38DC0DF3">
            <w:pPr>
              <w:pStyle w:val="61"/>
              <w:snapToGrid w:val="0"/>
              <w:spacing w:before="312" w:after="312"/>
              <w:ind w:left="0" w:leftChars="0" w:right="0" w:rightChars="0" w:firstLine="0" w:firstLineChars="0"/>
              <w:jc w:val="center"/>
              <w:rPr>
                <w:rFonts w:hint="eastAsia" w:ascii="Times New Roman" w:eastAsia="宋体"/>
                <w:b/>
                <w:sz w:val="24"/>
                <w:vertAlign w:val="baseline"/>
              </w:rPr>
            </w:pPr>
            <w:r>
              <w:rPr>
                <w:rFonts w:hint="eastAsia" w:ascii="Times New Roman" w:eastAsia="宋体"/>
                <w:b/>
                <w:sz w:val="24"/>
                <w:vertAlign w:val="baseline"/>
                <w:lang w:val="en-US" w:eastAsia="zh-CN"/>
              </w:rPr>
              <w:t>Improvement(%)</w:t>
            </w:r>
          </w:p>
        </w:tc>
      </w:tr>
      <w:tr w14:paraId="20D8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single" w:color="auto" w:sz="4" w:space="0"/>
              <w:left w:val="nil"/>
              <w:bottom w:val="nil"/>
              <w:right w:val="nil"/>
            </w:tcBorders>
            <w:vAlign w:val="center"/>
          </w:tcPr>
          <w:p w14:paraId="6E43C8E9">
            <w:pPr>
              <w:pStyle w:val="61"/>
              <w:snapToGrid w:val="0"/>
              <w:spacing w:before="312" w:after="312"/>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eastAsia="宋体"/>
                <w:sz w:val="24"/>
                <w:vertAlign w:val="baseline"/>
                <w:lang w:val="en-US" w:eastAsia="zh-CN"/>
              </w:rPr>
              <w:t>2</w:t>
            </w:r>
          </w:p>
        </w:tc>
        <w:tc>
          <w:tcPr>
            <w:tcW w:w="2141" w:type="dxa"/>
            <w:tcBorders>
              <w:top w:val="single" w:color="auto" w:sz="4" w:space="0"/>
              <w:left w:val="nil"/>
              <w:bottom w:val="nil"/>
              <w:right w:val="nil"/>
            </w:tcBorders>
            <w:vAlign w:val="center"/>
          </w:tcPr>
          <w:p w14:paraId="074E64B2">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6.4151</w:t>
            </w:r>
          </w:p>
        </w:tc>
        <w:tc>
          <w:tcPr>
            <w:tcW w:w="2417" w:type="dxa"/>
            <w:tcBorders>
              <w:top w:val="single" w:color="auto" w:sz="4" w:space="0"/>
              <w:left w:val="nil"/>
              <w:bottom w:val="nil"/>
              <w:right w:val="nil"/>
            </w:tcBorders>
            <w:vAlign w:val="center"/>
          </w:tcPr>
          <w:p w14:paraId="73BEE6F5">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5.2000</w:t>
            </w:r>
          </w:p>
        </w:tc>
        <w:tc>
          <w:tcPr>
            <w:tcW w:w="2247" w:type="dxa"/>
            <w:tcBorders>
              <w:top w:val="single" w:color="auto" w:sz="4" w:space="0"/>
              <w:left w:val="nil"/>
              <w:bottom w:val="nil"/>
              <w:right w:val="nil"/>
            </w:tcBorders>
            <w:vAlign w:val="center"/>
          </w:tcPr>
          <w:p w14:paraId="5E2F6BA5">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+18.94</w:t>
            </w:r>
          </w:p>
        </w:tc>
      </w:tr>
      <w:tr w14:paraId="7325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70EA08C4">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27</w:t>
            </w:r>
          </w:p>
        </w:tc>
        <w:tc>
          <w:tcPr>
            <w:tcW w:w="2141" w:type="dxa"/>
            <w:tcBorders>
              <w:top w:val="nil"/>
              <w:left w:val="nil"/>
              <w:bottom w:val="nil"/>
              <w:right w:val="nil"/>
            </w:tcBorders>
            <w:vAlign w:val="center"/>
          </w:tcPr>
          <w:p w14:paraId="4908C3AB">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4.4126</w:t>
            </w:r>
          </w:p>
        </w:tc>
        <w:tc>
          <w:tcPr>
            <w:tcW w:w="2417" w:type="dxa"/>
            <w:tcBorders>
              <w:top w:val="nil"/>
              <w:left w:val="nil"/>
              <w:bottom w:val="nil"/>
              <w:right w:val="nil"/>
            </w:tcBorders>
            <w:vAlign w:val="center"/>
          </w:tcPr>
          <w:p w14:paraId="03E52BA5">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3.6794</w:t>
            </w:r>
          </w:p>
        </w:tc>
        <w:tc>
          <w:tcPr>
            <w:tcW w:w="2247" w:type="dxa"/>
            <w:tcBorders>
              <w:top w:val="nil"/>
              <w:left w:val="nil"/>
              <w:bottom w:val="nil"/>
              <w:right w:val="nil"/>
            </w:tcBorders>
            <w:vAlign w:val="center"/>
          </w:tcPr>
          <w:p w14:paraId="606696C9">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+16.62</w:t>
            </w:r>
          </w:p>
        </w:tc>
      </w:tr>
      <w:tr w14:paraId="6668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09740943">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49</w:t>
            </w:r>
          </w:p>
        </w:tc>
        <w:tc>
          <w:tcPr>
            <w:tcW w:w="2141" w:type="dxa"/>
            <w:tcBorders>
              <w:top w:val="nil"/>
              <w:left w:val="nil"/>
              <w:bottom w:val="nil"/>
              <w:right w:val="nil"/>
            </w:tcBorders>
            <w:vAlign w:val="center"/>
          </w:tcPr>
          <w:p w14:paraId="30EA49C9">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8.4029</w:t>
            </w:r>
          </w:p>
        </w:tc>
        <w:tc>
          <w:tcPr>
            <w:tcW w:w="2417" w:type="dxa"/>
            <w:tcBorders>
              <w:top w:val="nil"/>
              <w:left w:val="nil"/>
              <w:bottom w:val="nil"/>
              <w:right w:val="nil"/>
            </w:tcBorders>
            <w:vAlign w:val="center"/>
          </w:tcPr>
          <w:p w14:paraId="4249D940">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7.6321</w:t>
            </w:r>
          </w:p>
        </w:tc>
        <w:tc>
          <w:tcPr>
            <w:tcW w:w="2247" w:type="dxa"/>
            <w:tcBorders>
              <w:top w:val="nil"/>
              <w:left w:val="nil"/>
              <w:bottom w:val="nil"/>
              <w:right w:val="nil"/>
            </w:tcBorders>
            <w:vAlign w:val="center"/>
          </w:tcPr>
          <w:p w14:paraId="65C953C3">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+9.17</w:t>
            </w:r>
          </w:p>
        </w:tc>
      </w:tr>
      <w:tr w14:paraId="2352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37EA98B2">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71</w:t>
            </w:r>
          </w:p>
        </w:tc>
        <w:tc>
          <w:tcPr>
            <w:tcW w:w="2141" w:type="dxa"/>
            <w:tcBorders>
              <w:top w:val="nil"/>
              <w:left w:val="nil"/>
              <w:bottom w:val="nil"/>
              <w:right w:val="nil"/>
            </w:tcBorders>
            <w:vAlign w:val="center"/>
          </w:tcPr>
          <w:p w14:paraId="7B2014C3">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4.9080</w:t>
            </w:r>
          </w:p>
        </w:tc>
        <w:tc>
          <w:tcPr>
            <w:tcW w:w="2417" w:type="dxa"/>
            <w:tcBorders>
              <w:top w:val="nil"/>
              <w:left w:val="nil"/>
              <w:bottom w:val="nil"/>
              <w:right w:val="nil"/>
            </w:tcBorders>
            <w:vAlign w:val="center"/>
          </w:tcPr>
          <w:p w14:paraId="7E1488F8">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3.1654</w:t>
            </w:r>
          </w:p>
        </w:tc>
        <w:tc>
          <w:tcPr>
            <w:tcW w:w="2247" w:type="dxa"/>
            <w:tcBorders>
              <w:top w:val="nil"/>
              <w:left w:val="nil"/>
              <w:bottom w:val="nil"/>
              <w:right w:val="nil"/>
            </w:tcBorders>
            <w:vAlign w:val="center"/>
          </w:tcPr>
          <w:p w14:paraId="18C1119D">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+35.51</w:t>
            </w:r>
          </w:p>
        </w:tc>
      </w:tr>
      <w:tr w14:paraId="2E6D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53686FAE">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98</w:t>
            </w:r>
          </w:p>
        </w:tc>
        <w:tc>
          <w:tcPr>
            <w:tcW w:w="2141" w:type="dxa"/>
            <w:tcBorders>
              <w:top w:val="nil"/>
              <w:left w:val="nil"/>
              <w:bottom w:val="nil"/>
              <w:right w:val="nil"/>
            </w:tcBorders>
            <w:vAlign w:val="center"/>
          </w:tcPr>
          <w:p w14:paraId="44F0ECB7">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6.5078</w:t>
            </w:r>
          </w:p>
        </w:tc>
        <w:tc>
          <w:tcPr>
            <w:tcW w:w="2417" w:type="dxa"/>
            <w:tcBorders>
              <w:top w:val="nil"/>
              <w:left w:val="nil"/>
              <w:bottom w:val="nil"/>
              <w:right w:val="nil"/>
            </w:tcBorders>
            <w:vAlign w:val="center"/>
          </w:tcPr>
          <w:p w14:paraId="4F59CD19">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6.4157</w:t>
            </w:r>
          </w:p>
        </w:tc>
        <w:tc>
          <w:tcPr>
            <w:tcW w:w="2247" w:type="dxa"/>
            <w:tcBorders>
              <w:top w:val="nil"/>
              <w:left w:val="nil"/>
              <w:bottom w:val="nil"/>
              <w:right w:val="nil"/>
            </w:tcBorders>
            <w:vAlign w:val="center"/>
          </w:tcPr>
          <w:p w14:paraId="32451542">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+1.41</w:t>
            </w:r>
          </w:p>
        </w:tc>
      </w:tr>
      <w:tr w14:paraId="6D3E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26107590">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124</w:t>
            </w:r>
          </w:p>
        </w:tc>
        <w:tc>
          <w:tcPr>
            <w:tcW w:w="2141" w:type="dxa"/>
            <w:tcBorders>
              <w:top w:val="nil"/>
              <w:left w:val="nil"/>
              <w:bottom w:val="nil"/>
              <w:right w:val="nil"/>
            </w:tcBorders>
            <w:vAlign w:val="center"/>
          </w:tcPr>
          <w:p w14:paraId="5F29A865">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4.7742</w:t>
            </w:r>
          </w:p>
        </w:tc>
        <w:tc>
          <w:tcPr>
            <w:tcW w:w="2417" w:type="dxa"/>
            <w:tcBorders>
              <w:top w:val="nil"/>
              <w:left w:val="nil"/>
              <w:bottom w:val="nil"/>
              <w:right w:val="nil"/>
            </w:tcBorders>
            <w:vAlign w:val="center"/>
          </w:tcPr>
          <w:p w14:paraId="5A5F4447">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3.1472</w:t>
            </w:r>
          </w:p>
        </w:tc>
        <w:tc>
          <w:tcPr>
            <w:tcW w:w="2247" w:type="dxa"/>
            <w:tcBorders>
              <w:top w:val="nil"/>
              <w:left w:val="nil"/>
              <w:bottom w:val="nil"/>
              <w:right w:val="nil"/>
            </w:tcBorders>
            <w:vAlign w:val="center"/>
          </w:tcPr>
          <w:p w14:paraId="0D3AEDAF">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+34.08</w:t>
            </w:r>
          </w:p>
        </w:tc>
      </w:tr>
      <w:tr w14:paraId="7D734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42E765E7">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146</w:t>
            </w:r>
          </w:p>
        </w:tc>
        <w:tc>
          <w:tcPr>
            <w:tcW w:w="2141" w:type="dxa"/>
            <w:tcBorders>
              <w:top w:val="nil"/>
              <w:left w:val="nil"/>
              <w:bottom w:val="nil"/>
              <w:right w:val="nil"/>
            </w:tcBorders>
            <w:vAlign w:val="center"/>
          </w:tcPr>
          <w:p w14:paraId="3FB1AB3F">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5.5901</w:t>
            </w:r>
          </w:p>
        </w:tc>
        <w:tc>
          <w:tcPr>
            <w:tcW w:w="2417" w:type="dxa"/>
            <w:tcBorders>
              <w:top w:val="nil"/>
              <w:left w:val="nil"/>
              <w:bottom w:val="nil"/>
              <w:right w:val="nil"/>
            </w:tcBorders>
            <w:vAlign w:val="center"/>
          </w:tcPr>
          <w:p w14:paraId="78A46790">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3.8671</w:t>
            </w:r>
          </w:p>
        </w:tc>
        <w:tc>
          <w:tcPr>
            <w:tcW w:w="2247" w:type="dxa"/>
            <w:tcBorders>
              <w:top w:val="nil"/>
              <w:left w:val="nil"/>
              <w:bottom w:val="nil"/>
              <w:right w:val="nil"/>
            </w:tcBorders>
            <w:vAlign w:val="center"/>
          </w:tcPr>
          <w:p w14:paraId="3A841D73">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+30.82</w:t>
            </w:r>
          </w:p>
        </w:tc>
      </w:tr>
      <w:tr w14:paraId="28DA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219296C4">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170</w:t>
            </w:r>
          </w:p>
        </w:tc>
        <w:tc>
          <w:tcPr>
            <w:tcW w:w="2141" w:type="dxa"/>
            <w:tcBorders>
              <w:top w:val="nil"/>
              <w:left w:val="nil"/>
              <w:bottom w:val="nil"/>
              <w:right w:val="nil"/>
            </w:tcBorders>
            <w:vAlign w:val="center"/>
          </w:tcPr>
          <w:p w14:paraId="1BBD3120">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5.1325</w:t>
            </w:r>
          </w:p>
        </w:tc>
        <w:tc>
          <w:tcPr>
            <w:tcW w:w="2417" w:type="dxa"/>
            <w:tcBorders>
              <w:top w:val="nil"/>
              <w:left w:val="nil"/>
              <w:bottom w:val="nil"/>
              <w:right w:val="nil"/>
            </w:tcBorders>
            <w:vAlign w:val="center"/>
          </w:tcPr>
          <w:p w14:paraId="791F4129">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4.1259</w:t>
            </w:r>
          </w:p>
        </w:tc>
        <w:tc>
          <w:tcPr>
            <w:tcW w:w="2247" w:type="dxa"/>
            <w:tcBorders>
              <w:top w:val="nil"/>
              <w:left w:val="nil"/>
              <w:bottom w:val="nil"/>
              <w:right w:val="nil"/>
            </w:tcBorders>
            <w:vAlign w:val="center"/>
          </w:tcPr>
          <w:p w14:paraId="5AD7DFBB">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+19.61</w:t>
            </w:r>
          </w:p>
        </w:tc>
      </w:tr>
      <w:tr w14:paraId="557F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1BD243C3">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192</w:t>
            </w:r>
          </w:p>
        </w:tc>
        <w:tc>
          <w:tcPr>
            <w:tcW w:w="2141" w:type="dxa"/>
            <w:tcBorders>
              <w:top w:val="nil"/>
              <w:left w:val="nil"/>
              <w:bottom w:val="nil"/>
              <w:right w:val="nil"/>
            </w:tcBorders>
            <w:vAlign w:val="center"/>
          </w:tcPr>
          <w:p w14:paraId="70CED9D1">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4.4688</w:t>
            </w:r>
          </w:p>
        </w:tc>
        <w:tc>
          <w:tcPr>
            <w:tcW w:w="2417" w:type="dxa"/>
            <w:tcBorders>
              <w:top w:val="nil"/>
              <w:left w:val="nil"/>
              <w:bottom w:val="nil"/>
              <w:right w:val="nil"/>
            </w:tcBorders>
            <w:vAlign w:val="center"/>
          </w:tcPr>
          <w:p w14:paraId="3CF6969D">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3.0256</w:t>
            </w:r>
          </w:p>
        </w:tc>
        <w:tc>
          <w:tcPr>
            <w:tcW w:w="2247" w:type="dxa"/>
            <w:tcBorders>
              <w:top w:val="nil"/>
              <w:left w:val="nil"/>
              <w:bottom w:val="nil"/>
              <w:right w:val="nil"/>
            </w:tcBorders>
            <w:vAlign w:val="center"/>
          </w:tcPr>
          <w:p w14:paraId="6A7F5E42">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+32.29</w:t>
            </w:r>
          </w:p>
        </w:tc>
      </w:tr>
      <w:tr w14:paraId="2A43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nil"/>
              <w:right w:val="nil"/>
            </w:tcBorders>
            <w:vAlign w:val="center"/>
          </w:tcPr>
          <w:p w14:paraId="7B07A909">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306</w:t>
            </w:r>
          </w:p>
        </w:tc>
        <w:tc>
          <w:tcPr>
            <w:tcW w:w="2141" w:type="dxa"/>
            <w:tcBorders>
              <w:top w:val="nil"/>
              <w:left w:val="nil"/>
              <w:bottom w:val="nil"/>
              <w:right w:val="nil"/>
            </w:tcBorders>
            <w:vAlign w:val="center"/>
          </w:tcPr>
          <w:p w14:paraId="1AB9F3F4">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13.5865</w:t>
            </w:r>
          </w:p>
        </w:tc>
        <w:tc>
          <w:tcPr>
            <w:tcW w:w="2417" w:type="dxa"/>
            <w:tcBorders>
              <w:top w:val="nil"/>
              <w:left w:val="nil"/>
              <w:bottom w:val="nil"/>
              <w:right w:val="nil"/>
            </w:tcBorders>
            <w:vAlign w:val="center"/>
          </w:tcPr>
          <w:p w14:paraId="0CD16C9A">
            <w:pPr>
              <w:pStyle w:val="61"/>
              <w:snapToGrid w:val="0"/>
              <w:spacing w:before="312" w:after="312"/>
              <w:ind w:left="0" w:leftChars="0" w:right="0" w:rightChars="0" w:firstLine="0" w:firstLineChars="0"/>
              <w:jc w:val="right"/>
              <w:rPr>
                <w:rFonts w:hint="eastAsia" w:ascii="Times New Roman" w:eastAsia="宋体"/>
                <w:sz w:val="24"/>
                <w:vertAlign w:val="baseline"/>
              </w:rPr>
            </w:pPr>
            <w:r>
              <w:rPr>
                <w:rFonts w:hint="eastAsia" w:ascii="Times New Roman" w:eastAsia="宋体"/>
                <w:sz w:val="24"/>
                <w:vertAlign w:val="baseline"/>
                <w:lang w:val="en-US" w:eastAsia="zh-CN"/>
              </w:rPr>
              <w:t>12.6926</w:t>
            </w:r>
          </w:p>
        </w:tc>
        <w:tc>
          <w:tcPr>
            <w:tcW w:w="2247" w:type="dxa"/>
            <w:tcBorders>
              <w:top w:val="nil"/>
              <w:left w:val="nil"/>
              <w:bottom w:val="nil"/>
              <w:right w:val="nil"/>
            </w:tcBorders>
            <w:vAlign w:val="center"/>
          </w:tcPr>
          <w:p w14:paraId="74A666ED">
            <w:pPr>
              <w:pStyle w:val="61"/>
              <w:snapToGrid w:val="0"/>
              <w:spacing w:before="312" w:after="312"/>
              <w:ind w:left="0" w:leftChars="0" w:right="0" w:rightChars="0" w:firstLine="0" w:firstLineChars="0"/>
              <w:jc w:val="right"/>
              <w:rPr>
                <w:rFonts w:hint="eastAsia" w:ascii="Times New Roman" w:eastAsia="宋体"/>
                <w:sz w:val="24"/>
                <w:vertAlign w:val="baseline"/>
              </w:rPr>
            </w:pPr>
            <w:r>
              <w:rPr>
                <w:rFonts w:hint="eastAsia" w:ascii="Times New Roman" w:eastAsia="宋体"/>
                <w:sz w:val="24"/>
                <w:vertAlign w:val="baseline"/>
                <w:lang w:val="en-US" w:eastAsia="zh-CN"/>
              </w:rPr>
              <w:t>+6.58</w:t>
            </w:r>
          </w:p>
        </w:tc>
      </w:tr>
      <w:tr w14:paraId="5F4C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7" w:type="dxa"/>
            <w:tcBorders>
              <w:top w:val="nil"/>
              <w:left w:val="nil"/>
              <w:bottom w:val="single" w:color="auto" w:sz="12" w:space="0"/>
              <w:right w:val="nil"/>
            </w:tcBorders>
            <w:vAlign w:val="center"/>
          </w:tcPr>
          <w:p w14:paraId="14CC4646">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Mean</w:t>
            </w:r>
          </w:p>
        </w:tc>
        <w:tc>
          <w:tcPr>
            <w:tcW w:w="2141" w:type="dxa"/>
            <w:tcBorders>
              <w:top w:val="nil"/>
              <w:left w:val="nil"/>
              <w:bottom w:val="single" w:color="auto" w:sz="12" w:space="0"/>
              <w:right w:val="nil"/>
            </w:tcBorders>
            <w:vAlign w:val="center"/>
          </w:tcPr>
          <w:p w14:paraId="65BB2353">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6.3925</w:t>
            </w:r>
          </w:p>
        </w:tc>
        <w:tc>
          <w:tcPr>
            <w:tcW w:w="2417" w:type="dxa"/>
            <w:tcBorders>
              <w:top w:val="nil"/>
              <w:left w:val="nil"/>
              <w:bottom w:val="single" w:color="auto" w:sz="12" w:space="0"/>
              <w:right w:val="nil"/>
            </w:tcBorders>
            <w:vAlign w:val="center"/>
          </w:tcPr>
          <w:p w14:paraId="6D4A2A27">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5.2900</w:t>
            </w:r>
          </w:p>
        </w:tc>
        <w:tc>
          <w:tcPr>
            <w:tcW w:w="2247" w:type="dxa"/>
            <w:tcBorders>
              <w:top w:val="nil"/>
              <w:left w:val="nil"/>
              <w:bottom w:val="single" w:color="auto" w:sz="12" w:space="0"/>
              <w:right w:val="nil"/>
            </w:tcBorders>
            <w:vAlign w:val="center"/>
          </w:tcPr>
          <w:p w14:paraId="650ACAB5">
            <w:pPr>
              <w:pStyle w:val="61"/>
              <w:snapToGrid w:val="0"/>
              <w:spacing w:before="312" w:after="312"/>
              <w:ind w:left="0" w:leftChars="0" w:right="0" w:rightChars="0" w:firstLine="0" w:firstLineChars="0"/>
              <w:jc w:val="right"/>
              <w:rPr>
                <w:rFonts w:hint="default" w:ascii="Times New Roman" w:eastAsia="宋体"/>
                <w:sz w:val="24"/>
                <w:vertAlign w:val="baseline"/>
                <w:lang w:val="en-US" w:eastAsia="zh-CN"/>
              </w:rPr>
            </w:pPr>
            <w:r>
              <w:rPr>
                <w:rFonts w:hint="eastAsia" w:ascii="Times New Roman" w:eastAsia="宋体"/>
                <w:sz w:val="24"/>
                <w:vertAlign w:val="baseline"/>
                <w:lang w:val="en-US" w:eastAsia="zh-CN"/>
              </w:rPr>
              <w:t>+20.35</w:t>
            </w:r>
          </w:p>
        </w:tc>
      </w:tr>
    </w:tbl>
    <w:p w14:paraId="02DFC09E">
      <w:pPr>
        <w:pStyle w:val="61"/>
        <w:spacing w:before="312" w:after="312"/>
        <w:ind w:left="0" w:leftChars="0" w:firstLine="0" w:firstLineChars="0"/>
        <w:rPr>
          <w:rFonts w:hint="eastAsia"/>
        </w:rPr>
      </w:pPr>
    </w:p>
    <w:p w14:paraId="65830C77">
      <w:pPr>
        <w:pStyle w:val="61"/>
        <w:spacing w:before="312" w:after="312"/>
        <w:ind w:firstLine="480"/>
        <w:rPr>
          <w:rFonts w:hint="eastAsia"/>
        </w:rPr>
      </w:pPr>
      <w:r>
        <w:rPr>
          <w:rFonts w:hint="eastAsia"/>
        </w:rPr>
        <w:t xml:space="preserve">从表中可以看出，迁移学习策略在所有 10 位受试者上均取得了正向的性能提升，平均 RMSE降低了 </w:t>
      </w:r>
      <w:r>
        <w:rPr>
          <w:rFonts w:hint="eastAsia" w:eastAsia="宋体"/>
          <w:lang w:val="en-US" w:eastAsia="zh-CN"/>
        </w:rPr>
        <w:t>20.35</w:t>
      </w:r>
      <w:r>
        <w:rPr>
          <w:rFonts w:hint="eastAsia"/>
        </w:rPr>
        <w:t>%。这一结果验证了冻结编码器策略的普适性——预训练的 Transformer 编码器确实捕获了可迁移的血糖动态特征。</w:t>
      </w:r>
    </w:p>
    <w:p w14:paraId="2AA5A30A">
      <w:pPr>
        <w:pStyle w:val="61"/>
        <w:spacing w:before="312" w:after="312"/>
        <w:ind w:firstLine="480"/>
        <w:rPr>
          <w:rFonts w:hint="eastAsia"/>
        </w:rPr>
      </w:pPr>
    </w:p>
    <w:p w14:paraId="516F04E6">
      <w:pPr>
        <w:pStyle w:val="61"/>
        <w:spacing w:before="312" w:after="312"/>
        <w:ind w:firstLine="480"/>
        <w:rPr>
          <w:rFonts w:hint="eastAsia"/>
        </w:rPr>
      </w:pPr>
      <w:r>
        <w:rPr>
          <w:rFonts w:hint="eastAsia"/>
        </w:rPr>
        <w:t>为了直观展示微调带来的改善，我们绘制了部分测试集时间段内的预测曲线对比图（图 5-1）。</w:t>
      </w:r>
    </w:p>
    <w:p w14:paraId="07D365D8">
      <w:pPr>
        <w:pStyle w:val="61"/>
        <w:spacing w:before="312" w:after="312"/>
        <w:ind w:firstLine="480"/>
        <w:jc w:val="center"/>
      </w:pPr>
      <w:r>
        <w:drawing>
          <wp:inline distT="0" distB="0" distL="114300" distR="114300">
            <wp:extent cx="5037455" cy="3710940"/>
            <wp:effectExtent l="0" t="0" r="6985" b="762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41"/>
                    <a:stretch>
                      <a:fillRect/>
                    </a:stretch>
                  </pic:blipFill>
                  <pic:spPr>
                    <a:xfrm>
                      <a:off x="0" y="0"/>
                      <a:ext cx="5037455" cy="3710940"/>
                    </a:xfrm>
                    <a:prstGeom prst="rect">
                      <a:avLst/>
                    </a:prstGeom>
                    <a:noFill/>
                    <a:ln>
                      <a:noFill/>
                    </a:ln>
                  </pic:spPr>
                </pic:pic>
              </a:graphicData>
            </a:graphic>
          </wp:inline>
        </w:drawing>
      </w:r>
    </w:p>
    <w:p w14:paraId="45D0DF50">
      <w:pPr>
        <w:pStyle w:val="62"/>
        <w:numPr>
          <w:ilvl w:val="5"/>
          <w:numId w:val="9"/>
        </w:numPr>
        <w:spacing w:before="312" w:after="624"/>
        <w:rPr>
          <w:rFonts w:hint="eastAsia" w:eastAsia="宋体"/>
          <w:lang w:val="en-US" w:eastAsia="zh-CN"/>
        </w:rPr>
      </w:pPr>
      <w:r>
        <w:rPr>
          <w:lang w:val="en-US"/>
        </w:rPr>
        <w:t xml:space="preserve">The </w:t>
      </w:r>
      <w:r>
        <w:rPr>
          <w:rFonts w:hint="eastAsia" w:ascii="宋体" w:hAnsi="宋体" w:eastAsia="宋体" w:cs="宋体"/>
          <w:lang w:val="en-US"/>
        </w:rPr>
        <w:t>.</w:t>
      </w:r>
    </w:p>
    <w:p w14:paraId="325756AE">
      <w:pPr>
        <w:pStyle w:val="61"/>
        <w:spacing w:before="312" w:after="312"/>
        <w:ind w:firstLine="480"/>
        <w:jc w:val="center"/>
        <w:rPr>
          <w:rFonts w:hint="eastAsia"/>
        </w:rPr>
      </w:pPr>
    </w:p>
    <w:p w14:paraId="3E25C637">
      <w:pPr>
        <w:pStyle w:val="61"/>
        <w:spacing w:before="312" w:after="312"/>
        <w:ind w:left="0" w:leftChars="0" w:firstLine="0" w:firstLineChars="0"/>
      </w:pPr>
      <w:r>
        <w:drawing>
          <wp:inline distT="0" distB="0" distL="114300" distR="114300">
            <wp:extent cx="5037455" cy="3710940"/>
            <wp:effectExtent l="0" t="0" r="6985"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2"/>
                    <a:stretch>
                      <a:fillRect/>
                    </a:stretch>
                  </pic:blipFill>
                  <pic:spPr>
                    <a:xfrm>
                      <a:off x="0" y="0"/>
                      <a:ext cx="5037455" cy="3710940"/>
                    </a:xfrm>
                    <a:prstGeom prst="rect">
                      <a:avLst/>
                    </a:prstGeom>
                    <a:noFill/>
                    <a:ln>
                      <a:noFill/>
                    </a:ln>
                  </pic:spPr>
                </pic:pic>
              </a:graphicData>
            </a:graphic>
          </wp:inline>
        </w:drawing>
      </w:r>
    </w:p>
    <w:p w14:paraId="0E42EAF4">
      <w:pPr>
        <w:pStyle w:val="62"/>
        <w:numPr>
          <w:ilvl w:val="5"/>
          <w:numId w:val="9"/>
        </w:numPr>
        <w:spacing w:before="312" w:after="624"/>
        <w:rPr>
          <w:rFonts w:hint="eastAsia"/>
        </w:rPr>
      </w:pPr>
      <w:r>
        <w:rPr>
          <w:lang w:val="en-US"/>
        </w:rPr>
        <w:t xml:space="preserve">The </w:t>
      </w:r>
      <w:r>
        <w:rPr>
          <w:rFonts w:hint="eastAsia" w:ascii="宋体" w:hAnsi="宋体" w:eastAsia="宋体" w:cs="宋体"/>
          <w:lang w:val="en-US"/>
        </w:rPr>
        <w:t>.</w:t>
      </w:r>
    </w:p>
    <w:p w14:paraId="1609DDC2">
      <w:pPr>
        <w:pStyle w:val="61"/>
        <w:spacing w:before="312" w:after="312"/>
        <w:ind w:firstLine="480"/>
        <w:rPr>
          <w:rFonts w:hint="default" w:eastAsia="宋体"/>
          <w:lang w:val="en-US" w:eastAsia="zh-CN"/>
        </w:rPr>
      </w:pPr>
      <w:r>
        <w:rPr>
          <w:rFonts w:hint="eastAsia"/>
        </w:rPr>
        <w:t>从波形细节</w:t>
      </w:r>
      <w:r>
        <w:rPr>
          <w:rFonts w:hint="eastAsia" w:eastAsia="宋体"/>
          <w:lang w:eastAsia="zh-CN"/>
        </w:rPr>
        <w:t>，</w:t>
      </w:r>
      <w:r>
        <w:rPr>
          <w:rFonts w:hint="eastAsia" w:eastAsia="宋体"/>
          <w:lang w:val="en-US" w:eastAsia="zh-CN"/>
        </w:rPr>
        <w:t>我们可以分析出，微调带来了以下改善</w:t>
      </w:r>
    </w:p>
    <w:p w14:paraId="5F541942">
      <w:pPr>
        <w:pStyle w:val="61"/>
        <w:spacing w:before="312" w:after="312"/>
        <w:ind w:firstLine="480"/>
        <w:rPr>
          <w:rFonts w:hint="eastAsia"/>
        </w:rPr>
      </w:pPr>
      <w:r>
        <w:rPr>
          <w:rFonts w:hint="eastAsia"/>
        </w:rPr>
        <w:t>1.  峰值捕捉（Peak Consistency）：通用模型（Baseline）在血糖峰值处往往表现出“欠拟合”（Under-shooting），即预测的最高点</w:t>
      </w:r>
      <w:r>
        <w:rPr>
          <w:rFonts w:hint="eastAsia" w:eastAsia="宋体"/>
          <w:lang w:val="en-US" w:eastAsia="zh-CN"/>
        </w:rPr>
        <w:t>高</w:t>
      </w:r>
      <w:r>
        <w:rPr>
          <w:rFonts w:hint="eastAsia"/>
        </w:rPr>
        <w:t>于真实值的最高点。这是因为通用模型倾向于输出群体平均值，从而</w:t>
      </w:r>
      <w:r>
        <w:rPr>
          <w:rFonts w:hint="eastAsia" w:eastAsia="宋体"/>
          <w:lang w:val="en-US" w:eastAsia="zh-CN"/>
        </w:rPr>
        <w:t>突出</w:t>
      </w:r>
      <w:r>
        <w:rPr>
          <w:rFonts w:hint="eastAsia"/>
        </w:rPr>
        <w:t>了极端的峰值。经过微调后，Fine-tuned 模型能够更准确地达到真实的峰值高度，这对于高血糖预警至关重要。</w:t>
      </w:r>
    </w:p>
    <w:p w14:paraId="503D06B2">
      <w:pPr>
        <w:pStyle w:val="61"/>
        <w:spacing w:before="312" w:after="312"/>
        <w:ind w:firstLine="480"/>
        <w:rPr>
          <w:rFonts w:hint="eastAsia"/>
        </w:rPr>
      </w:pPr>
      <w:r>
        <w:rPr>
          <w:rFonts w:hint="eastAsia"/>
        </w:rPr>
        <w:t>2.  相位滞后（Phase Lag）改善：通用模型在血糖快速变化阶段（如餐后极速上升期）存在明显的滞后。微调模型通过适应个体的特有上升斜率，显著减少了这种滞后现象，使得预测曲线与真实曲线在时间轴上更贴合。</w:t>
      </w:r>
    </w:p>
    <w:p w14:paraId="51527C9A">
      <w:pPr>
        <w:pStyle w:val="61"/>
        <w:spacing w:before="312" w:after="312"/>
        <w:ind w:firstLine="480"/>
        <w:rPr>
          <w:rFonts w:hint="eastAsia"/>
        </w:rPr>
      </w:pPr>
      <w:r>
        <w:rPr>
          <w:rFonts w:hint="eastAsia"/>
        </w:rPr>
        <w:t>3.  基准线校正（Baseline Shift）：微调有效地调整了回归头的偏置（Bias），使得预测曲线整体向上平移，从而</w:t>
      </w:r>
      <w:r>
        <w:rPr>
          <w:rFonts w:hint="eastAsia" w:eastAsia="宋体"/>
          <w:lang w:val="en-US" w:eastAsia="zh-CN"/>
        </w:rPr>
        <w:t>减小</w:t>
      </w:r>
      <w:r>
        <w:rPr>
          <w:rFonts w:hint="eastAsia"/>
        </w:rPr>
        <w:t>了系统的平均偏差。</w:t>
      </w:r>
    </w:p>
    <w:p w14:paraId="3856C2DC">
      <w:pPr>
        <w:pStyle w:val="61"/>
        <w:spacing w:before="312" w:after="312"/>
        <w:ind w:left="0" w:leftChars="0" w:firstLine="0" w:firstLineChars="0"/>
        <w:rPr>
          <w:rFonts w:hint="eastAsia"/>
        </w:rPr>
      </w:pPr>
    </w:p>
    <w:p w14:paraId="08329D35">
      <w:pPr>
        <w:pStyle w:val="56"/>
        <w:numPr>
          <w:ilvl w:val="1"/>
          <w:numId w:val="9"/>
        </w:numPr>
      </w:pPr>
      <w:r>
        <w:rPr>
          <w:rFonts w:hint="eastAsia" w:eastAsia="宋体"/>
          <w:lang w:val="en-US" w:eastAsia="zh-CN"/>
        </w:rPr>
        <w:t>Conclusion</w:t>
      </w:r>
    </w:p>
    <w:p w14:paraId="76AD7CF0">
      <w:pPr>
        <w:pStyle w:val="61"/>
        <w:spacing w:before="312" w:after="312"/>
        <w:ind w:firstLine="480"/>
        <w:rPr>
          <w:rFonts w:hint="eastAsia"/>
        </w:rPr>
      </w:pPr>
    </w:p>
    <w:p w14:paraId="485B694C">
      <w:pPr>
        <w:pStyle w:val="61"/>
        <w:spacing w:before="312" w:after="312"/>
        <w:ind w:firstLine="480"/>
        <w:rPr>
          <w:rFonts w:hint="eastAsia"/>
        </w:rPr>
      </w:pPr>
      <w:r>
        <w:rPr>
          <w:rFonts w:hint="eastAsia"/>
        </w:rPr>
        <w:t>血糖调节机制既包含全人类共有的生理规律（如胰岛素的降糖作用、碳水化合物的升糖作用），也包含高度个性化的参数（如胰岛素敏感系数 ISF、碳水化合物系数 CIR）。</w:t>
      </w:r>
    </w:p>
    <w:p w14:paraId="6EC41B66">
      <w:pPr>
        <w:pStyle w:val="61"/>
        <w:spacing w:before="312" w:after="312"/>
        <w:ind w:firstLine="480"/>
        <w:rPr>
          <w:rFonts w:hint="eastAsia"/>
        </w:rPr>
      </w:pPr>
      <w:r>
        <w:rPr>
          <w:rFonts w:hint="eastAsia"/>
        </w:rPr>
        <w:t>预训练的 Transformer 编码器成功捕获了前者（共性），将其编码为深层特征；而微调输出层则相当于对后者（个性参数）进行了快速校准</w:t>
      </w:r>
      <w:r>
        <w:rPr>
          <w:rFonts w:hint="eastAsia" w:eastAsia="宋体"/>
          <w:lang w:eastAsia="zh-CN"/>
        </w:rPr>
        <w:t>，</w:t>
      </w:r>
      <w:r>
        <w:rPr>
          <w:rFonts w:hint="eastAsia"/>
        </w:rPr>
        <w:t>只更新输出层，</w:t>
      </w:r>
      <w:r>
        <w:rPr>
          <w:rFonts w:hint="eastAsia" w:eastAsia="宋体"/>
          <w:lang w:val="en-US" w:eastAsia="zh-CN"/>
        </w:rPr>
        <w:t>提高了对特定个体的预测能力</w:t>
      </w:r>
      <w:r>
        <w:rPr>
          <w:rFonts w:hint="eastAsia"/>
        </w:rPr>
        <w:t>。</w:t>
      </w:r>
    </w:p>
    <w:p w14:paraId="5898A29B">
      <w:pPr>
        <w:pStyle w:val="61"/>
        <w:spacing w:before="312" w:after="312"/>
        <w:ind w:left="0" w:leftChars="0" w:firstLine="420" w:firstLineChars="0"/>
        <w:rPr>
          <w:rFonts w:hint="eastAsia"/>
        </w:rPr>
      </w:pPr>
      <w:r>
        <w:rPr>
          <w:rFonts w:hint="eastAsia"/>
        </w:rPr>
        <w:t>该策略具有极高的工程应用价值。在实际产品中，我们可以预置一个云端训练好的高性能通用模型。当用户开始使用设备时，系统在前几天收集数据，然后在本地（手机或穿戴芯片）快速运行微调算法（仅更新一个简单的线性层），即可生成该用户的专属模型。这既保证了冷启动阶段的基本可用性（使用通用模型），又提供了随时间不断优化的个性化体验，且极大地保护了用户隐私（无需上传个体数据到云端重训）。</w:t>
      </w:r>
    </w:p>
    <w:p w14:paraId="06373D72">
      <w:pPr>
        <w:pStyle w:val="61"/>
        <w:spacing w:before="312" w:after="312"/>
        <w:ind w:firstLine="480"/>
        <w:rPr>
          <w:rFonts w:hint="eastAsia"/>
        </w:rPr>
      </w:pPr>
      <w:r>
        <w:rPr>
          <w:rFonts w:hint="eastAsia" w:eastAsia="宋体"/>
          <w:lang w:val="en-US" w:eastAsia="zh-CN"/>
        </w:rPr>
        <w:t>总的来讲，</w:t>
      </w:r>
      <w:r>
        <w:rPr>
          <w:rFonts w:hint="eastAsia"/>
        </w:rPr>
        <w:t xml:space="preserve">本章针对个体差异导致通用模型精度受限的问题，提出并验证了基于 Transformer 的个性化迁移学习策略。通过冻结预训练编码器并微调回归头，我们在 10 位独立受试者的少样本数据集上实现了一致性的性能提升。实验结果表明，该方法在全部受试者上平均将 RMSE 降低了 </w:t>
      </w:r>
      <w:r>
        <w:rPr>
          <w:rFonts w:hint="eastAsia" w:eastAsia="宋体"/>
          <w:lang w:val="en-US" w:eastAsia="zh-CN"/>
        </w:rPr>
        <w:t>20.35%</w:t>
      </w:r>
      <w:r>
        <w:rPr>
          <w:rFonts w:hint="eastAsia"/>
        </w:rPr>
        <w:t>。为实现低成本、高性能的个性化血糖健康管理系统提供了切实可行的技术路径。</w:t>
      </w:r>
    </w:p>
    <w:p w14:paraId="160FE15C">
      <w:pPr>
        <w:pStyle w:val="61"/>
        <w:spacing w:before="312" w:after="312"/>
        <w:ind w:firstLine="480"/>
        <w:rPr>
          <w:rFonts w:hint="eastAsia"/>
        </w:rPr>
      </w:pPr>
    </w:p>
    <w:p w14:paraId="033ADCA7">
      <w:pPr>
        <w:pStyle w:val="61"/>
        <w:spacing w:before="312" w:after="312"/>
        <w:ind w:firstLine="480"/>
        <w:rPr>
          <w:rFonts w:hint="eastAsia"/>
        </w:rPr>
      </w:pPr>
    </w:p>
    <w:p w14:paraId="61C583EF">
      <w:pPr>
        <w:pStyle w:val="61"/>
        <w:spacing w:before="312" w:after="312"/>
        <w:ind w:firstLine="480"/>
        <w:rPr>
          <w:rFonts w:hint="eastAsia"/>
        </w:rPr>
      </w:pPr>
    </w:p>
    <w:p w14:paraId="35C8E5E5">
      <w:pPr>
        <w:pStyle w:val="61"/>
        <w:spacing w:before="312" w:after="312"/>
        <w:ind w:firstLine="480"/>
        <w:rPr>
          <w:rFonts w:hint="eastAsia"/>
        </w:rPr>
      </w:pPr>
    </w:p>
    <w:p w14:paraId="21563CE2">
      <w:pPr>
        <w:pStyle w:val="61"/>
        <w:spacing w:before="312" w:after="312"/>
        <w:ind w:firstLine="480"/>
        <w:rPr>
          <w:rFonts w:hint="eastAsia"/>
        </w:rPr>
      </w:pPr>
    </w:p>
    <w:p w14:paraId="1DB30B71">
      <w:pPr>
        <w:pStyle w:val="61"/>
        <w:spacing w:before="312" w:after="312"/>
        <w:ind w:firstLine="480"/>
        <w:rPr>
          <w:rFonts w:hint="eastAsia"/>
        </w:rPr>
      </w:pPr>
    </w:p>
    <w:p w14:paraId="4C59AA4A">
      <w:pPr>
        <w:pStyle w:val="61"/>
        <w:spacing w:before="312" w:after="312"/>
        <w:ind w:firstLine="480"/>
        <w:rPr>
          <w:rFonts w:hint="eastAsia"/>
        </w:rPr>
      </w:pPr>
    </w:p>
    <w:p w14:paraId="3CCC3896">
      <w:pPr>
        <w:pStyle w:val="61"/>
        <w:spacing w:before="312" w:after="312"/>
        <w:ind w:firstLine="480"/>
        <w:rPr>
          <w:rFonts w:hint="eastAsia"/>
        </w:rPr>
      </w:pPr>
    </w:p>
    <w:p w14:paraId="4E830C94">
      <w:pPr>
        <w:pStyle w:val="61"/>
        <w:spacing w:before="312" w:after="312"/>
        <w:ind w:firstLine="480"/>
        <w:rPr>
          <w:rFonts w:hint="eastAsia"/>
        </w:rPr>
      </w:pPr>
    </w:p>
    <w:p w14:paraId="7E104B23">
      <w:pPr>
        <w:pStyle w:val="61"/>
        <w:spacing w:before="312" w:after="312"/>
        <w:ind w:firstLine="480"/>
        <w:rPr>
          <w:rFonts w:hint="eastAsia"/>
        </w:rPr>
      </w:pPr>
    </w:p>
    <w:p w14:paraId="4C183F26">
      <w:pPr>
        <w:pStyle w:val="61"/>
        <w:spacing w:before="312" w:after="312"/>
        <w:ind w:firstLine="480"/>
        <w:rPr>
          <w:rFonts w:hint="eastAsia"/>
        </w:rPr>
      </w:pPr>
    </w:p>
    <w:p w14:paraId="2770F199">
      <w:pPr>
        <w:pStyle w:val="61"/>
        <w:spacing w:before="312" w:after="312"/>
        <w:ind w:firstLine="480"/>
        <w:rPr>
          <w:rFonts w:hint="eastAsia"/>
        </w:rPr>
      </w:pPr>
    </w:p>
    <w:p w14:paraId="04C19BBD">
      <w:pPr>
        <w:pStyle w:val="61"/>
        <w:spacing w:before="312" w:after="312"/>
        <w:ind w:firstLine="480"/>
        <w:rPr>
          <w:rFonts w:hint="eastAsia"/>
        </w:rPr>
      </w:pPr>
    </w:p>
    <w:p w14:paraId="5DB62620">
      <w:pPr>
        <w:pStyle w:val="55"/>
        <w:numPr>
          <w:ilvl w:val="0"/>
          <w:numId w:val="9"/>
        </w:numPr>
        <w:wordWrap w:val="0"/>
        <w:rPr>
          <w:u w:val="none"/>
        </w:rPr>
      </w:pPr>
      <w:bookmarkStart w:id="25" w:name="_Toc199729485"/>
      <w:bookmarkStart w:id="26" w:name="_Toc201089529"/>
      <w:r>
        <w:rPr>
          <w:u w:val="none"/>
        </w:rPr>
        <w:br w:type="textWrapping"/>
      </w:r>
      <w:r>
        <w:rPr>
          <w:rFonts w:hint="eastAsia" w:eastAsia="宋体"/>
          <w:u w:val="none"/>
          <w:lang w:val="en-US" w:eastAsia="zh-CN"/>
        </w:rPr>
        <w:t>Meta-Transfer Learning</w:t>
      </w:r>
    </w:p>
    <w:p w14:paraId="069D6E15">
      <w:pPr>
        <w:pStyle w:val="56"/>
        <w:numPr>
          <w:ilvl w:val="1"/>
          <w:numId w:val="9"/>
        </w:numPr>
        <w:rPr>
          <w:rFonts w:hint="eastAsia"/>
          <w:lang w:val="en-GB"/>
        </w:rPr>
      </w:pPr>
      <w:r>
        <w:rPr>
          <w:rFonts w:hint="eastAsia" w:eastAsia="宋体"/>
          <w:lang w:val="en-US" w:eastAsia="zh-CN"/>
        </w:rPr>
        <w:t>Introduction</w:t>
      </w:r>
    </w:p>
    <w:p w14:paraId="230CAEAE">
      <w:pPr>
        <w:pStyle w:val="61"/>
        <w:spacing w:before="312" w:after="312"/>
        <w:ind w:firstLine="480"/>
        <w:rPr>
          <w:rFonts w:hint="eastAsia" w:eastAsia="宋体"/>
          <w:lang w:eastAsia="zh-CN"/>
        </w:rPr>
      </w:pPr>
      <w:r>
        <w:rPr>
          <w:rFonts w:hint="eastAsia" w:eastAsia="宋体"/>
          <w:lang w:eastAsia="zh-CN"/>
        </w:rPr>
        <w:t>上一章提出的冻结编码器迁移学习策略在 30% 校准数据（约 2-3 天）的条件下取得了显著的个性化效果。然而，在实际临床场景中，我们常常面临更加严苛的数据约束：新入组的患者可能仅有数小时的 CGM 记录，或者用户希望在佩戴设备后的第一天就能获得个性化的预测服务。在这种极端少样本（Extreme Few-shot）场景下——例如仅有 30-50 个样本（约 2.5-4 小时的数据）——第五章的策略可能因校准数据不足而无法充分捕捉个体特征，导致性能提升有限。</w:t>
      </w:r>
    </w:p>
    <w:p w14:paraId="1127667B">
      <w:pPr>
        <w:pStyle w:val="61"/>
        <w:spacing w:before="312" w:after="312"/>
        <w:ind w:firstLine="480"/>
        <w:rPr>
          <w:rFonts w:hint="eastAsia" w:eastAsia="宋体"/>
          <w:lang w:eastAsia="zh-CN"/>
        </w:rPr>
      </w:pPr>
      <w:r>
        <w:rPr>
          <w:rFonts w:hint="eastAsia" w:eastAsia="宋体"/>
          <w:lang w:eastAsia="zh-CN"/>
        </w:rPr>
        <w:t xml:space="preserve">这一挑战的根源在于标准迁移学习范式的优化目标。在第四章的预训练阶段，模型通过最小化所有源域受试者的平均损失来学习参数 </w:t>
      </w:r>
      <m:oMath>
        <m:r>
          <m:rPr/>
          <w:rPr>
            <w:rFonts w:hint="default" w:ascii="Cambria Math" w:eastAsia="宋体"/>
          </w:rPr>
          <m:t>θ</m:t>
        </m:r>
      </m:oMath>
      <w:r>
        <w:rPr>
          <w:rFonts w:hint="eastAsia" w:eastAsia="宋体"/>
          <w:lang w:eastAsia="zh-CN"/>
        </w:rPr>
        <w:t xml:space="preserve"> ：</w:t>
      </w:r>
    </w:p>
    <w:p w14:paraId="3C4587A3">
      <w:pPr>
        <w:pStyle w:val="61"/>
        <w:spacing w:before="312" w:after="312"/>
        <w:ind w:firstLine="480"/>
        <w:jc w:val="center"/>
        <w:rPr>
          <w:rFonts w:hint="eastAsia" w:eastAsia="宋体"/>
          <w:lang w:eastAsia="zh-CN"/>
        </w:rPr>
      </w:pPr>
      <m:oMathPara>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m:scr m:val="script"/>
                        </m:rPr>
                        <w:rPr>
                          <w:rFonts w:hint="default" w:ascii="Cambria Math" w:hAnsi="Cambria Math" w:eastAsia="MS Mincho"/>
                          <w:sz w:val="24"/>
                        </w:rPr>
                        <m:t>ℒ</m:t>
                      </m:r>
                      <m:ctrlPr>
                        <w:rPr>
                          <w:rFonts w:ascii="Cambria Math" w:hAnsi="Cambria Math" w:eastAsia="宋体"/>
                          <w:sz w:val="24"/>
                        </w:rPr>
                      </m:ctrlPr>
                    </m:e>
                  </m:nary>
                  <m:ctrlPr>
                    <w:rPr>
                      <w:rFonts w:hint="default" w:ascii="Cambria Math" w:hAnsi="Cambria Math" w:eastAsia="宋体"/>
                      <w:i/>
                      <w:sz w:val="24"/>
                    </w:rPr>
                  </m:ctrlPr>
                </m:e>
              </m:func>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m:oMathPara>
    </w:p>
    <w:p w14:paraId="53942E4B">
      <w:pPr>
        <w:pStyle w:val="61"/>
        <w:spacing w:before="312" w:after="312"/>
        <w:ind w:firstLine="480"/>
        <w:rPr>
          <w:rFonts w:hint="eastAsia" w:eastAsia="宋体"/>
          <w:lang w:eastAsia="zh-CN"/>
        </w:rPr>
      </w:pPr>
      <w:r>
        <w:rPr>
          <w:rFonts w:hint="eastAsia" w:eastAsia="宋体"/>
          <w:lang w:eastAsia="zh-CN"/>
        </w:rPr>
        <w:t>这种优化目标寻找的是一个在群体层面表现最优的参数点，但该点未必是一个对新任务快速适应最友好的起点。换句话说，标准预训练关注的是"预测得准"，而非"学得快"。</w:t>
      </w:r>
    </w:p>
    <w:p w14:paraId="7BD5A3A2">
      <w:pPr>
        <w:pStyle w:val="61"/>
        <w:spacing w:before="312" w:after="312"/>
        <w:ind w:firstLine="480"/>
        <w:rPr>
          <w:rFonts w:hint="eastAsia" w:eastAsia="宋体"/>
          <w:lang w:eastAsia="zh-CN"/>
        </w:rPr>
      </w:pPr>
      <w:r>
        <w:rPr>
          <w:rFonts w:hint="eastAsia" w:eastAsia="宋体"/>
          <w:lang w:eastAsia="zh-CN"/>
        </w:rPr>
        <w:t xml:space="preserve">元学习（Meta-Learning），也被称为"学会学习"（Learning to Learn），为解决这一问题提供了全新的视角 [52][53]。其核心思想是：与其寻找一个在平均意义上最优的参数，不如寻找一个对梯度更新最敏感的初始化参数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meta</m:t>
            </m:r>
            <m:ctrlPr>
              <w:rPr>
                <w:rFonts w:ascii="Cambria Math" w:hAnsi="Cambria Math" w:eastAsia="宋体"/>
                <w:sz w:val="24"/>
              </w:rPr>
            </m:ctrlPr>
          </m:sub>
        </m:sSub>
      </m:oMath>
      <w:r>
        <w:rPr>
          <w:rFonts w:hint="eastAsia" w:eastAsia="宋体"/>
          <w:lang w:eastAsia="zh-CN"/>
        </w:rPr>
        <w:t xml:space="preserve"> ，使得模型从该点出发，仅需少量梯度下降步骤即可快速适应任意新任务。形式化地：</w:t>
      </w:r>
    </w:p>
    <w:p w14:paraId="3A78C756">
      <w:pPr>
        <w:pStyle w:val="61"/>
        <w:spacing w:before="312" w:after="312"/>
        <w:ind w:firstLine="480"/>
        <w:jc w:val="center"/>
        <w:rPr>
          <w:rFonts w:hint="eastAsia" w:eastAsia="宋体"/>
          <w:lang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meta</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m:scr m:val="script"/>
                        </m:rPr>
                        <w:rPr>
                          <w:rFonts w:hint="default" w:ascii="Cambria Math" w:hAnsi="Cambria Math" w:eastAsia="MS Mincho"/>
                          <w:sz w:val="24"/>
                        </w:rPr>
                        <m:t>ℒ</m:t>
                      </m:r>
                      <m:ctrlPr>
                        <w:rPr>
                          <w:rFonts w:ascii="Cambria Math" w:hAnsi="Cambria Math" w:eastAsia="宋体"/>
                          <w:sz w:val="24"/>
                        </w:rPr>
                      </m:ctrlPr>
                    </m:e>
                  </m:nary>
                  <m:ctrlPr>
                    <w:rPr>
                      <w:rFonts w:hint="default" w:ascii="Cambria Math" w:hAnsi="Cambria Math" w:eastAsia="宋体"/>
                      <w:i/>
                      <w:sz w:val="24"/>
                    </w:rPr>
                  </m:ctrlPr>
                </m:e>
              </m:func>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θ−α</m:t>
              </m:r>
              <m:sSub>
                <m:sSubPr>
                  <m:ctrlPr>
                    <w:rPr>
                      <w:rFonts w:hint="default" w:ascii="Cambria Math" w:hAnsi="Cambria Math" w:eastAsia="宋体"/>
                      <w:sz w:val="24"/>
                    </w:rPr>
                  </m:ctrlPr>
                </m:sSubPr>
                <m:e>
                  <m:r>
                    <m:rPr>
                      <m:sty m:val="p"/>
                    </m:rPr>
                    <w:rPr>
                      <w:rFonts w:hint="default" w:ascii="Cambria Math" w:hAnsi="Cambria Math" w:eastAsia="宋体"/>
                      <w:sz w:val="24"/>
                    </w:rPr>
                    <m:t>∇</m:t>
                  </m:r>
                  <m:ctrlPr>
                    <w:rPr>
                      <w:rFonts w:hint="default" w:ascii="Cambria Math" w:hAnsi="Cambria Math" w:eastAsia="宋体"/>
                      <w:i/>
                      <w:sz w:val="24"/>
                    </w:rPr>
                  </m:ctrlPr>
                </m:e>
                <m:sub>
                  <m:r>
                    <m:rPr/>
                    <w:rPr>
                      <w:rFonts w:hint="default" w:ascii="Cambria Math" w:hAnsi="Cambria Math" w:eastAsia="宋体"/>
                      <w:sz w:val="24"/>
                    </w:rPr>
                    <m:t>θ</m:t>
                  </m:r>
                  <m:ctrlPr>
                    <w:rPr>
                      <w:rFonts w:hint="default" w:ascii="Cambria Math" w:hAnsi="Cambria Math" w:eastAsia="宋体"/>
                      <w:i/>
                      <w:sz w:val="24"/>
                    </w:rPr>
                  </m:ctrlPr>
                </m:sub>
              </m:sSub>
              <m:r>
                <m:rPr>
                  <m:scr m:val="script"/>
                </m:rPr>
                <w:rPr>
                  <w:rFonts w:hint="default" w:ascii="Cambria Math" w:hAnsi="Cambria Math" w:eastAsia="MS Mincho"/>
                  <w:sz w:val="24"/>
                </w:rPr>
                <m:t>ℒ</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w:rPr>
                      <w:rFonts w:hint="default" w:ascii="Cambria Math" w:hAnsi="Cambria Math" w:eastAsia="宋体"/>
                      <w:sz w:val="24"/>
                    </w:rPr>
                    <m:t>θ</m:t>
                  </m:r>
                  <m:ctrlPr>
                    <w:rPr>
                      <w:rFonts w:hint="default" w:ascii="Cambria Math" w:hAnsi="Cambria Math" w:eastAsia="宋体"/>
                      <w:i/>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hint="default" w:ascii="Cambria Math" w:hAnsi="Cambria Math" w:eastAsia="宋体"/>
                      <w:i/>
                      <w:sz w:val="24"/>
                    </w:rPr>
                  </m:ctrlPr>
                </m:e>
                <m:sub>
                  <m:r>
                    <m:rPr/>
                    <w:rPr>
                      <w:rFonts w:hint="default" w:ascii="Cambria Math" w:hAnsi="Cambria Math" w:eastAsia="宋体"/>
                      <w:sz w:val="24"/>
                    </w:rPr>
                    <m:t>i</m:t>
                  </m:r>
                  <m:ctrlPr>
                    <w:rPr>
                      <w:rFonts w:hint="default" w:ascii="Cambria Math" w:hAnsi="Cambria Math" w:eastAsia="宋体"/>
                      <w:i/>
                      <w:sz w:val="24"/>
                    </w:rPr>
                  </m:ctrlPr>
                </m:sub>
                <m:sup>
                  <m:r>
                    <m:rPr/>
                    <w:rPr>
                      <w:rFonts w:hint="default" w:ascii="Cambria Math" w:hAnsi="Cambria Math" w:eastAsia="宋体"/>
                      <w:sz w:val="24"/>
                    </w:rPr>
                    <m:t>support</m:t>
                  </m:r>
                  <m:ctrlPr>
                    <w:rPr>
                      <w:rFonts w:hint="default" w:ascii="Cambria Math" w:hAnsi="Cambria Math" w:eastAsia="宋体"/>
                      <w:i/>
                      <w:sz w:val="24"/>
                    </w:rPr>
                  </m:ctrlPr>
                </m:sup>
              </m:sSubSup>
              <m:r>
                <m:rPr/>
                <w:rPr>
                  <w:rFonts w:hint="default" w:ascii="Cambria Math" w:hAnsi="Cambria Math" w:eastAsia="宋体"/>
                  <w:sz w:val="24"/>
                </w:rPr>
                <m:t>)</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query</m:t>
              </m:r>
              <m:ctrlPr>
                <w:rPr>
                  <w:rFonts w:hint="default" w:ascii="Cambria Math" w:hAnsi="Cambria Math" w:eastAsia="宋体"/>
                  <w:sz w:val="24"/>
                </w:rPr>
              </m:ctrlPr>
            </m:sup>
          </m:sSubSup>
          <m:r>
            <m:rPr/>
            <w:rPr>
              <w:rFonts w:hint="default" w:ascii="Cambria Math" w:hAnsi="Cambria Math" w:eastAsia="宋体"/>
              <w:sz w:val="24"/>
            </w:rPr>
            <m:t>)</m:t>
          </m:r>
        </m:oMath>
      </m:oMathPara>
    </w:p>
    <w:p w14:paraId="346A7F2B">
      <w:pPr>
        <w:pStyle w:val="61"/>
        <w:spacing w:before="312" w:after="312"/>
        <w:ind w:firstLine="480"/>
        <w:rPr>
          <w:rFonts w:hint="eastAsia" w:eastAsia="宋体"/>
          <w:lang w:eastAsia="zh-CN"/>
        </w:rPr>
      </w:pPr>
      <w:r>
        <w:rPr>
          <w:rFonts w:hint="eastAsia" w:eastAsia="宋体"/>
          <w:lang w:eastAsia="zh-CN"/>
        </w:rPr>
        <w:t xml:space="preserve">其中 </w:t>
      </w:r>
      <m:oMath>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support</m:t>
            </m:r>
            <m:ctrlPr>
              <w:rPr>
                <w:rFonts w:ascii="Cambria Math" w:hAnsi="Cambria Math" w:eastAsia="宋体"/>
                <w:sz w:val="24"/>
              </w:rPr>
            </m:ctrlPr>
          </m:sup>
        </m:sSubSup>
      </m:oMath>
      <w:r>
        <w:rPr>
          <w:rFonts w:hint="eastAsia" w:eastAsia="宋体"/>
          <w:lang w:eastAsia="zh-CN"/>
        </w:rPr>
        <w:t xml:space="preserve"> 和 </w:t>
      </w:r>
      <m:oMath>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query</m:t>
            </m:r>
            <m:ctrlPr>
              <w:rPr>
                <w:rFonts w:ascii="Cambria Math" w:hAnsi="Cambria Math" w:eastAsia="宋体"/>
                <w:sz w:val="24"/>
              </w:rPr>
            </m:ctrlPr>
          </m:sup>
        </m:sSubSup>
      </m:oMath>
      <w:r>
        <w:rPr>
          <w:rFonts w:hint="eastAsia" w:eastAsia="宋体"/>
          <w:lang w:eastAsia="zh-CN"/>
        </w:rPr>
        <w:t xml:space="preserve"> 分别是任务 </w:t>
      </w:r>
      <m:oMath>
        <m:r>
          <m:rPr/>
          <w:rPr>
            <w:rFonts w:hint="default" w:ascii="Cambria Math" w:hAnsi="Cambria Math" w:eastAsia="宋体"/>
            <w:sz w:val="24"/>
          </w:rPr>
          <m:t>i</m:t>
        </m:r>
      </m:oMath>
      <w:r>
        <w:rPr>
          <w:rFonts w:hint="eastAsia" w:eastAsia="宋体"/>
          <w:lang w:eastAsia="zh-CN"/>
        </w:rPr>
        <w:t xml:space="preserve"> 的支持集和查询集。这一目标函数优化的是：经过一步（或数步）梯度更新后，模型在查询集上的表现。</w:t>
      </w:r>
    </w:p>
    <w:p w14:paraId="2255F522">
      <w:pPr>
        <w:pStyle w:val="61"/>
        <w:spacing w:before="312" w:after="312"/>
        <w:ind w:firstLine="480"/>
        <w:rPr>
          <w:rFonts w:hint="eastAsia" w:eastAsia="宋体"/>
          <w:lang w:eastAsia="zh-CN"/>
        </w:rPr>
      </w:pPr>
      <w:r>
        <w:rPr>
          <w:rFonts w:hint="eastAsia" w:eastAsia="宋体"/>
          <w:lang w:eastAsia="zh-CN"/>
        </w:rPr>
        <w:t>本章将深入探讨基于元学习的个性化血糖预测方法。我们采用 FOMAML（First-Order MAML）算法，在源域受试者上进行元训练，获得一个快速适应的初始化参数。随后，我们通过学习曲线实验，系统对比元迁移学习（Meta-Transfer Learning）与标准迁移学习（Basic Transfer Learning）在不同微调样本量下的性能差异，验证元学习在极端少样本场景下的优势。</w:t>
      </w:r>
    </w:p>
    <w:p w14:paraId="60A6E228">
      <w:pPr>
        <w:pStyle w:val="61"/>
        <w:spacing w:before="312" w:after="312"/>
        <w:ind w:firstLine="480"/>
        <w:rPr>
          <w:rFonts w:hint="eastAsia" w:eastAsia="宋体"/>
          <w:lang w:eastAsia="zh-CN"/>
        </w:rPr>
      </w:pPr>
    </w:p>
    <w:p w14:paraId="073A12EC">
      <w:pPr>
        <w:pStyle w:val="56"/>
        <w:numPr>
          <w:ilvl w:val="1"/>
          <w:numId w:val="9"/>
        </w:numPr>
        <w:rPr>
          <w:rFonts w:hint="eastAsia"/>
          <w:lang w:val="en-GB"/>
        </w:rPr>
      </w:pPr>
      <w:r>
        <w:rPr>
          <w:rFonts w:hint="eastAsia" w:eastAsia="宋体"/>
          <w:lang w:val="en-US" w:eastAsia="zh-CN"/>
        </w:rPr>
        <w:t>Meta-learning Theory</w:t>
      </w:r>
    </w:p>
    <w:p w14:paraId="27B21634">
      <w:pPr>
        <w:pStyle w:val="61"/>
        <w:spacing w:before="312" w:after="312"/>
        <w:ind w:firstLine="480"/>
        <w:rPr>
          <w:rFonts w:hint="eastAsia" w:eastAsia="宋体"/>
          <w:lang w:eastAsia="zh-CN"/>
        </w:rPr>
      </w:pPr>
      <w:r>
        <w:rPr>
          <w:rFonts w:hint="eastAsia" w:eastAsia="宋体"/>
          <w:lang w:eastAsia="zh-CN"/>
        </w:rPr>
        <w:t xml:space="preserve">在元学习框架中，我们将问题形式化为在一个任务分布 </w:t>
      </w:r>
      <m:oMath>
        <m:r>
          <m:rPr/>
          <w:rPr>
            <w:rFonts w:hint="default" w:ascii="Cambria Math" w:hAnsi="Cambria Math" w:eastAsia="宋体"/>
            <w:sz w:val="24"/>
          </w:rPr>
          <m:t>p(</m:t>
        </m:r>
        <m:r>
          <m:rPr>
            <m:scr m:val="script"/>
          </m:rPr>
          <w:rPr>
            <w:rFonts w:hint="default" w:ascii="Cambria Math" w:hAnsi="Cambria Math" w:eastAsia="MS Mincho"/>
            <w:sz w:val="24"/>
          </w:rPr>
          <m:t>T</m:t>
        </m:r>
        <m:r>
          <m:rPr/>
          <w:rPr>
            <w:rFonts w:hint="default" w:ascii="Cambria Math" w:hAnsi="Cambria Math" w:eastAsia="宋体"/>
            <w:sz w:val="24"/>
          </w:rPr>
          <m:t>)</m:t>
        </m:r>
      </m:oMath>
      <w:r>
        <w:rPr>
          <w:rFonts w:hint="eastAsia" w:eastAsia="宋体"/>
          <w:lang w:eastAsia="zh-CN"/>
        </w:rPr>
        <w:t xml:space="preserve"> 上的优化。每个任务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eastAsia="宋体"/>
          <w:lang w:eastAsia="zh-CN"/>
        </w:rPr>
        <w:t xml:space="preserve"> 对应一个独立的学习问题，在血糖预测场景下，一个受试者</w:t>
      </w:r>
      <w:r>
        <w:rPr>
          <w:rFonts w:hint="eastAsia" w:eastAsia="宋体"/>
          <w:lang w:val="en-US" w:eastAsia="zh-CN"/>
        </w:rPr>
        <w:t>就是</w:t>
      </w:r>
      <w:r>
        <w:rPr>
          <w:rFonts w:hint="eastAsia" w:eastAsia="宋体"/>
          <w:lang w:eastAsia="zh-CN"/>
        </w:rPr>
        <w:t>一个任务。</w:t>
      </w:r>
    </w:p>
    <w:p w14:paraId="49664929">
      <w:pPr>
        <w:pStyle w:val="61"/>
        <w:spacing w:before="312" w:after="312"/>
        <w:ind w:firstLine="480"/>
        <w:rPr>
          <w:rFonts w:hint="eastAsia" w:eastAsia="宋体"/>
          <w:lang w:eastAsia="zh-CN"/>
        </w:rPr>
      </w:pPr>
      <w:r>
        <w:rPr>
          <w:rFonts w:hint="eastAsia" w:eastAsia="宋体"/>
          <w:lang w:eastAsia="zh-CN"/>
        </w:rPr>
        <w:t xml:space="preserve">具体而言，对于受试者 </w:t>
      </w:r>
      <m:oMath>
        <m:r>
          <m:rPr/>
          <w:rPr>
            <w:rFonts w:hint="default" w:ascii="Cambria Math" w:hAnsi="Cambria Math" w:eastAsia="宋体"/>
            <w:sz w:val="24"/>
          </w:rPr>
          <m:t>i</m:t>
        </m:r>
      </m:oMath>
      <w:r>
        <w:rPr>
          <w:rFonts w:hint="eastAsia" w:eastAsia="宋体"/>
          <w:lang w:eastAsia="zh-CN"/>
        </w:rPr>
        <w:t xml:space="preserve">，其对应的任务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eastAsia="宋体"/>
          <w:lang w:eastAsia="zh-CN"/>
        </w:rPr>
        <w:t xml:space="preserve"> 包含：</w:t>
      </w:r>
    </w:p>
    <w:p w14:paraId="4E7C9812">
      <w:pPr>
        <w:pStyle w:val="61"/>
        <w:spacing w:before="312" w:after="312"/>
        <w:ind w:firstLine="480"/>
        <w:rPr>
          <w:rFonts w:hint="eastAsia" w:eastAsia="宋体"/>
          <w:lang w:eastAsia="zh-CN"/>
        </w:rPr>
      </w:pPr>
      <w:r>
        <w:rPr>
          <w:rFonts w:hint="eastAsia" w:eastAsia="宋体"/>
          <w:lang w:eastAsia="zh-CN"/>
        </w:rPr>
        <w:t xml:space="preserve">- 支持集（Support Set） </w:t>
      </w:r>
      <m:oMath>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eastAsia="宋体"/>
                <w:sz w:val="24"/>
              </w:rPr>
              <m:t>sup</m:t>
            </m:r>
            <m:ctrlPr>
              <w:rPr>
                <w:rFonts w:ascii="Cambria Math" w:hAnsi="Cambria Math" w:eastAsia="宋体"/>
                <w:sz w:val="24"/>
              </w:rPr>
            </m:ctrlPr>
          </m:sup>
        </m:sSubSup>
      </m:oMath>
      <w:r>
        <w:rPr>
          <w:rFonts w:hint="eastAsia" w:eastAsia="宋体"/>
          <w:lang w:eastAsia="zh-CN"/>
        </w:rPr>
        <w:t>：用于模型适应的少量样本。</w:t>
      </w:r>
    </w:p>
    <w:p w14:paraId="4BE95FD2">
      <w:pPr>
        <w:pStyle w:val="61"/>
        <w:spacing w:before="312" w:after="312"/>
        <w:ind w:firstLine="480"/>
        <w:rPr>
          <w:rFonts w:hint="eastAsia" w:eastAsia="宋体"/>
          <w:lang w:eastAsia="zh-CN"/>
        </w:rPr>
      </w:pPr>
      <w:r>
        <w:rPr>
          <w:rFonts w:hint="eastAsia" w:eastAsia="宋体"/>
          <w:lang w:eastAsia="zh-CN"/>
        </w:rPr>
        <w:t xml:space="preserve">- 查询集（Query Set） </w:t>
      </w:r>
      <m:oMath>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qry</m:t>
            </m:r>
            <m:ctrlPr>
              <w:rPr>
                <w:rFonts w:ascii="Cambria Math" w:hAnsi="Cambria Math" w:eastAsia="宋体"/>
                <w:sz w:val="24"/>
              </w:rPr>
            </m:ctrlPr>
          </m:sup>
        </m:sSubSup>
      </m:oMath>
      <w:r>
        <w:rPr>
          <w:rFonts w:hint="eastAsia" w:eastAsia="宋体"/>
          <w:lang w:eastAsia="zh-CN"/>
        </w:rPr>
        <w:t>：用于评估适应效果的样本。</w:t>
      </w:r>
    </w:p>
    <w:p w14:paraId="6D01CB4B">
      <w:pPr>
        <w:pStyle w:val="61"/>
        <w:spacing w:before="312" w:after="312"/>
        <w:ind w:firstLine="480"/>
        <w:rPr>
          <w:rFonts w:hint="eastAsia" w:eastAsia="宋体"/>
          <w:lang w:eastAsia="zh-CN"/>
        </w:rPr>
      </w:pPr>
      <w:r>
        <w:rPr>
          <w:rFonts w:hint="eastAsia" w:eastAsia="宋体"/>
          <w:lang w:eastAsia="zh-CN"/>
        </w:rPr>
        <w:t xml:space="preserve">元学习的目标是学习一个初始化参数 </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meta</m:t>
            </m:r>
            <m:ctrlPr>
              <w:rPr>
                <w:rFonts w:ascii="Cambria Math" w:hAnsi="Cambria Math" w:eastAsia="宋体"/>
                <w:sz w:val="24"/>
              </w:rPr>
            </m:ctrlPr>
          </m:sub>
        </m:sSub>
      </m:oMath>
      <w:r>
        <w:rPr>
          <w:rFonts w:hint="eastAsia" w:eastAsia="宋体"/>
          <w:lang w:eastAsia="zh-CN"/>
        </w:rPr>
        <w:t xml:space="preserve">，使得对于从任务分布中采样的任意新任务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T</m:t>
            </m:r>
            <m:ctrlPr>
              <w:rPr>
                <w:rFonts w:ascii="Cambria Math" w:hAnsi="Cambria Math" w:eastAsia="宋体"/>
                <w:sz w:val="24"/>
              </w:rPr>
            </m:ctrlPr>
          </m:e>
          <m:sub>
            <m:r>
              <m:rPr/>
              <w:rPr>
                <w:rFonts w:hint="default" w:ascii="Cambria Math" w:hAnsi="Cambria Math" w:eastAsia="宋体"/>
                <w:sz w:val="24"/>
              </w:rPr>
              <m:t>new</m:t>
            </m:r>
            <m:ctrlPr>
              <w:rPr>
                <w:rFonts w:ascii="Cambria Math" w:hAnsi="Cambria Math" w:eastAsia="宋体"/>
                <w:sz w:val="24"/>
              </w:rPr>
            </m:ctrlPr>
          </m:sub>
        </m:sSub>
        <m:r>
          <m:rPr/>
          <w:rPr>
            <w:rFonts w:hint="default" w:ascii="Cambria Math" w:hAnsi="Cambria Math" w:eastAsia="宋体"/>
            <w:sz w:val="24"/>
          </w:rPr>
          <m:t>∼p(</m:t>
        </m:r>
        <m:r>
          <m:rPr>
            <m:scr m:val="script"/>
          </m:rPr>
          <w:rPr>
            <w:rFonts w:hint="default" w:ascii="Cambria Math" w:hAnsi="Cambria Math" w:eastAsia="MS Mincho"/>
            <w:sz w:val="24"/>
          </w:rPr>
          <m:t>T</m:t>
        </m:r>
        <m:r>
          <m:rPr/>
          <w:rPr>
            <w:rFonts w:hint="default" w:ascii="Cambria Math" w:hAnsi="Cambria Math" w:eastAsia="宋体"/>
            <w:sz w:val="24"/>
          </w:rPr>
          <m:t>)</m:t>
        </m:r>
      </m:oMath>
      <w:r>
        <w:rPr>
          <w:rFonts w:hint="eastAsia" w:eastAsia="宋体"/>
          <w:lang w:eastAsia="zh-CN"/>
        </w:rPr>
        <w:t xml:space="preserve">，模型能够仅用 </w:t>
      </w:r>
      <m:oMath>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new</m:t>
            </m:r>
            <m:ctrlPr>
              <w:rPr>
                <w:rFonts w:ascii="Cambria Math" w:hAnsi="Cambria Math" w:eastAsia="宋体"/>
                <w:sz w:val="24"/>
              </w:rPr>
            </m:ctrlPr>
          </m:sub>
          <m:sup>
            <m:r>
              <m:rPr>
                <m:sty m:val="p"/>
              </m:rPr>
              <w:rPr>
                <w:rFonts w:hint="default" w:ascii="Cambria Math" w:hAnsi="Cambria Math" w:eastAsia="宋体"/>
                <w:sz w:val="24"/>
              </w:rPr>
              <m:t>sup</m:t>
            </m:r>
            <m:ctrlPr>
              <w:rPr>
                <w:rFonts w:ascii="Cambria Math" w:hAnsi="Cambria Math" w:eastAsia="宋体"/>
                <w:sz w:val="24"/>
              </w:rPr>
            </m:ctrlPr>
          </m:sup>
        </m:sSubSup>
      </m:oMath>
      <w:r>
        <w:rPr>
          <w:rFonts w:hint="eastAsia" w:eastAsia="宋体"/>
          <w:lang w:eastAsia="zh-CN"/>
        </w:rPr>
        <w:t xml:space="preserve"> 中的少量样本快速适应，并在 </w:t>
      </w:r>
      <m:oMath>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new</m:t>
            </m:r>
            <m:ctrlPr>
              <w:rPr>
                <w:rFonts w:ascii="Cambria Math" w:hAnsi="Cambria Math" w:eastAsia="宋体"/>
                <w:sz w:val="24"/>
              </w:rPr>
            </m:ctrlPr>
          </m:sub>
          <m:sup>
            <m:r>
              <m:rPr/>
              <w:rPr>
                <w:rFonts w:hint="default" w:ascii="Cambria Math" w:hAnsi="Cambria Math" w:eastAsia="宋体"/>
                <w:sz w:val="24"/>
              </w:rPr>
              <m:t>qry</m:t>
            </m:r>
            <m:ctrlPr>
              <w:rPr>
                <w:rFonts w:ascii="Cambria Math" w:hAnsi="Cambria Math" w:eastAsia="宋体"/>
                <w:sz w:val="24"/>
              </w:rPr>
            </m:ctrlPr>
          </m:sup>
        </m:sSubSup>
      </m:oMath>
      <w:r>
        <w:rPr>
          <w:rFonts w:hint="eastAsia" w:eastAsia="宋体"/>
          <w:lang w:eastAsia="zh-CN"/>
        </w:rPr>
        <w:t xml:space="preserve"> 上取得良好表现。</w:t>
      </w:r>
    </w:p>
    <w:p w14:paraId="000142C3">
      <w:pPr>
        <w:pStyle w:val="61"/>
        <w:spacing w:before="312" w:after="312"/>
        <w:ind w:firstLine="480"/>
        <w:rPr>
          <w:rFonts w:hint="eastAsia" w:eastAsia="宋体"/>
          <w:lang w:eastAsia="zh-CN"/>
        </w:rPr>
      </w:pPr>
      <w:r>
        <w:rPr>
          <w:rFonts w:hint="eastAsia" w:eastAsia="宋体"/>
          <w:lang w:eastAsia="zh-CN"/>
        </w:rPr>
        <w:t>模型无关元学习（Model-Agnostic Meta-Learning, MAML）[53] 是元学习领域最具影响力的算法之一。其核心思想可以概括为两层循环的优化过程：</w:t>
      </w:r>
    </w:p>
    <w:p w14:paraId="22FE1A81">
      <w:pPr>
        <w:pStyle w:val="61"/>
        <w:spacing w:before="312" w:after="312"/>
        <w:ind w:firstLine="480"/>
        <w:rPr>
          <w:rFonts w:hint="eastAsia" w:eastAsia="宋体"/>
          <w:lang w:eastAsia="zh-CN"/>
        </w:rPr>
      </w:pPr>
      <w:r>
        <w:rPr>
          <w:rFonts w:hint="eastAsia" w:eastAsia="宋体"/>
          <w:lang w:eastAsia="zh-CN"/>
        </w:rPr>
        <w:t xml:space="preserve">内循环（Inner Loop）：对于采样到的每个任务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eastAsia="宋体"/>
          <w:lang w:eastAsia="zh-CN"/>
        </w:rPr>
        <w:t>，在支持集上进行  k  步梯度下降，得到适应后的参数：</w:t>
      </w:r>
    </w:p>
    <w:p w14:paraId="7ADB6238">
      <w:pPr>
        <w:pStyle w:val="61"/>
        <w:spacing w:before="312" w:after="312"/>
        <w:ind w:firstLine="480"/>
        <w:jc w:val="center"/>
        <w:rPr>
          <w:rFonts w:hint="eastAsia" w:eastAsia="宋体"/>
          <w:lang w:eastAsia="zh-CN"/>
        </w:rPr>
      </w:pPr>
      <m:oMathPara>
        <m:oMath>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=θ−α</m:t>
          </m:r>
          <m:sSub>
            <m:sSubPr>
              <m:ctrlPr>
                <w:rPr>
                  <w:rFonts w:hint="default" w:ascii="Cambria Math" w:hAnsi="Cambria Math" w:eastAsia="宋体"/>
                  <w:sz w:val="24"/>
                </w:rPr>
              </m:ctrlPr>
            </m:sSubPr>
            <m:e>
              <m:r>
                <m:rPr>
                  <m:sty m:val="p"/>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θ</m:t>
              </m:r>
              <m:ctrlPr>
                <w:rPr>
                  <w:rFonts w:ascii="Cambria Math" w:hAnsi="Cambria Math" w:eastAsia="宋体"/>
                  <w:sz w:val="24"/>
                </w:rPr>
              </m:ctrlPr>
            </m:sub>
          </m:sSub>
          <m:r>
            <m:rPr>
              <m:scr m:val="script"/>
            </m:rPr>
            <w:rPr>
              <w:rFonts w:hint="default" w:ascii="Cambria Math" w:hAnsi="Cambria Math" w:eastAsia="MS Mincho"/>
              <w:sz w:val="24"/>
            </w:rPr>
            <m:t>ℒ</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θ</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eastAsia="宋体"/>
                  <w:sz w:val="24"/>
                </w:rPr>
                <m:t>sup</m:t>
              </m:r>
              <m:ctrlPr>
                <w:rPr>
                  <w:rFonts w:ascii="Cambria Math" w:hAnsi="Cambria Math" w:eastAsia="宋体"/>
                  <w:sz w:val="24"/>
                </w:rPr>
              </m:ctrlPr>
            </m:sup>
          </m:sSubSup>
          <m:r>
            <m:rPr/>
            <w:rPr>
              <w:rFonts w:hint="default" w:ascii="Cambria Math" w:hAnsi="Cambria Math" w:eastAsia="宋体"/>
              <w:sz w:val="24"/>
            </w:rPr>
            <m:t>)</m:t>
          </m:r>
        </m:oMath>
      </m:oMathPara>
    </w:p>
    <w:p w14:paraId="208C9BA5">
      <w:pPr>
        <w:pStyle w:val="61"/>
        <w:spacing w:before="312" w:after="312"/>
        <w:ind w:firstLine="480"/>
        <w:rPr>
          <w:rFonts w:hint="eastAsia" w:eastAsia="宋体"/>
          <w:lang w:eastAsia="zh-CN"/>
        </w:rPr>
      </w:pPr>
      <w:r>
        <w:rPr>
          <w:rFonts w:hint="eastAsia" w:eastAsia="宋体"/>
          <w:lang w:eastAsia="zh-CN"/>
        </w:rPr>
        <w:t xml:space="preserve">外循环（Outer Loop）：计算适应后参数 </w:t>
      </w:r>
      <m:oMath>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eastAsia="宋体"/>
          <w:lang w:eastAsia="zh-CN"/>
        </w:rPr>
        <w:t xml:space="preserve"> 在查询集上的损失，并更新元参数：</w:t>
      </w:r>
    </w:p>
    <w:p w14:paraId="47EBA2D5">
      <w:pPr>
        <w:pStyle w:val="61"/>
        <w:spacing w:before="312" w:after="312"/>
        <w:ind w:firstLine="480"/>
        <w:jc w:val="center"/>
        <w:rPr>
          <w:rFonts w:hint="eastAsia" w:eastAsia="宋体"/>
          <w:lang w:eastAsia="zh-CN"/>
        </w:rPr>
      </w:pPr>
      <m:oMathPara>
        <m:oMath>
          <m:r>
            <m:rPr/>
            <w:rPr>
              <w:rFonts w:hint="default" w:ascii="Cambria Math" w:hAnsi="Cambria Math" w:eastAsia="宋体"/>
              <w:sz w:val="24"/>
            </w:rPr>
            <m:t>θ←θ−β</m:t>
          </m:r>
          <m:sSub>
            <m:sSubPr>
              <m:ctrlPr>
                <w:rPr>
                  <w:rFonts w:hint="default" w:ascii="Cambria Math" w:hAnsi="Cambria Math" w:eastAsia="宋体"/>
                  <w:sz w:val="24"/>
                </w:rPr>
              </m:ctrlPr>
            </m:sSubPr>
            <m:e>
              <m:r>
                <m:rPr>
                  <m:sty m:val="p"/>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θ</m:t>
              </m:r>
              <m:ctrlPr>
                <w:rPr>
                  <w:rFonts w:ascii="Cambria Math" w:hAnsi="Cambria Math" w:eastAsia="宋体"/>
                  <w:sz w:val="24"/>
                </w:rPr>
              </m:ctrlPr>
            </m:sub>
          </m:sSub>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m:scr m:val="script"/>
                </m:rPr>
                <w:rPr>
                  <w:rFonts w:hint="default" w:ascii="Cambria Math" w:hAnsi="Cambria Math" w:eastAsia="MS Mincho"/>
                  <w:sz w:val="24"/>
                </w:rPr>
                <m:t>ℒ</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qry</m:t>
              </m:r>
              <m:ctrlPr>
                <w:rPr>
                  <w:rFonts w:hint="default" w:ascii="Cambria Math" w:hAnsi="Cambria Math" w:eastAsia="宋体"/>
                  <w:sz w:val="24"/>
                </w:rPr>
              </m:ctrlPr>
            </m:sup>
          </m:sSubSup>
          <m:r>
            <m:rPr/>
            <w:rPr>
              <w:rFonts w:hint="default" w:ascii="Cambria Math" w:hAnsi="Cambria Math" w:eastAsia="宋体"/>
              <w:sz w:val="24"/>
            </w:rPr>
            <m:t>)</m:t>
          </m:r>
        </m:oMath>
      </m:oMathPara>
    </w:p>
    <w:p w14:paraId="4AD121C6">
      <w:pPr>
        <w:pStyle w:val="61"/>
        <w:spacing w:before="312" w:after="312"/>
        <w:ind w:firstLine="480"/>
        <w:rPr>
          <w:rFonts w:hint="eastAsia" w:eastAsia="宋体"/>
          <w:lang w:eastAsia="zh-CN"/>
        </w:rPr>
      </w:pPr>
      <w:r>
        <w:rPr>
          <w:rFonts w:hint="eastAsia" w:eastAsia="宋体"/>
          <w:lang w:eastAsia="zh-CN"/>
        </w:rPr>
        <w:t>MAML 的理论优势在于直接优化"适应后的性能"，但其计算代价较高——需要计算二阶导数（Hessian）来反向传播穿过内循环的梯度更新。</w:t>
      </w:r>
    </w:p>
    <w:p w14:paraId="712416CE">
      <w:pPr>
        <w:pStyle w:val="61"/>
        <w:spacing w:before="312" w:after="312"/>
        <w:ind w:firstLine="480"/>
        <w:rPr>
          <w:rFonts w:hint="eastAsia" w:eastAsia="宋体"/>
          <w:lang w:eastAsia="zh-CN"/>
        </w:rPr>
      </w:pPr>
      <w:r>
        <w:rPr>
          <w:rFonts w:hint="eastAsia" w:eastAsia="宋体"/>
          <w:lang w:eastAsia="zh-CN"/>
        </w:rPr>
        <w:t xml:space="preserve">FOMAML（First-Order MAML）[53] 是 MAML 的一阶近似变体，同样由 Finn 等人在原始 MAML 工作中提出。其核心简化在于：在外循环计算元梯度时，忽略内循环梯度更新对元参数的高阶依赖，直接使用适应后参数  </w:t>
      </w:r>
      <m:oMath>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eastAsia="宋体"/>
          <w:lang w:eastAsia="zh-CN"/>
        </w:rPr>
        <w:t xml:space="preserve">  处的一阶梯度来近似元梯度。具体而言，将 MAML 外循环中的元梯度：</w:t>
      </w:r>
    </w:p>
    <w:p w14:paraId="726A08C0">
      <w:pPr>
        <w:pStyle w:val="61"/>
        <w:spacing w:before="312" w:after="312"/>
        <w:ind w:firstLine="480"/>
        <w:jc w:val="center"/>
        <w:rPr>
          <w:rFonts w:hint="eastAsia" w:eastAsia="宋体"/>
          <w:lang w:eastAsia="zh-CN"/>
        </w:rPr>
      </w:pPr>
      <m:oMathPara>
        <m:oMath>
          <m:sSub>
            <m:sSubPr>
              <m:ctrlPr>
                <w:rPr>
                  <w:rFonts w:hint="default" w:ascii="Cambria Math" w:hAnsi="Cambria Math" w:eastAsia="宋体"/>
                  <w:sz w:val="24"/>
                </w:rPr>
              </m:ctrlPr>
            </m:sSubPr>
            <m:e>
              <m:r>
                <m:rPr>
                  <m:sty m:val="p"/>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θ</m:t>
              </m:r>
              <m:ctrlPr>
                <w:rPr>
                  <w:rFonts w:ascii="Cambria Math" w:hAnsi="Cambria Math" w:eastAsia="宋体"/>
                  <w:sz w:val="24"/>
                </w:rPr>
              </m:ctrlPr>
            </m:sub>
          </m:sSub>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m:scr m:val="script"/>
                </m:rPr>
                <w:rPr>
                  <w:rFonts w:hint="default" w:ascii="Cambria Math" w:hAnsi="Cambria Math" w:eastAsia="MS Mincho"/>
                  <w:sz w:val="24"/>
                </w:rPr>
                <m:t>ℒ</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qry</m:t>
              </m:r>
              <m:ctrlPr>
                <w:rPr>
                  <w:rFonts w:hint="default" w:ascii="Cambria Math" w:hAnsi="Cambria Math" w:eastAsia="宋体"/>
                  <w:sz w:val="24"/>
                </w:rPr>
              </m:ctrlPr>
            </m:sup>
          </m:sSubSup>
          <m:r>
            <m:rPr/>
            <w:rPr>
              <w:rFonts w:hint="default" w:ascii="Cambria Math" w:hAnsi="Cambria Math" w:eastAsia="宋体"/>
              <w:sz w:val="24"/>
            </w:rPr>
            <m:t>)</m:t>
          </m:r>
        </m:oMath>
      </m:oMathPara>
    </w:p>
    <w:p w14:paraId="1573D61B">
      <w:pPr>
        <w:pStyle w:val="61"/>
        <w:spacing w:before="312" w:after="312"/>
        <w:ind w:firstLine="480"/>
        <w:rPr>
          <w:rFonts w:hint="eastAsia" w:eastAsia="宋体"/>
          <w:lang w:eastAsia="zh-CN"/>
        </w:rPr>
      </w:pPr>
      <w:r>
        <w:rPr>
          <w:rFonts w:hint="eastAsia" w:eastAsia="宋体"/>
          <w:lang w:eastAsia="zh-CN"/>
        </w:rPr>
        <w:t>近似为：</w:t>
      </w:r>
    </w:p>
    <w:p w14:paraId="18879E52">
      <w:pPr>
        <w:pStyle w:val="61"/>
        <w:spacing w:before="312" w:after="312"/>
        <w:ind w:firstLine="480"/>
        <w:jc w:val="center"/>
        <w:rPr>
          <w:rFonts w:hint="eastAsia" w:eastAsia="宋体"/>
          <w:lang w:eastAsia="zh-CN"/>
        </w:rPr>
      </w:pPr>
      <m:oMathPara>
        <m:oMath>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m:sty m:val="p"/>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ctrlPr>
                <w:rPr>
                  <w:rFonts w:hint="default" w:ascii="Cambria Math" w:hAnsi="Cambria Math" w:eastAsia="宋体"/>
                  <w:sz w:val="24"/>
                </w:rPr>
              </m:ctrlPr>
            </m:e>
          </m:nary>
          <m:r>
            <m:rPr>
              <m:scr m:val="script"/>
            </m:rPr>
            <w:rPr>
              <w:rFonts w:hint="default" w:ascii="Cambria Math" w:hAnsi="Cambria Math" w:eastAsia="MS Mincho"/>
              <w:sz w:val="24"/>
            </w:rPr>
            <m:t>ℒ</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qry</m:t>
              </m:r>
              <m:ctrlPr>
                <w:rPr>
                  <w:rFonts w:hint="default" w:ascii="Cambria Math" w:hAnsi="Cambria Math" w:eastAsia="宋体"/>
                  <w:sz w:val="24"/>
                </w:rPr>
              </m:ctrlPr>
            </m:sup>
          </m:sSubSup>
          <m:r>
            <m:rPr/>
            <w:rPr>
              <w:rFonts w:hint="default" w:ascii="Cambria Math" w:hAnsi="Cambria Math" w:eastAsia="宋体"/>
              <w:sz w:val="24"/>
            </w:rPr>
            <m:t>)</m:t>
          </m:r>
        </m:oMath>
      </m:oMathPara>
    </w:p>
    <w:p w14:paraId="2E490819">
      <w:pPr>
        <w:pStyle w:val="61"/>
        <w:spacing w:before="312" w:after="312"/>
        <w:ind w:firstLine="480"/>
        <w:rPr>
          <w:rFonts w:hint="eastAsia" w:eastAsia="宋体"/>
          <w:lang w:eastAsia="zh-CN"/>
        </w:rPr>
      </w:pPr>
      <w:r>
        <w:rPr>
          <w:rFonts w:hint="eastAsia" w:eastAsia="宋体"/>
          <w:lang w:eastAsia="zh-CN"/>
        </w:rPr>
        <w:t>这一近似消除了对二阶导数（Hessian-向量积）的需求，同时保留了 MAML 的支持集-查询集双层评估框架。算法流程如下：</w:t>
      </w:r>
    </w:p>
    <w:p w14:paraId="5D5CA0DF">
      <w:pPr>
        <w:pStyle w:val="61"/>
        <w:spacing w:before="312" w:after="312"/>
        <w:ind w:firstLine="480"/>
        <w:jc w:val="center"/>
        <w:rPr>
          <w:rFonts w:hint="eastAsia" w:eastAsia="宋体"/>
          <w:lang w:eastAsia="zh-CN"/>
        </w:rPr>
      </w:pPr>
      <w:r>
        <w:drawing>
          <wp:inline distT="0" distB="0" distL="114300" distR="114300">
            <wp:extent cx="4765675" cy="2601595"/>
            <wp:effectExtent l="0" t="0" r="4445" b="444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3"/>
                    <a:stretch>
                      <a:fillRect/>
                    </a:stretch>
                  </pic:blipFill>
                  <pic:spPr>
                    <a:xfrm>
                      <a:off x="0" y="0"/>
                      <a:ext cx="4765675" cy="2601595"/>
                    </a:xfrm>
                    <a:prstGeom prst="rect">
                      <a:avLst/>
                    </a:prstGeom>
                    <a:noFill/>
                    <a:ln>
                      <a:noFill/>
                    </a:ln>
                  </pic:spPr>
                </pic:pic>
              </a:graphicData>
            </a:graphic>
          </wp:inline>
        </w:drawing>
      </w:r>
    </w:p>
    <w:p w14:paraId="0C3189B3">
      <w:pPr>
        <w:pStyle w:val="62"/>
        <w:numPr>
          <w:ilvl w:val="5"/>
          <w:numId w:val="9"/>
        </w:numPr>
        <w:spacing w:before="312" w:after="624"/>
        <w:rPr>
          <w:rFonts w:hint="eastAsia" w:eastAsia="宋体"/>
          <w:lang w:eastAsia="zh-CN"/>
        </w:rPr>
      </w:pPr>
      <w:r>
        <w:rPr>
          <w:lang w:val="en-US"/>
        </w:rPr>
        <w:t xml:space="preserve">The </w:t>
      </w:r>
      <w:r>
        <w:rPr>
          <w:rFonts w:hint="eastAsia" w:ascii="宋体" w:hAnsi="宋体" w:eastAsia="宋体" w:cs="宋体"/>
          <w:lang w:val="en-US"/>
        </w:rPr>
        <w:t>.</w:t>
      </w:r>
    </w:p>
    <w:p w14:paraId="05C37C3D">
      <w:pPr>
        <w:pStyle w:val="61"/>
        <w:spacing w:before="312" w:after="312"/>
        <w:ind w:firstLine="480"/>
        <w:rPr>
          <w:rFonts w:hint="eastAsia" w:eastAsia="宋体"/>
          <w:lang w:eastAsia="zh-CN"/>
        </w:rPr>
      </w:pPr>
      <w:r>
        <w:rPr>
          <w:rFonts w:hint="eastAsia" w:eastAsia="宋体"/>
          <w:lang w:eastAsia="zh-CN"/>
        </w:rPr>
        <w:t>Finn 等人 [53] 在实验中发现，这种一阶近似在多数场景下与完整 MAML 的效果几乎持平，却将计算复杂度从  O(m)  次 Hessian-向量积降至零，显著降低了内存和计算开销。这一特性使其更适用于血糖仪等资源受限设备上的在线学习。</w:t>
      </w:r>
    </w:p>
    <w:p w14:paraId="769032F7">
      <w:pPr>
        <w:pStyle w:val="61"/>
        <w:spacing w:before="312" w:after="312"/>
        <w:ind w:firstLine="480"/>
        <w:rPr>
          <w:rFonts w:hint="eastAsia" w:eastAsia="宋体"/>
          <w:lang w:eastAsia="zh-CN"/>
        </w:rPr>
      </w:pPr>
      <w:r>
        <w:rPr>
          <w:rFonts w:hint="eastAsia" w:eastAsia="宋体"/>
          <w:lang w:eastAsia="zh-CN"/>
        </w:rPr>
        <w:t>在血糖预测的语境下，这意味着：元学习获得的初始化参数不仅编码了通用的血糖动态规律，还编码了如何快速调整以适应个体差异的"元知识"。</w:t>
      </w:r>
    </w:p>
    <w:p w14:paraId="3AF63DA5">
      <w:pPr>
        <w:pStyle w:val="56"/>
        <w:numPr>
          <w:ilvl w:val="1"/>
          <w:numId w:val="9"/>
        </w:numPr>
        <w:rPr>
          <w:rFonts w:hint="eastAsia" w:eastAsia="宋体"/>
          <w:lang w:eastAsia="zh-CN"/>
        </w:rPr>
      </w:pPr>
      <w:r>
        <w:rPr>
          <w:rFonts w:hint="eastAsia" w:eastAsia="宋体"/>
          <w:lang w:val="en-US" w:eastAsia="zh-CN"/>
        </w:rPr>
        <w:t>Experiment and Analysis</w:t>
      </w:r>
    </w:p>
    <w:p w14:paraId="20A40FDB">
      <w:pPr>
        <w:pStyle w:val="61"/>
        <w:spacing w:before="312" w:after="312"/>
        <w:ind w:firstLine="480"/>
        <w:rPr>
          <w:rFonts w:hint="eastAsia" w:eastAsia="宋体"/>
          <w:lang w:eastAsia="zh-CN"/>
        </w:rPr>
      </w:pPr>
      <w:r>
        <w:rPr>
          <w:rFonts w:hint="eastAsia" w:eastAsia="宋体"/>
          <w:lang w:eastAsia="zh-CN"/>
        </w:rPr>
        <w:t>我们在源域数据集上进行 FOMAML 元训练。每个受试者被视为一个独立的任务。表 6-1 列出了元训练阶段的超参数配置。</w:t>
      </w:r>
    </w:p>
    <w:p w14:paraId="35CD718C">
      <w:pPr>
        <w:pStyle w:val="63"/>
        <w:spacing w:before="624" w:after="312"/>
        <w:rPr>
          <w:rFonts w:hint="eastAsia" w:eastAsia="宋体"/>
          <w:lang w:eastAsia="zh-CN"/>
        </w:rPr>
      </w:pPr>
      <w:r>
        <w:rPr>
          <w:rFonts w:hint="eastAsia"/>
        </w:rPr>
        <w:t>FOMAML Meta-Training Hyperparameter Configuration</w:t>
      </w:r>
    </w:p>
    <w:tbl>
      <w:tblPr>
        <w:tblStyle w:val="31"/>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7"/>
        <w:gridCol w:w="3282"/>
      </w:tblGrid>
      <w:tr w14:paraId="52F2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67" w:type="dxa"/>
            <w:tcBorders>
              <w:top w:val="single" w:color="auto" w:sz="12" w:space="0"/>
              <w:left w:val="nil"/>
              <w:bottom w:val="single" w:color="auto" w:sz="4" w:space="0"/>
              <w:right w:val="nil"/>
            </w:tcBorders>
            <w:vAlign w:val="center"/>
          </w:tcPr>
          <w:p w14:paraId="6255F5A8">
            <w:pPr>
              <w:pStyle w:val="61"/>
              <w:snapToGrid w:val="0"/>
              <w:spacing w:before="312" w:after="312"/>
              <w:ind w:left="0" w:leftChars="0" w:right="0" w:rightChars="0" w:firstLine="0" w:firstLineChars="0"/>
              <w:jc w:val="center"/>
              <w:rPr>
                <w:rFonts w:hint="eastAsia" w:eastAsia="宋体"/>
                <w:b/>
                <w:vertAlign w:val="baseline"/>
                <w:lang w:eastAsia="zh-CN"/>
              </w:rPr>
            </w:pPr>
            <w:r>
              <w:rPr>
                <w:rFonts w:hint="eastAsia" w:eastAsia="宋体"/>
                <w:b/>
                <w:lang w:eastAsia="zh-CN"/>
              </w:rPr>
              <w:t>Hyperparameter</w:t>
            </w:r>
          </w:p>
        </w:tc>
        <w:tc>
          <w:tcPr>
            <w:tcW w:w="3282" w:type="dxa"/>
            <w:tcBorders>
              <w:top w:val="single" w:color="auto" w:sz="12" w:space="0"/>
              <w:left w:val="nil"/>
              <w:bottom w:val="single" w:color="auto" w:sz="4" w:space="0"/>
              <w:right w:val="nil"/>
            </w:tcBorders>
            <w:vAlign w:val="center"/>
          </w:tcPr>
          <w:p w14:paraId="0FF4BF4F">
            <w:pPr>
              <w:pStyle w:val="61"/>
              <w:snapToGrid w:val="0"/>
              <w:spacing w:before="312" w:after="312"/>
              <w:ind w:left="0" w:leftChars="0" w:right="0" w:rightChars="0" w:firstLine="0" w:firstLineChars="0"/>
              <w:jc w:val="center"/>
              <w:rPr>
                <w:rFonts w:hint="eastAsia" w:eastAsia="宋体"/>
                <w:b/>
                <w:vertAlign w:val="baseline"/>
                <w:lang w:eastAsia="zh-CN"/>
              </w:rPr>
            </w:pPr>
            <w:r>
              <w:rPr>
                <w:rFonts w:hint="eastAsia" w:eastAsia="宋体"/>
                <w:b/>
                <w:lang w:eastAsia="zh-CN"/>
              </w:rPr>
              <w:t>Value</w:t>
            </w:r>
          </w:p>
        </w:tc>
      </w:tr>
      <w:tr w14:paraId="6E3E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single" w:color="auto" w:sz="4" w:space="0"/>
              <w:left w:val="nil"/>
              <w:bottom w:val="nil"/>
              <w:right w:val="nil"/>
            </w:tcBorders>
            <w:vAlign w:val="center"/>
          </w:tcPr>
          <w:p w14:paraId="280B8EC5">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Meta-training iterations </w:t>
            </w:r>
            <m:oMath>
              <m:sSub>
                <m:sSubPr>
                  <m:ctrlPr>
                    <w:rPr>
                      <w:rFonts w:hint="default" w:ascii="Cambria Math" w:hAnsi="Cambria Math" w:eastAsia="宋体"/>
                      <w:sz w:val="24"/>
                    </w:rPr>
                  </m:ctrlPr>
                </m:sSubPr>
                <m:e>
                  <m:r>
                    <m:rPr/>
                    <w:rPr>
                      <w:rFonts w:hint="default" w:ascii="Times New Roman" w:hAnsi="Times New Roman" w:eastAsia="宋体"/>
                      <w:sz w:val="24"/>
                    </w:rPr>
                    <m:t>T</m:t>
                  </m:r>
                  <m:ctrlPr>
                    <w:rPr>
                      <w:rFonts w:ascii="Cambria Math" w:hAnsi="Cambria Math" w:eastAsia="宋体"/>
                      <w:sz w:val="24"/>
                    </w:rPr>
                  </m:ctrlPr>
                </m:e>
                <m:sub>
                  <m:r>
                    <m:rPr/>
                    <w:rPr>
                      <w:rFonts w:hint="default" w:ascii="Times New Roman" w:hAnsi="Times New Roman" w:eastAsia="宋体"/>
                      <w:sz w:val="24"/>
                    </w:rPr>
                    <m:t>meta</m:t>
                  </m:r>
                  <m:ctrlPr>
                    <w:rPr>
                      <w:rFonts w:ascii="Cambria Math" w:hAnsi="Cambria Math" w:eastAsia="宋体"/>
                      <w:sz w:val="24"/>
                    </w:rPr>
                  </m:ctrlPr>
                </m:sub>
              </m:sSub>
            </m:oMath>
          </w:p>
        </w:tc>
        <w:tc>
          <w:tcPr>
            <w:tcW w:w="3282" w:type="dxa"/>
            <w:tcBorders>
              <w:top w:val="single" w:color="auto" w:sz="4" w:space="0"/>
              <w:left w:val="nil"/>
              <w:bottom w:val="nil"/>
              <w:right w:val="nil"/>
            </w:tcBorders>
            <w:vAlign w:val="center"/>
          </w:tcPr>
          <w:p w14:paraId="7CE9C6FD">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1000</w:t>
            </w:r>
          </w:p>
        </w:tc>
      </w:tr>
      <w:tr w14:paraId="7136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nil"/>
              <w:right w:val="nil"/>
            </w:tcBorders>
            <w:vAlign w:val="center"/>
          </w:tcPr>
          <w:p w14:paraId="0D2B33E2">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Meta learning rate </w:t>
            </w:r>
            <m:oMath>
              <m:r>
                <m:rPr/>
                <w:rPr>
                  <w:rFonts w:hint="default" w:ascii="Times New Roman" w:hAnsi="Times New Roman" w:eastAsia="宋体"/>
                  <w:sz w:val="24"/>
                </w:rPr>
                <m:t>ϵ</m:t>
              </m:r>
            </m:oMath>
          </w:p>
        </w:tc>
        <w:tc>
          <w:tcPr>
            <w:tcW w:w="3282" w:type="dxa"/>
            <w:tcBorders>
              <w:top w:val="nil"/>
              <w:left w:val="nil"/>
              <w:bottom w:val="nil"/>
              <w:right w:val="nil"/>
            </w:tcBorders>
            <w:vAlign w:val="center"/>
          </w:tcPr>
          <w:p w14:paraId="52B30521">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m:oMathPara>
              <m:oMath>
                <m:r>
                  <m:rPr/>
                  <w:rPr>
                    <w:rFonts w:hint="default" w:ascii="Cambria Math" w:hAnsi="Cambria Math" w:eastAsia="宋体"/>
                    <w:sz w:val="24"/>
                  </w:rPr>
                  <m:t>1</m:t>
                </m:r>
                <m:r>
                  <m:rPr>
                    <m:sty m:val="p"/>
                  </m:rPr>
                  <w:rPr>
                    <w:rFonts w:hint="default" w:ascii="Cambria Math" w:hAnsi="Cambria Math" w:eastAsia="宋体"/>
                    <w:sz w:val="24"/>
                  </w:rPr>
                  <m:t>×</m:t>
                </m:r>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−4</m:t>
                    </m:r>
                    <m:ctrlPr>
                      <w:rPr>
                        <w:rFonts w:ascii="Cambria Math" w:hAnsi="Cambria Math" w:eastAsia="宋体"/>
                        <w:sz w:val="24"/>
                      </w:rPr>
                    </m:ctrlPr>
                  </m:sup>
                </m:sSup>
              </m:oMath>
            </m:oMathPara>
          </w:p>
        </w:tc>
      </w:tr>
      <w:tr w14:paraId="5BBD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nil"/>
              <w:right w:val="nil"/>
            </w:tcBorders>
            <w:vAlign w:val="center"/>
          </w:tcPr>
          <w:p w14:paraId="1F7388EC">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Meta optimizer</w:t>
            </w:r>
          </w:p>
        </w:tc>
        <w:tc>
          <w:tcPr>
            <w:tcW w:w="3282" w:type="dxa"/>
            <w:tcBorders>
              <w:top w:val="nil"/>
              <w:left w:val="nil"/>
              <w:bottom w:val="nil"/>
              <w:right w:val="nil"/>
            </w:tcBorders>
            <w:vAlign w:val="center"/>
          </w:tcPr>
          <w:p w14:paraId="17467DC6">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Adam (</w:t>
            </w:r>
            <m:oMath>
              <m:r>
                <m:rPr/>
                <w:rPr>
                  <w:rFonts w:hint="default" w:ascii="Times New Roman" w:hAnsi="Times New Roman" w:eastAsia="宋体"/>
                  <w:sz w:val="24"/>
                </w:rPr>
                <m:t>λ=1</m:t>
              </m:r>
              <m:r>
                <m:rPr>
                  <m:sty m:val="p"/>
                </m:rPr>
                <w:rPr>
                  <w:rFonts w:hint="default" w:ascii="Times New Roman" w:hAnsi="Times New Roman" w:eastAsia="宋体"/>
                  <w:sz w:val="24"/>
                </w:rPr>
                <m:t>×</m:t>
              </m:r>
              <m:r>
                <m:rPr/>
                <w:rPr>
                  <w:rFonts w:hint="default" w:ascii="Times New Roman" w:hAnsi="Times New Roman" w:eastAsia="宋体"/>
                  <w:sz w:val="24"/>
                </w:rPr>
                <m:t>1</m:t>
              </m:r>
              <m:sSup>
                <m:sSupPr>
                  <m:ctrlPr>
                    <w:rPr>
                      <w:rFonts w:hint="default" w:ascii="Cambria Math" w:hAnsi="Cambria Math" w:eastAsia="宋体"/>
                      <w:sz w:val="24"/>
                    </w:rPr>
                  </m:ctrlPr>
                </m:sSupPr>
                <m:e>
                  <m:r>
                    <m:rPr/>
                    <w:rPr>
                      <w:rFonts w:hint="default" w:ascii="Times New Roman" w:hAnsi="Times New Roman" w:eastAsia="宋体"/>
                      <w:sz w:val="24"/>
                    </w:rPr>
                    <m:t>0</m:t>
                  </m:r>
                  <m:ctrlPr>
                    <w:rPr>
                      <w:rFonts w:ascii="Cambria Math" w:hAnsi="Cambria Math" w:eastAsia="宋体"/>
                      <w:sz w:val="24"/>
                    </w:rPr>
                  </m:ctrlPr>
                </m:e>
                <m:sup>
                  <m:r>
                    <m:rPr/>
                    <w:rPr>
                      <w:rFonts w:hint="default" w:ascii="Times New Roman" w:hAnsi="Times New Roman" w:eastAsia="宋体"/>
                      <w:sz w:val="24"/>
                    </w:rPr>
                    <m:t>−5</m:t>
                  </m:r>
                  <m:ctrlPr>
                    <w:rPr>
                      <w:rFonts w:ascii="Cambria Math" w:hAnsi="Cambria Math" w:eastAsia="宋体"/>
                      <w:sz w:val="24"/>
                    </w:rPr>
                  </m:ctrlPr>
                </m:sup>
              </m:sSup>
            </m:oMath>
            <w:r>
              <w:rPr>
                <w:rFonts w:hint="eastAsia" w:ascii="Times New Roman" w:eastAsia="宋体"/>
                <w:sz w:val="24"/>
                <w:lang w:eastAsia="zh-CN"/>
              </w:rPr>
              <w:t>)</w:t>
            </w:r>
          </w:p>
        </w:tc>
      </w:tr>
      <w:tr w14:paraId="269F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nil"/>
              <w:right w:val="nil"/>
            </w:tcBorders>
            <w:vAlign w:val="center"/>
          </w:tcPr>
          <w:p w14:paraId="1FA3B87F">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Task batch size </w:t>
            </w:r>
            <m:oMath>
              <m:r>
                <m:rPr/>
                <w:rPr>
                  <w:rFonts w:hint="default" w:ascii="Times New Roman" w:hAnsi="Times New Roman" w:eastAsia="宋体"/>
                  <w:sz w:val="24"/>
                </w:rPr>
                <m:t>K</m:t>
              </m:r>
            </m:oMath>
          </w:p>
        </w:tc>
        <w:tc>
          <w:tcPr>
            <w:tcW w:w="3282" w:type="dxa"/>
            <w:tcBorders>
              <w:top w:val="nil"/>
              <w:left w:val="nil"/>
              <w:bottom w:val="nil"/>
              <w:right w:val="nil"/>
            </w:tcBorders>
            <w:vAlign w:val="center"/>
          </w:tcPr>
          <w:p w14:paraId="08C96F14">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8</w:t>
            </w:r>
          </w:p>
        </w:tc>
      </w:tr>
      <w:tr w14:paraId="4F34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nil"/>
              <w:right w:val="nil"/>
            </w:tcBorders>
            <w:vAlign w:val="center"/>
          </w:tcPr>
          <w:p w14:paraId="436E66A1">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Inner loop steps </w:t>
            </w:r>
            <m:oMath>
              <m:r>
                <m:rPr/>
                <w:rPr>
                  <w:rFonts w:hint="default" w:ascii="Times New Roman" w:hAnsi="Times New Roman" w:eastAsia="宋体"/>
                  <w:sz w:val="24"/>
                </w:rPr>
                <m:t>m</m:t>
              </m:r>
            </m:oMath>
          </w:p>
        </w:tc>
        <w:tc>
          <w:tcPr>
            <w:tcW w:w="3282" w:type="dxa"/>
            <w:tcBorders>
              <w:top w:val="nil"/>
              <w:left w:val="nil"/>
              <w:bottom w:val="nil"/>
              <w:right w:val="nil"/>
            </w:tcBorders>
            <w:vAlign w:val="center"/>
          </w:tcPr>
          <w:p w14:paraId="7C831390">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5</w:t>
            </w:r>
          </w:p>
        </w:tc>
      </w:tr>
      <w:tr w14:paraId="172F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nil"/>
              <w:right w:val="nil"/>
            </w:tcBorders>
            <w:vAlign w:val="center"/>
          </w:tcPr>
          <w:p w14:paraId="4E50C90E">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Inner loop learning rate </w:t>
            </w:r>
            <m:oMath>
              <m:r>
                <m:rPr/>
                <w:rPr>
                  <w:rFonts w:hint="default" w:ascii="Times New Roman" w:hAnsi="Times New Roman" w:eastAsia="宋体"/>
                  <w:sz w:val="24"/>
                </w:rPr>
                <m:t>α</m:t>
              </m:r>
            </m:oMath>
          </w:p>
        </w:tc>
        <w:tc>
          <w:tcPr>
            <w:tcW w:w="3282" w:type="dxa"/>
            <w:tcBorders>
              <w:top w:val="nil"/>
              <w:left w:val="nil"/>
              <w:bottom w:val="nil"/>
              <w:right w:val="nil"/>
            </w:tcBorders>
            <w:vAlign w:val="center"/>
          </w:tcPr>
          <w:p w14:paraId="4B81B30B">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m:oMathPara>
              <m:oMath>
                <m:r>
                  <m:rPr/>
                  <w:rPr>
                    <w:rFonts w:hint="default" w:ascii="Times New Roman" w:hAnsi="Times New Roman" w:eastAsia="宋体"/>
                    <w:sz w:val="24"/>
                  </w:rPr>
                  <m:t>1</m:t>
                </m:r>
                <m:r>
                  <m:rPr>
                    <m:sty m:val="p"/>
                  </m:rPr>
                  <w:rPr>
                    <w:rFonts w:hint="default" w:ascii="Times New Roman" w:hAnsi="Times New Roman" w:eastAsia="宋体"/>
                    <w:sz w:val="24"/>
                  </w:rPr>
                  <m:t>×</m:t>
                </m:r>
                <m:r>
                  <m:rPr/>
                  <w:rPr>
                    <w:rFonts w:hint="default" w:ascii="Times New Roman" w:hAnsi="Times New Roman" w:eastAsia="宋体"/>
                    <w:sz w:val="24"/>
                  </w:rPr>
                  <m:t>1</m:t>
                </m:r>
                <m:sSup>
                  <m:sSupPr>
                    <m:ctrlPr>
                      <w:rPr>
                        <w:rFonts w:hint="default" w:ascii="Cambria Math" w:hAnsi="Cambria Math" w:eastAsia="宋体"/>
                        <w:sz w:val="24"/>
                      </w:rPr>
                    </m:ctrlPr>
                  </m:sSupPr>
                  <m:e>
                    <m:r>
                      <m:rPr/>
                      <w:rPr>
                        <w:rFonts w:hint="default" w:ascii="Times New Roman" w:hAnsi="Times New Roman" w:eastAsia="宋体"/>
                        <w:sz w:val="24"/>
                      </w:rPr>
                      <m:t>0</m:t>
                    </m:r>
                    <m:ctrlPr>
                      <w:rPr>
                        <w:rFonts w:ascii="Cambria Math" w:hAnsi="Cambria Math" w:eastAsia="宋体"/>
                        <w:sz w:val="24"/>
                      </w:rPr>
                    </m:ctrlPr>
                  </m:e>
                  <m:sup>
                    <m:r>
                      <m:rPr/>
                      <w:rPr>
                        <w:rFonts w:hint="default" w:ascii="Times New Roman" w:hAnsi="Times New Roman" w:eastAsia="宋体"/>
                        <w:sz w:val="24"/>
                      </w:rPr>
                      <m:t>−3</m:t>
                    </m:r>
                    <m:ctrlPr>
                      <w:rPr>
                        <w:rFonts w:ascii="Cambria Math" w:hAnsi="Cambria Math" w:eastAsia="宋体"/>
                        <w:sz w:val="24"/>
                      </w:rPr>
                    </m:ctrlPr>
                  </m:sup>
                </m:sSup>
              </m:oMath>
            </m:oMathPara>
          </w:p>
        </w:tc>
      </w:tr>
      <w:tr w14:paraId="0453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nil"/>
              <w:right w:val="nil"/>
            </w:tcBorders>
            <w:vAlign w:val="center"/>
          </w:tcPr>
          <w:p w14:paraId="4B394442">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Support set size </w:t>
            </w:r>
            <m:oMath>
              <m:sSubSup>
                <m:sSubSupPr>
                  <m:ctrlPr>
                    <w:rPr>
                      <w:rFonts w:hint="default" w:ascii="Cambria Math" w:hAnsi="Cambria Math" w:eastAsia="宋体"/>
                      <w:sz w:val="24"/>
                    </w:rPr>
                  </m:ctrlPr>
                </m:sSubSup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up>
                  <m:r>
                    <m:rPr>
                      <m:sty m:val="p"/>
                    </m:rPr>
                    <w:rPr>
                      <w:rFonts w:hint="default" w:ascii="Times New Roman" w:hAnsi="Times New Roman" w:eastAsia="宋体"/>
                      <w:sz w:val="24"/>
                    </w:rPr>
                    <m:t>sup</m:t>
                  </m:r>
                  <m:ctrlPr>
                    <w:rPr>
                      <w:rFonts w:ascii="Cambria Math" w:hAnsi="Cambria Math" w:eastAsia="宋体"/>
                      <w:sz w:val="24"/>
                    </w:rPr>
                  </m:ctrlPr>
                </m:sup>
              </m:sSubSup>
            </m:oMath>
          </w:p>
        </w:tc>
        <w:tc>
          <w:tcPr>
            <w:tcW w:w="3282" w:type="dxa"/>
            <w:tcBorders>
              <w:top w:val="nil"/>
              <w:left w:val="nil"/>
              <w:bottom w:val="nil"/>
              <w:right w:val="nil"/>
            </w:tcBorders>
            <w:vAlign w:val="center"/>
          </w:tcPr>
          <w:p w14:paraId="3D715D62">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64</w:t>
            </w:r>
          </w:p>
        </w:tc>
      </w:tr>
      <w:tr w14:paraId="64AD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7" w:type="dxa"/>
            <w:tcBorders>
              <w:top w:val="nil"/>
              <w:left w:val="nil"/>
              <w:bottom w:val="single" w:color="auto" w:sz="12" w:space="0"/>
              <w:right w:val="nil"/>
            </w:tcBorders>
            <w:vAlign w:val="center"/>
          </w:tcPr>
          <w:p w14:paraId="7DC83098">
            <w:pPr>
              <w:pStyle w:val="61"/>
              <w:snapToGrid w:val="0"/>
              <w:spacing w:before="312" w:after="312"/>
              <w:ind w:left="0" w:leftChars="0" w:right="0" w:rightChars="0" w:firstLine="0" w:firstLineChars="0"/>
              <w:jc w:val="center"/>
              <w:rPr>
                <w:rFonts w:hint="eastAsia" w:ascii="Times New Roman" w:eastAsia="宋体"/>
                <w:sz w:val="24"/>
                <w:vertAlign w:val="baseline"/>
                <w:lang w:eastAsia="zh-CN"/>
              </w:rPr>
            </w:pPr>
            <w:r>
              <w:rPr>
                <w:rFonts w:hint="eastAsia" w:ascii="Times New Roman" w:eastAsia="宋体"/>
                <w:sz w:val="24"/>
                <w:lang w:eastAsia="zh-CN"/>
              </w:rPr>
              <w:t xml:space="preserve">Query set size </w:t>
            </w:r>
            <m:oMath>
              <m:sSubSup>
                <m:sSubSupPr>
                  <m:ctrlPr>
                    <w:rPr>
                      <w:rFonts w:hint="default" w:ascii="Cambria Math" w:hAnsi="Cambria Math" w:eastAsia="宋体"/>
                      <w:sz w:val="24"/>
                    </w:rPr>
                  </m:ctrlPr>
                </m:sSubSup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up>
                  <m:r>
                    <m:rPr/>
                    <w:rPr>
                      <w:rFonts w:hint="default" w:ascii="Times New Roman" w:hAnsi="Times New Roman" w:eastAsia="宋体"/>
                      <w:sz w:val="24"/>
                    </w:rPr>
                    <m:t>qry</m:t>
                  </m:r>
                  <m:ctrlPr>
                    <w:rPr>
                      <w:rFonts w:ascii="Cambria Math" w:hAnsi="Cambria Math" w:eastAsia="宋体"/>
                      <w:sz w:val="24"/>
                    </w:rPr>
                  </m:ctrlPr>
                </m:sup>
              </m:sSubSup>
            </m:oMath>
          </w:p>
        </w:tc>
        <w:tc>
          <w:tcPr>
            <w:tcW w:w="3282" w:type="dxa"/>
            <w:tcBorders>
              <w:top w:val="nil"/>
              <w:left w:val="nil"/>
              <w:bottom w:val="single" w:color="auto" w:sz="12" w:space="0"/>
              <w:right w:val="nil"/>
            </w:tcBorders>
            <w:vAlign w:val="center"/>
          </w:tcPr>
          <w:p w14:paraId="04AE0784">
            <w:pPr>
              <w:pStyle w:val="61"/>
              <w:snapToGrid w:val="0"/>
              <w:spacing w:before="312" w:after="312"/>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64</w:t>
            </w:r>
          </w:p>
        </w:tc>
      </w:tr>
    </w:tbl>
    <w:p w14:paraId="7C5B5A59">
      <w:pPr>
        <w:pStyle w:val="61"/>
        <w:spacing w:before="312" w:after="312"/>
        <w:ind w:left="0" w:leftChars="0" w:firstLine="0" w:firstLineChars="0"/>
        <w:rPr>
          <w:rFonts w:hint="eastAsia" w:eastAsia="宋体"/>
          <w:lang w:eastAsia="zh-CN"/>
        </w:rPr>
      </w:pPr>
    </w:p>
    <w:p w14:paraId="34CF122A">
      <w:pPr>
        <w:pStyle w:val="61"/>
        <w:spacing w:before="312" w:after="312"/>
        <w:ind w:firstLine="480"/>
        <w:rPr>
          <w:rFonts w:hint="eastAsia" w:eastAsia="宋体"/>
          <w:lang w:eastAsia="zh-CN"/>
        </w:rPr>
      </w:pPr>
      <w:r>
        <w:rPr>
          <w:rFonts w:hint="eastAsia" w:eastAsia="宋体"/>
          <w:lang w:eastAsia="zh-CN"/>
        </w:rPr>
        <w:t xml:space="preserve">在每次元迭代中，我们从源域受试者中随机采样 </w:t>
      </w:r>
      <m:oMath>
        <m:r>
          <m:rPr/>
          <w:rPr>
            <w:rFonts w:hint="default" w:ascii="Cambria Math" w:hAnsi="Cambria Math" w:eastAsia="宋体"/>
            <w:sz w:val="24"/>
          </w:rPr>
          <m:t>K=8</m:t>
        </m:r>
      </m:oMath>
      <w:r>
        <w:rPr>
          <w:rFonts w:hint="eastAsia" w:eastAsia="宋体"/>
          <w:lang w:eastAsia="zh-CN"/>
        </w:rPr>
        <w:t xml:space="preserve"> 个任务，对每个任务在其支持集上进行 </w:t>
      </w:r>
      <m:oMath>
        <m:r>
          <m:rPr/>
          <w:rPr>
            <w:rFonts w:hint="default" w:ascii="Cambria Math" w:hAnsi="Cambria Math" w:eastAsia="宋体"/>
            <w:sz w:val="24"/>
          </w:rPr>
          <m:t>m=5</m:t>
        </m:r>
      </m:oMath>
      <w:r>
        <w:rPr>
          <w:rFonts w:hint="eastAsia" w:eastAsia="宋体"/>
          <w:lang w:eastAsia="zh-CN"/>
        </w:rPr>
        <w:t xml:space="preserve"> 步内循环适应，随后在查询集上计算损失并利用适应后参数处的一阶梯度更新元参数。元优化器采用 Adam，并引入权重衰减（</w:t>
      </w:r>
      <m:oMath>
        <m:r>
          <m:rPr/>
          <w:rPr>
            <w:rFonts w:hint="default" w:ascii="Cambria Math" w:hAnsi="Cambria Math" w:eastAsia="宋体"/>
            <w:sz w:val="24"/>
          </w:rPr>
          <m:t>λ=1</m:t>
        </m:r>
        <m:r>
          <m:rPr>
            <m:sty m:val="p"/>
          </m:rPr>
          <w:rPr>
            <w:rFonts w:hint="default" w:ascii="Cambria Math" w:hAnsi="Cambria Math" w:eastAsia="宋体"/>
            <w:sz w:val="24"/>
          </w:rPr>
          <m:t>×</m:t>
        </m:r>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−5</m:t>
            </m:r>
            <m:ctrlPr>
              <w:rPr>
                <w:rFonts w:ascii="Cambria Math" w:hAnsi="Cambria Math" w:eastAsia="宋体"/>
                <w:sz w:val="24"/>
              </w:rPr>
            </m:ctrlPr>
          </m:sup>
        </m:sSup>
      </m:oMath>
      <w:r>
        <w:rPr>
          <w:rFonts w:hint="eastAsia" w:eastAsia="宋体"/>
          <w:lang w:eastAsia="zh-CN"/>
        </w:rPr>
        <w:t>）和学习率调度器（衰减因子 0.5，耐心值 20）以提高收敛稳定性。</w:t>
      </w:r>
    </w:p>
    <w:p w14:paraId="64A9867B">
      <w:pPr>
        <w:pStyle w:val="61"/>
        <w:spacing w:before="312" w:after="312"/>
        <w:ind w:firstLine="480"/>
        <w:rPr>
          <w:rFonts w:hint="eastAsia" w:eastAsia="宋体"/>
          <w:lang w:eastAsia="zh-CN"/>
        </w:rPr>
      </w:pPr>
    </w:p>
    <w:p w14:paraId="78B3E648">
      <w:pPr>
        <w:pStyle w:val="61"/>
        <w:spacing w:before="312" w:after="312"/>
        <w:ind w:firstLine="480"/>
        <w:rPr>
          <w:rFonts w:hint="eastAsia" w:eastAsia="宋体"/>
          <w:lang w:eastAsia="zh-CN"/>
        </w:rPr>
      </w:pPr>
      <w:r>
        <w:rPr>
          <w:rFonts w:hint="eastAsia" w:eastAsia="宋体"/>
          <w:lang w:eastAsia="zh-CN"/>
        </w:rPr>
        <w:t>值得注意的是，我们采用热启动（Warm Start）策略：元训练的初始参数并非随机初始化，而是加载第四章中标准预训练得到的 Transformer 模型权重。这种策略结合了标准预训练的知识积累与元学习的快速适应能力，在实践中表现更为稳定。</w:t>
      </w:r>
    </w:p>
    <w:p w14:paraId="2ED9CE3F">
      <w:pPr>
        <w:pStyle w:val="61"/>
        <w:spacing w:before="312" w:after="312"/>
        <w:ind w:firstLine="480"/>
        <w:rPr>
          <w:rFonts w:hint="eastAsia" w:eastAsia="宋体"/>
          <w:lang w:eastAsia="zh-CN"/>
        </w:rPr>
      </w:pPr>
      <w:r>
        <w:rPr>
          <w:rFonts w:hint="eastAsia" w:eastAsia="宋体"/>
          <w:lang w:eastAsia="zh-CN"/>
        </w:rPr>
        <w:t>为了评估元学习初始化的优势，我们选取了保留数据集（Served Set）中的</w:t>
      </w:r>
      <w:r>
        <w:rPr>
          <w:rFonts w:hint="eastAsia" w:eastAsia="宋体"/>
          <w:lang w:val="en-US" w:eastAsia="zh-CN"/>
        </w:rPr>
        <w:t>10</w:t>
      </w:r>
      <w:r>
        <w:rPr>
          <w:rFonts w:hint="eastAsia" w:eastAsia="宋体"/>
          <w:lang w:eastAsia="zh-CN"/>
        </w:rPr>
        <w:t>位受试者进行验证。每位受试者的数据划分策略如下：</w:t>
      </w:r>
    </w:p>
    <w:p w14:paraId="4FA6B157">
      <w:pPr>
        <w:pStyle w:val="61"/>
        <w:spacing w:before="312" w:after="312"/>
        <w:ind w:firstLine="480"/>
        <w:rPr>
          <w:rFonts w:hint="eastAsia" w:eastAsia="宋体"/>
          <w:lang w:eastAsia="zh-CN"/>
        </w:rPr>
      </w:pPr>
      <w:r>
        <w:rPr>
          <w:rFonts w:hint="eastAsia" w:eastAsia="宋体"/>
          <w:lang w:eastAsia="zh-CN"/>
        </w:rPr>
        <w:t>- Pool 集（前 50%）：可用于微调的数据池，模拟用户佩戴设备初期积累的数据</w:t>
      </w:r>
    </w:p>
    <w:p w14:paraId="2E56E9C2">
      <w:pPr>
        <w:pStyle w:val="61"/>
        <w:spacing w:before="312" w:after="312"/>
        <w:ind w:firstLine="480"/>
        <w:rPr>
          <w:rFonts w:hint="eastAsia" w:eastAsia="宋体"/>
          <w:lang w:eastAsia="zh-CN"/>
        </w:rPr>
      </w:pPr>
      <w:r>
        <w:rPr>
          <w:rFonts w:hint="eastAsia" w:eastAsia="宋体"/>
          <w:lang w:eastAsia="zh-CN"/>
        </w:rPr>
        <w:t>- Test 集（后 50%）：用于最终评估的测试数据，模拟未来需要预测的时间段</w:t>
      </w:r>
    </w:p>
    <w:p w14:paraId="13C39BA9">
      <w:pPr>
        <w:pStyle w:val="61"/>
        <w:spacing w:before="312" w:after="312"/>
        <w:ind w:firstLine="480"/>
        <w:rPr>
          <w:rFonts w:hint="eastAsia" w:eastAsia="宋体"/>
          <w:lang w:eastAsia="zh-CN"/>
        </w:rPr>
      </w:pPr>
      <w:r>
        <w:rPr>
          <w:rFonts w:hint="eastAsia" w:eastAsia="宋体"/>
          <w:lang w:eastAsia="zh-CN"/>
        </w:rPr>
        <w:t>在微调阶段，我们从 Pool 集的末尾选取最近的  N  个样本作为微调数据。这种"取最新数据"的策略有两个考量：（1）最近的数据与测试集在时间上更接近，分布偏移更小；（2）模拟了实际部署中"用最新数据更新模型"的使用模式。</w:t>
      </w:r>
    </w:p>
    <w:p w14:paraId="1FE45CD3">
      <w:pPr>
        <w:pStyle w:val="61"/>
        <w:spacing w:before="312" w:after="312"/>
        <w:ind w:firstLine="480"/>
        <w:rPr>
          <w:rFonts w:hint="eastAsia" w:eastAsia="宋体"/>
          <w:lang w:eastAsia="zh-CN"/>
        </w:rPr>
      </w:pPr>
      <w:r>
        <w:rPr>
          <w:rFonts w:hint="eastAsia" w:eastAsia="宋体"/>
          <w:lang w:val="en-US" w:eastAsia="zh-CN"/>
        </w:rPr>
        <w:t>我们将比较基础迁移学习，和元迁移学习，</w:t>
      </w:r>
      <w:r>
        <w:rPr>
          <w:rFonts w:hint="eastAsia" w:eastAsia="宋体"/>
          <w:lang w:eastAsia="zh-CN"/>
        </w:rPr>
        <w:t>两种方法采用完全相同的微调策略和超参数，唯一的区别在于初始化参数的来源。这确保了实验对比的公平性——任何性能差异都可归因于初始化质量的不同。</w:t>
      </w:r>
    </w:p>
    <w:p w14:paraId="4FA071F9">
      <w:pPr>
        <w:pStyle w:val="61"/>
        <w:spacing w:before="312" w:after="312"/>
        <w:ind w:firstLine="480"/>
        <w:rPr>
          <w:rFonts w:hint="eastAsia" w:eastAsia="宋体"/>
          <w:lang w:eastAsia="zh-CN"/>
        </w:rPr>
      </w:pPr>
      <w:r>
        <w:rPr>
          <w:rFonts w:hint="eastAsia" w:eastAsia="宋体"/>
          <w:lang w:eastAsia="zh-CN"/>
        </w:rPr>
        <w:t xml:space="preserve">我们设置了多个微调样本量梯度  </w:t>
      </w:r>
      <m:oMath>
        <m:r>
          <m:rPr/>
          <w:rPr>
            <w:rFonts w:hint="default" w:ascii="Cambria Math" w:hAnsi="Cambria Math" w:eastAsia="宋体"/>
            <w:sz w:val="24"/>
          </w:rPr>
          <m:t>N∈{10,20,30,40,50,80,100</m:t>
        </m:r>
        <m:r>
          <m:rPr/>
          <w:rPr>
            <w:rFonts w:hint="default" w:ascii="Cambria Math" w:hAnsi="Cambria Math" w:eastAsia="宋体"/>
            <w:sz w:val="24"/>
            <w:lang w:val="en-US" w:eastAsia="zh-CN"/>
          </w:rPr>
          <m:t>,200</m:t>
        </m:r>
        <m:r>
          <m:rPr/>
          <w:rPr>
            <w:rFonts w:hint="default" w:ascii="Cambria Math" w:hAnsi="Cambria Math" w:eastAsia="宋体"/>
            <w:sz w:val="24"/>
          </w:rPr>
          <m:t>}</m:t>
        </m:r>
      </m:oMath>
      <w:r>
        <w:rPr>
          <w:rFonts w:hint="eastAsia" w:eastAsia="宋体"/>
          <w:lang w:eastAsia="zh-CN"/>
        </w:rPr>
        <w:t xml:space="preserve"> ，覆盖从极端少样本（~50 分钟数据）到中等样本量（~8 小时数据）的完整范围，以绘制学习曲线（Learning Curve）。</w:t>
      </w:r>
    </w:p>
    <w:p w14:paraId="4596B0EF">
      <w:pPr>
        <w:pStyle w:val="61"/>
        <w:spacing w:before="312" w:after="312"/>
        <w:ind w:firstLine="480"/>
        <w:rPr>
          <w:rFonts w:hint="eastAsia" w:eastAsia="宋体"/>
          <w:lang w:eastAsia="zh-CN"/>
        </w:rPr>
      </w:pPr>
    </w:p>
    <w:p w14:paraId="147F41CB">
      <w:pPr>
        <w:pStyle w:val="61"/>
        <w:spacing w:before="312" w:after="312"/>
        <w:ind w:firstLine="480"/>
        <w:jc w:val="center"/>
      </w:pPr>
      <w:r>
        <w:drawing>
          <wp:inline distT="0" distB="0" distL="114300" distR="114300">
            <wp:extent cx="4706620" cy="3104515"/>
            <wp:effectExtent l="0" t="0" r="2540"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4"/>
                    <a:stretch>
                      <a:fillRect/>
                    </a:stretch>
                  </pic:blipFill>
                  <pic:spPr>
                    <a:xfrm>
                      <a:off x="0" y="0"/>
                      <a:ext cx="4706620" cy="3104515"/>
                    </a:xfrm>
                    <a:prstGeom prst="rect">
                      <a:avLst/>
                    </a:prstGeom>
                    <a:noFill/>
                    <a:ln>
                      <a:noFill/>
                    </a:ln>
                  </pic:spPr>
                </pic:pic>
              </a:graphicData>
            </a:graphic>
          </wp:inline>
        </w:drawing>
      </w:r>
    </w:p>
    <w:p w14:paraId="1DC73629">
      <w:pPr>
        <w:pStyle w:val="62"/>
        <w:numPr>
          <w:ilvl w:val="5"/>
          <w:numId w:val="9"/>
        </w:numPr>
        <w:spacing w:before="312" w:after="624"/>
        <w:rPr>
          <w:rFonts w:hint="eastAsia" w:eastAsia="宋体"/>
          <w:lang w:eastAsia="zh-CN"/>
        </w:rPr>
      </w:pPr>
      <w:r>
        <w:rPr>
          <w:lang w:val="en-US"/>
        </w:rPr>
        <w:t xml:space="preserve">The </w:t>
      </w:r>
      <w:r>
        <w:rPr>
          <w:rFonts w:hint="eastAsia" w:ascii="宋体" w:hAnsi="宋体" w:eastAsia="宋体" w:cs="宋体"/>
          <w:lang w:val="en-US"/>
        </w:rPr>
        <w:t>.</w:t>
      </w:r>
    </w:p>
    <w:p w14:paraId="2D926717">
      <w:pPr>
        <w:pStyle w:val="61"/>
        <w:rPr>
          <w:rFonts w:hint="eastAsia"/>
          <w:lang w:eastAsia="zh-CN"/>
        </w:rPr>
      </w:pPr>
      <w:r>
        <w:rPr>
          <w:rFonts w:hint="eastAsia"/>
          <w:lang w:eastAsia="zh-CN"/>
        </w:rPr>
        <w:t>图 6-2 展示了</w:t>
      </w:r>
      <w:r>
        <w:rPr>
          <w:rFonts w:hint="eastAsia"/>
          <w:lang w:val="en-US" w:eastAsia="zh-CN"/>
        </w:rPr>
        <w:t>对于受试者124，</w:t>
      </w:r>
      <w:r>
        <w:rPr>
          <w:rFonts w:hint="eastAsia"/>
          <w:lang w:eastAsia="zh-CN"/>
        </w:rPr>
        <w:t xml:space="preserve"> Basic Transfer 与 Meta Transfer 在不同微调样本量下的 MAE 对比，这是本章的核心实验结果。</w:t>
      </w:r>
    </w:p>
    <w:p w14:paraId="5062625E">
      <w:pPr>
        <w:pStyle w:val="61"/>
        <w:rPr>
          <w:rFonts w:hint="eastAsia"/>
          <w:lang w:eastAsia="zh-CN"/>
        </w:rPr>
      </w:pPr>
      <w:r>
        <w:rPr>
          <w:rFonts w:hint="eastAsia"/>
          <w:lang w:val="en-US" w:eastAsia="zh-CN"/>
        </w:rPr>
        <w:t>从学习曲线中我们可以发现，</w:t>
      </w:r>
      <w:r>
        <w:rPr>
          <w:rFonts w:hint="eastAsia"/>
          <w:lang w:eastAsia="zh-CN"/>
        </w:rPr>
        <w:t xml:space="preserve">在微调样本量  </w:t>
      </w:r>
      <m:oMath>
        <m:r>
          <m:rPr/>
          <w:rPr>
            <w:rFonts w:hint="default" w:ascii="Cambria Math" w:hAnsi="Cambria Math"/>
            <w:sz w:val="24"/>
          </w:rPr>
          <m:t>N≤100</m:t>
        </m:r>
      </m:oMath>
      <w:r>
        <w:rPr>
          <w:rFonts w:hint="eastAsia"/>
          <w:lang w:eastAsia="zh-CN"/>
        </w:rPr>
        <w:t xml:space="preserve">  的区间内，Meta Transfer 相比 Basic Transfer 展现出明显的性能优势，MAE 平均降低 </w:t>
      </w:r>
      <w:r>
        <w:rPr>
          <w:rFonts w:hint="eastAsia"/>
          <w:lang w:val="en-US" w:eastAsia="zh-CN"/>
        </w:rPr>
        <w:t>25.67</w:t>
      </w:r>
      <w:r>
        <w:rPr>
          <w:rFonts w:hint="eastAsia"/>
          <w:lang w:eastAsia="zh-CN"/>
        </w:rPr>
        <w:t>%。</w:t>
      </w:r>
      <w:r>
        <w:rPr>
          <w:rFonts w:hint="eastAsia"/>
          <w:lang w:val="en-US" w:eastAsia="zh-CN"/>
        </w:rPr>
        <w:t>特别在样本量</w:t>
      </w:r>
      <m:oMath>
        <m:r>
          <m:rPr/>
          <w:rPr>
            <w:rFonts w:hint="default" w:ascii="Cambria Math" w:hAnsi="Cambria Math"/>
            <w:sz w:val="24"/>
          </w:rPr>
          <m:t>N≤</m:t>
        </m:r>
        <m:r>
          <m:rPr/>
          <w:rPr>
            <w:rFonts w:hint="default" w:ascii="Cambria Math" w:hAnsi="Cambria Math" w:eastAsia="宋体"/>
            <w:sz w:val="24"/>
            <w:lang w:val="en-US" w:eastAsia="zh-CN"/>
          </w:rPr>
          <m:t>4</m:t>
        </m:r>
        <m:r>
          <m:rPr/>
          <w:rPr>
            <w:rFonts w:hint="default" w:ascii="Cambria Math" w:hAnsi="Cambria Math"/>
            <w:sz w:val="24"/>
          </w:rPr>
          <m:t>0</m:t>
        </m:r>
      </m:oMath>
      <w:r>
        <w:rPr>
          <w:rFonts w:hint="eastAsia" w:hAnsi="Cambria Math" w:eastAsia="宋体"/>
          <w:i w:val="0"/>
          <w:sz w:val="24"/>
          <w:lang w:val="en-US" w:eastAsia="zh-CN"/>
        </w:rPr>
        <w:t>的极少样本情况下，MAE 平均降低达到31.58%。</w:t>
      </w:r>
      <w:r>
        <w:rPr>
          <w:rFonts w:hint="eastAsia"/>
          <w:lang w:eastAsia="zh-CN"/>
        </w:rPr>
        <w:t>这验证了元学习初始化在极端少样本场景下的有效性。</w:t>
      </w:r>
    </w:p>
    <w:p w14:paraId="44C9F298">
      <w:pPr>
        <w:pStyle w:val="61"/>
        <w:rPr>
          <w:rFonts w:hint="eastAsia"/>
          <w:lang w:eastAsia="zh-CN"/>
        </w:rPr>
      </w:pPr>
      <w:r>
        <w:rPr>
          <w:rFonts w:hint="eastAsia"/>
          <w:lang w:eastAsia="zh-CN"/>
        </w:rPr>
        <w:t>随着微调样本量的增加，两种方法的性能差距逐渐缩小。当  N &gt; 1</w:t>
      </w:r>
      <w:r>
        <w:rPr>
          <w:rFonts w:hint="eastAsia"/>
          <w:lang w:val="en-US" w:eastAsia="zh-CN"/>
        </w:rPr>
        <w:t>5</w:t>
      </w:r>
      <w:r>
        <w:rPr>
          <w:rFonts w:hint="eastAsia"/>
          <w:lang w:eastAsia="zh-CN"/>
        </w:rPr>
        <w:t>0  时，两者的 MAE 趋于接近。这一现象符合预期——当数据充足时，初始化的影响被充分的微调所"覆盖"；元学习的核心价值正是体现在数据稀缺的场景中。</w:t>
      </w:r>
    </w:p>
    <w:p w14:paraId="5323AF87">
      <w:pPr>
        <w:pStyle w:val="61"/>
        <w:spacing w:before="312" w:after="312"/>
        <w:ind w:left="0" w:leftChars="0" w:firstLine="420" w:firstLineChars="0"/>
        <w:jc w:val="both"/>
        <w:rPr>
          <w:rFonts w:hint="eastAsia"/>
          <w:lang w:eastAsia="zh-CN"/>
        </w:rPr>
      </w:pPr>
      <w:r>
        <w:rPr>
          <w:rFonts w:hint="eastAsia"/>
          <w:lang w:eastAsia="zh-CN"/>
        </w:rPr>
        <w:t>为了更直观地展示元学习的优势，我们选取  N=30 （约 2.5 小时数据）这一典型的少样本场景进行详细分析。</w:t>
      </w:r>
    </w:p>
    <w:p w14:paraId="50DDA103">
      <w:pPr>
        <w:pStyle w:val="61"/>
        <w:spacing w:before="312" w:after="312"/>
        <w:ind w:left="0" w:leftChars="0" w:firstLine="0" w:firstLineChars="0"/>
        <w:jc w:val="center"/>
        <w:rPr>
          <w:rFonts w:hint="eastAsia"/>
          <w:lang w:eastAsia="zh-CN"/>
        </w:rPr>
      </w:pPr>
      <w:r>
        <w:drawing>
          <wp:inline distT="0" distB="0" distL="114300" distR="114300">
            <wp:extent cx="4987290" cy="2828290"/>
            <wp:effectExtent l="0" t="0" r="11430" b="635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45"/>
                    <a:stretch>
                      <a:fillRect/>
                    </a:stretch>
                  </pic:blipFill>
                  <pic:spPr>
                    <a:xfrm>
                      <a:off x="0" y="0"/>
                      <a:ext cx="4987290" cy="2828290"/>
                    </a:xfrm>
                    <a:prstGeom prst="rect">
                      <a:avLst/>
                    </a:prstGeom>
                    <a:noFill/>
                    <a:ln>
                      <a:noFill/>
                    </a:ln>
                  </pic:spPr>
                </pic:pic>
              </a:graphicData>
            </a:graphic>
          </wp:inline>
        </w:drawing>
      </w:r>
    </w:p>
    <w:p w14:paraId="702FAF67">
      <w:pPr>
        <w:pStyle w:val="62"/>
        <w:numPr>
          <w:ilvl w:val="5"/>
          <w:numId w:val="9"/>
        </w:numPr>
        <w:spacing w:before="312" w:after="624"/>
      </w:pPr>
      <w:r>
        <w:rPr>
          <w:lang w:val="en-US"/>
        </w:rPr>
        <w:t xml:space="preserve">The </w:t>
      </w:r>
      <w:r>
        <w:rPr>
          <w:rFonts w:hint="eastAsia" w:ascii="宋体" w:hAnsi="宋体" w:eastAsia="宋体" w:cs="宋体"/>
          <w:lang w:val="en-US"/>
        </w:rPr>
        <w:t>.</w:t>
      </w:r>
    </w:p>
    <w:p w14:paraId="11770FCA">
      <w:pPr>
        <w:pStyle w:val="61"/>
        <w:spacing w:before="312" w:after="312"/>
        <w:ind w:left="0" w:leftChars="0" w:firstLine="420" w:firstLineChars="0"/>
        <w:jc w:val="both"/>
        <w:rPr>
          <w:rFonts w:hint="eastAsia"/>
          <w:lang w:eastAsia="zh-CN"/>
        </w:rPr>
      </w:pPr>
      <w:r>
        <w:rPr>
          <w:rFonts w:hint="eastAsia"/>
          <w:lang w:eastAsia="zh-CN"/>
        </w:rPr>
        <w:t>为了更直观地展示元学习的优势，我们选取  N=30 （约 2.5 小时数据）这一典型的少样本场景进行详细分析。</w:t>
      </w:r>
    </w:p>
    <w:p w14:paraId="29B34A42">
      <w:pPr>
        <w:pStyle w:val="61"/>
        <w:rPr>
          <w:rFonts w:hint="eastAsia"/>
        </w:rPr>
      </w:pPr>
      <w:r>
        <w:rPr>
          <w:rFonts w:hint="eastAsia"/>
        </w:rPr>
        <w:t>图 6-3 展示了</w:t>
      </w:r>
      <w:r>
        <w:rPr>
          <w:rFonts w:hint="eastAsia" w:eastAsia="宋体"/>
          <w:lang w:val="en-US" w:eastAsia="zh-CN"/>
        </w:rPr>
        <w:t>受试者124</w:t>
      </w:r>
      <w:r>
        <w:rPr>
          <w:rFonts w:hint="eastAsia"/>
        </w:rPr>
        <w:t>测试集上的时序预测波形对比。</w:t>
      </w:r>
    </w:p>
    <w:p w14:paraId="485106DC">
      <w:pPr>
        <w:pStyle w:val="61"/>
        <w:rPr>
          <w:rFonts w:hint="eastAsia"/>
        </w:rPr>
      </w:pPr>
      <w:r>
        <w:rPr>
          <w:rFonts w:hint="eastAsia"/>
        </w:rPr>
        <w:t>从波形细节可以观察到</w:t>
      </w:r>
      <w:r>
        <w:rPr>
          <w:rFonts w:hint="eastAsia" w:eastAsia="宋体"/>
          <w:lang w:eastAsia="zh-CN"/>
        </w:rPr>
        <w:t>，</w:t>
      </w:r>
      <w:r>
        <w:rPr>
          <w:rFonts w:hint="eastAsia"/>
        </w:rPr>
        <w:t>在血糖快速上升阶段（如餐后），Meta Transfer 模型能够更准确地追踪峰值位置和高度，而 Basic Transfer 存在明显的峰值</w:t>
      </w:r>
      <w:r>
        <w:rPr>
          <w:rFonts w:hint="eastAsia" w:eastAsia="宋体"/>
          <w:lang w:val="en-US" w:eastAsia="zh-CN"/>
        </w:rPr>
        <w:t>过冲</w:t>
      </w:r>
      <w:r>
        <w:rPr>
          <w:rFonts w:hint="eastAsia"/>
        </w:rPr>
        <w:t>现象。</w:t>
      </w:r>
      <w:r>
        <w:rPr>
          <w:rFonts w:hint="eastAsia" w:eastAsia="宋体"/>
          <w:lang w:val="en-US" w:eastAsia="zh-CN"/>
        </w:rPr>
        <w:t>同时</w:t>
      </w:r>
      <w:r>
        <w:rPr>
          <w:rFonts w:hint="eastAsia"/>
        </w:rPr>
        <w:t>Meta Transfer 模型在血糖变化点的响应更为迅速，相位滞后明显减小。</w:t>
      </w:r>
    </w:p>
    <w:p w14:paraId="6AFEF046">
      <w:pPr>
        <w:pStyle w:val="61"/>
        <w:rPr>
          <w:rFonts w:hint="eastAsia"/>
        </w:rPr>
      </w:pPr>
      <w:r>
        <w:rPr>
          <w:rFonts w:hint="eastAsia"/>
        </w:rPr>
        <w:t>在血糖平稳阶段，两种方法的表现相近，但 Meta Transfer 的预测方差略小。</w:t>
      </w:r>
      <w:r>
        <w:rPr>
          <w:rFonts w:hint="eastAsia" w:eastAsia="宋体"/>
          <w:lang w:val="en-US" w:eastAsia="zh-CN"/>
        </w:rPr>
        <w:t>这</w:t>
      </w:r>
      <w:r>
        <w:rPr>
          <w:rFonts w:hint="eastAsia"/>
        </w:rPr>
        <w:t>表明，Meta Transfer 不仅降低了平均误差，还减小了误差的波动幅度，表现为更稳定的预测质量。</w:t>
      </w:r>
    </w:p>
    <w:p w14:paraId="4FB67921">
      <w:pPr>
        <w:pStyle w:val="63"/>
        <w:spacing w:before="624" w:after="312"/>
        <w:rPr>
          <w:rFonts w:hint="eastAsia"/>
        </w:rPr>
      </w:pPr>
      <w:r>
        <w:rPr>
          <w:rFonts w:hint="eastAsia"/>
        </w:rPr>
        <w:t>F</w:t>
      </w:r>
    </w:p>
    <w:tbl>
      <w:tblPr>
        <w:tblStyle w:val="31"/>
        <w:tblW w:w="814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3"/>
        <w:gridCol w:w="2205"/>
        <w:gridCol w:w="2042"/>
        <w:gridCol w:w="2539"/>
      </w:tblGrid>
      <w:tr w14:paraId="19663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8DEC3A">
            <w:pPr>
              <w:pStyle w:val="61"/>
              <w:keepNext/>
              <w:snapToGrid w:val="0"/>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Metric</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D138331">
            <w:pPr>
              <w:pStyle w:val="61"/>
              <w:keepNext/>
              <w:snapToGrid w:val="0"/>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Basic Transfer</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D3A00DA">
            <w:pPr>
              <w:pStyle w:val="61"/>
              <w:keepNext/>
              <w:snapToGrid w:val="0"/>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Meta transfer</w:t>
            </w:r>
          </w:p>
        </w:tc>
        <w:tc>
          <w:tcPr>
            <w:tcW w:w="2539" w:type="dxa"/>
            <w:tcBorders>
              <w:top w:val="single" w:color="auto" w:sz="12" w:space="0"/>
              <w:left w:val="nil"/>
              <w:bottom w:val="nil"/>
              <w:right w:val="nil"/>
            </w:tcBorders>
            <w:noWrap w:val="0"/>
            <w:tcMar>
              <w:top w:w="-1" w:type="dxa"/>
              <w:left w:w="-1" w:type="dxa"/>
              <w:bottom w:w="-1" w:type="dxa"/>
              <w:right w:w="-1" w:type="dxa"/>
            </w:tcMar>
            <w:vAlign w:val="center"/>
          </w:tcPr>
          <w:p w14:paraId="2479A695">
            <w:pPr>
              <w:pStyle w:val="61"/>
              <w:keepNext/>
              <w:snapToGrid w:val="0"/>
              <w:ind w:left="0" w:leftChars="0" w:right="0" w:rightChars="0" w:firstLine="0" w:firstLineChars="0"/>
              <w:jc w:val="center"/>
              <w:rPr>
                <w:rFonts w:hint="default" w:eastAsia="宋体"/>
                <w:b/>
                <w:vertAlign w:val="baseline"/>
                <w:lang w:val="en-US" w:eastAsia="zh-CN"/>
              </w:rPr>
            </w:pPr>
            <w:r>
              <w:rPr>
                <w:rFonts w:hint="eastAsia" w:eastAsia="宋体"/>
                <w:b/>
                <w:vertAlign w:val="baseline"/>
                <w:lang w:val="en-US" w:eastAsia="zh-CN"/>
              </w:rPr>
              <w:t>Improvement(%)</w:t>
            </w:r>
          </w:p>
        </w:tc>
      </w:tr>
      <w:tr w14:paraId="469AE2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DCB32B">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MAE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083A5DD">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5.9383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6319B5">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5.3762</w:t>
            </w:r>
          </w:p>
        </w:tc>
        <w:tc>
          <w:tcPr>
            <w:tcW w:w="2539" w:type="dxa"/>
            <w:tcBorders>
              <w:top w:val="single" w:color="auto" w:sz="4" w:space="0"/>
              <w:left w:val="nil"/>
              <w:bottom w:val="nil"/>
              <w:right w:val="nil"/>
            </w:tcBorders>
            <w:noWrap w:val="0"/>
            <w:tcMar>
              <w:top w:w="-1" w:type="dxa"/>
              <w:left w:w="-1" w:type="dxa"/>
              <w:bottom w:w="-1" w:type="dxa"/>
              <w:right w:w="-1" w:type="dxa"/>
            </w:tcMar>
            <w:vAlign w:val="center"/>
          </w:tcPr>
          <w:p w14:paraId="6597317E">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9.4653</w:t>
            </w:r>
          </w:p>
        </w:tc>
      </w:tr>
      <w:tr w14:paraId="6DA956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724D64E">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RMSE</w:t>
            </w:r>
          </w:p>
        </w:tc>
        <w:tc>
          <w:tcPr>
            <w:tcW w:w="0" w:type="auto"/>
            <w:tcBorders>
              <w:top w:val="nil"/>
              <w:left w:val="nil"/>
              <w:bottom w:val="nil"/>
              <w:right w:val="nil"/>
            </w:tcBorders>
            <w:noWrap w:val="0"/>
            <w:tcMar>
              <w:top w:w="-1" w:type="dxa"/>
              <w:left w:w="-1" w:type="dxa"/>
              <w:bottom w:w="-1" w:type="dxa"/>
              <w:right w:w="-1" w:type="dxa"/>
            </w:tcMar>
            <w:vAlign w:val="center"/>
          </w:tcPr>
          <w:p w14:paraId="3EC99D38">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6.4932</w:t>
            </w:r>
          </w:p>
        </w:tc>
        <w:tc>
          <w:tcPr>
            <w:tcW w:w="0" w:type="auto"/>
            <w:tcBorders>
              <w:top w:val="nil"/>
              <w:left w:val="nil"/>
              <w:bottom w:val="nil"/>
              <w:right w:val="nil"/>
            </w:tcBorders>
            <w:noWrap w:val="0"/>
            <w:tcMar>
              <w:top w:w="-1" w:type="dxa"/>
              <w:left w:w="-1" w:type="dxa"/>
              <w:bottom w:w="-1" w:type="dxa"/>
              <w:right w:w="-1" w:type="dxa"/>
            </w:tcMar>
            <w:vAlign w:val="center"/>
          </w:tcPr>
          <w:p w14:paraId="2F3FA708">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6.2146</w:t>
            </w:r>
          </w:p>
        </w:tc>
        <w:tc>
          <w:tcPr>
            <w:tcW w:w="2539" w:type="dxa"/>
            <w:tcBorders>
              <w:top w:val="nil"/>
              <w:left w:val="nil"/>
              <w:bottom w:val="nil"/>
              <w:right w:val="nil"/>
            </w:tcBorders>
            <w:noWrap w:val="0"/>
            <w:tcMar>
              <w:top w:w="-1" w:type="dxa"/>
              <w:left w:w="-1" w:type="dxa"/>
              <w:bottom w:w="-1" w:type="dxa"/>
              <w:right w:w="-1" w:type="dxa"/>
            </w:tcMar>
            <w:vAlign w:val="center"/>
          </w:tcPr>
          <w:p w14:paraId="14A00CD0">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4.2901</w:t>
            </w:r>
          </w:p>
        </w:tc>
      </w:tr>
      <w:tr w14:paraId="27BCCD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FA3E01">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MAPE</w:t>
            </w:r>
          </w:p>
        </w:tc>
        <w:tc>
          <w:tcPr>
            <w:tcW w:w="0" w:type="auto"/>
            <w:tcBorders>
              <w:top w:val="nil"/>
              <w:left w:val="nil"/>
              <w:bottom w:val="nil"/>
              <w:right w:val="nil"/>
            </w:tcBorders>
            <w:noWrap w:val="0"/>
            <w:tcMar>
              <w:top w:w="-1" w:type="dxa"/>
              <w:left w:w="-1" w:type="dxa"/>
              <w:bottom w:w="-1" w:type="dxa"/>
              <w:right w:w="-1" w:type="dxa"/>
            </w:tcMar>
            <w:vAlign w:val="center"/>
          </w:tcPr>
          <w:p w14:paraId="2C5B8184">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6.2666</w:t>
            </w:r>
          </w:p>
        </w:tc>
        <w:tc>
          <w:tcPr>
            <w:tcW w:w="0" w:type="auto"/>
            <w:tcBorders>
              <w:top w:val="nil"/>
              <w:left w:val="nil"/>
              <w:bottom w:val="nil"/>
              <w:right w:val="nil"/>
            </w:tcBorders>
            <w:noWrap w:val="0"/>
            <w:tcMar>
              <w:top w:w="-1" w:type="dxa"/>
              <w:left w:w="-1" w:type="dxa"/>
              <w:bottom w:w="-1" w:type="dxa"/>
              <w:right w:w="-1" w:type="dxa"/>
            </w:tcMar>
            <w:vAlign w:val="center"/>
          </w:tcPr>
          <w:p w14:paraId="25AF853D">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5.5451</w:t>
            </w:r>
          </w:p>
        </w:tc>
        <w:tc>
          <w:tcPr>
            <w:tcW w:w="2539" w:type="dxa"/>
            <w:tcBorders>
              <w:top w:val="nil"/>
              <w:left w:val="nil"/>
              <w:bottom w:val="nil"/>
              <w:right w:val="nil"/>
            </w:tcBorders>
            <w:noWrap w:val="0"/>
            <w:tcMar>
              <w:top w:w="-1" w:type="dxa"/>
              <w:left w:w="-1" w:type="dxa"/>
              <w:bottom w:w="-1" w:type="dxa"/>
              <w:right w:w="-1" w:type="dxa"/>
            </w:tcMar>
            <w:vAlign w:val="center"/>
          </w:tcPr>
          <w:p w14:paraId="4B96FD60">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11.5136</w:t>
            </w:r>
          </w:p>
        </w:tc>
      </w:tr>
      <w:tr w14:paraId="5512B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3" w:type="dxa"/>
            <w:tcBorders>
              <w:top w:val="nil"/>
              <w:left w:val="nil"/>
              <w:bottom w:val="single" w:color="auto" w:sz="12" w:space="0"/>
              <w:right w:val="nil"/>
            </w:tcBorders>
            <w:noWrap w:val="0"/>
            <w:tcMar>
              <w:top w:w="-1" w:type="dxa"/>
              <w:left w:w="-1" w:type="dxa"/>
              <w:bottom w:w="-1" w:type="dxa"/>
              <w:right w:w="-1" w:type="dxa"/>
            </w:tcMar>
            <w:vAlign w:val="center"/>
          </w:tcPr>
          <w:p w14:paraId="2ECBFCFD">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RMSPE</w:t>
            </w:r>
          </w:p>
        </w:tc>
        <w:tc>
          <w:tcPr>
            <w:tcW w:w="2205" w:type="dxa"/>
            <w:tcBorders>
              <w:top w:val="nil"/>
              <w:left w:val="nil"/>
              <w:bottom w:val="single" w:color="auto" w:sz="12" w:space="0"/>
              <w:right w:val="nil"/>
            </w:tcBorders>
            <w:noWrap w:val="0"/>
            <w:tcMar>
              <w:top w:w="-1" w:type="dxa"/>
              <w:left w:w="-1" w:type="dxa"/>
              <w:bottom w:w="-1" w:type="dxa"/>
              <w:right w:w="-1" w:type="dxa"/>
            </w:tcMar>
            <w:vAlign w:val="center"/>
          </w:tcPr>
          <w:p w14:paraId="68E546B9">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6.9014</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2E72F6DD">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6.2370</w:t>
            </w:r>
          </w:p>
        </w:tc>
        <w:tc>
          <w:tcPr>
            <w:tcW w:w="2539" w:type="dxa"/>
            <w:tcBorders>
              <w:top w:val="nil"/>
              <w:left w:val="nil"/>
              <w:bottom w:val="single" w:color="auto" w:sz="12" w:space="0"/>
              <w:right w:val="nil"/>
            </w:tcBorders>
            <w:noWrap w:val="0"/>
            <w:tcMar>
              <w:top w:w="-1" w:type="dxa"/>
              <w:left w:w="-1" w:type="dxa"/>
              <w:bottom w:w="-1" w:type="dxa"/>
              <w:right w:w="-1" w:type="dxa"/>
            </w:tcMar>
            <w:vAlign w:val="center"/>
          </w:tcPr>
          <w:p w14:paraId="65A73439">
            <w:pPr>
              <w:pStyle w:val="61"/>
              <w:keepNext/>
              <w:snapToGrid w:val="0"/>
              <w:ind w:left="0" w:leftChars="0" w:right="0" w:rightChars="0" w:firstLine="0" w:firstLineChars="0"/>
              <w:jc w:val="center"/>
              <w:rPr>
                <w:rFonts w:hint="default" w:eastAsia="宋体"/>
                <w:vertAlign w:val="baseline"/>
                <w:lang w:val="en-US" w:eastAsia="zh-CN"/>
              </w:rPr>
            </w:pPr>
            <w:r>
              <w:rPr>
                <w:rFonts w:hint="eastAsia" w:eastAsia="宋体"/>
                <w:vertAlign w:val="baseline"/>
                <w:lang w:val="en-US" w:eastAsia="zh-CN"/>
              </w:rPr>
              <w:t>9.6266</w:t>
            </w:r>
          </w:p>
        </w:tc>
      </w:tr>
    </w:tbl>
    <w:p w14:paraId="37FFFE7D">
      <w:pPr>
        <w:pStyle w:val="61"/>
        <w:rPr>
          <w:rFonts w:hint="eastAsia" w:eastAsia="宋体"/>
          <w:lang w:val="en-US" w:eastAsia="zh-CN"/>
        </w:rPr>
      </w:pPr>
      <w:r>
        <w:rPr>
          <w:rFonts w:hint="eastAsia" w:eastAsia="宋体"/>
          <w:lang w:val="en-US" w:eastAsia="zh-CN"/>
        </w:rPr>
        <w:t>从表6-2中，我们可以看出，Meta Transfer除了帮助在小样本数据拟合得更快，对于预测精度也有所提升，使用Meta Transfer策略，在特定个体的稀疏数据上，提取个性化的特征，除了能预测得更快，也能够预测得更好。</w:t>
      </w:r>
    </w:p>
    <w:p w14:paraId="488E3463">
      <w:pPr>
        <w:pStyle w:val="56"/>
        <w:numPr>
          <w:ilvl w:val="1"/>
          <w:numId w:val="9"/>
        </w:numPr>
        <w:rPr>
          <w:rFonts w:hint="eastAsia" w:eastAsia="宋体"/>
          <w:lang w:eastAsia="zh-CN"/>
        </w:rPr>
      </w:pPr>
      <w:r>
        <w:rPr>
          <w:rFonts w:hint="eastAsia" w:eastAsia="宋体"/>
          <w:lang w:val="en-US" w:eastAsia="zh-CN"/>
        </w:rPr>
        <w:t>Disscussion</w:t>
      </w:r>
    </w:p>
    <w:p w14:paraId="6B543BB6">
      <w:pPr>
        <w:pStyle w:val="61"/>
        <w:rPr>
          <w:rFonts w:hint="eastAsia"/>
          <w:lang w:eastAsia="zh-CN"/>
        </w:rPr>
      </w:pPr>
      <w:r>
        <w:rPr>
          <w:rFonts w:hint="eastAsia"/>
          <w:lang w:eastAsia="zh-CN"/>
        </w:rPr>
        <w:t>本章的实验结果证实了元学习在极端少样本场景下的优势。从理论层面，这一优势可以通过梯度方向一致性来解释。</w:t>
      </w:r>
    </w:p>
    <w:p w14:paraId="7702C3CF">
      <w:pPr>
        <w:pStyle w:val="61"/>
        <w:rPr>
          <w:rFonts w:hint="eastAsia"/>
          <w:lang w:eastAsia="zh-CN"/>
        </w:rPr>
      </w:pPr>
      <w:r>
        <w:rPr>
          <w:rFonts w:hint="eastAsia"/>
          <w:lang w:eastAsia="zh-CN"/>
        </w:rPr>
        <w:t>在元训练过程中，FOMAML 算法倾向于找到一个参数点，使得不同任务的梯度方向具有较高的一致性。数学上，该点附近的 Hessian 矩阵在不同任务间具有相似的特征向量方向。这意味着，从该点出发，沿着任意新任务的梯度方向更新参数，不太可能与其他任务的最优方向产生严重冲突。因此，即使只有少量梯度步（对应少量微调数据），也能有效接近新任务的最优解。在这期间，Transformer 的自注意力机制在此过程中发挥了重要作用——与 RNN/LSTM 将时序历史压缩为固定维度隐状态不同，自注意力为每个时间步保留了独立的表征向量，这为 FOMAML 的梯度优化提供了更丰富的参数空间。在元训练阶段，注意力权重学会在不同受试者间识别出共性的时序依赖模式（如餐后上升趋势、夜间平稳段），使得编码器输出的特征天然具备跨个体的可迁移性，从而降低了元梯度在不同任务间的冲突程度。</w:t>
      </w:r>
    </w:p>
    <w:p w14:paraId="50AEA30F">
      <w:pPr>
        <w:rPr>
          <w:rFonts w:hint="eastAsia"/>
          <w:lang w:eastAsia="zh-CN"/>
        </w:rPr>
      </w:pPr>
    </w:p>
    <w:p w14:paraId="5E3F30C8">
      <w:pPr>
        <w:rPr>
          <w:rFonts w:hint="eastAsia"/>
          <w:lang w:eastAsia="zh-CN"/>
        </w:rPr>
      </w:pPr>
    </w:p>
    <w:p w14:paraId="4D07C417">
      <w:pPr>
        <w:pStyle w:val="61"/>
        <w:rPr>
          <w:rFonts w:hint="eastAsia"/>
          <w:lang w:eastAsia="zh-CN"/>
        </w:rPr>
      </w:pPr>
      <w:r>
        <w:rPr>
          <w:rFonts w:hint="eastAsia"/>
          <w:lang w:eastAsia="zh-CN"/>
        </w:rPr>
        <w:t>本章提出的元迁移学习策略与第五章的冻结编码器策略并非替代关系，而是互补关系。两者可以理解为在同一框架内对不同环节的优化：第五章解决的是"微调什么"——通过冻结 Transformer 编码器，将更新范围限制在回归头，降低过拟合风险；本章解决的是"从哪里开始微调"——通过 FOMAML 元训练，获得一个对新任务更敏感的初始化点。这种分工之所以在 Transformer 架构上尤为有效，是因为自注意力编码器与全连接回归头之间存在天然的功能边界：编码器负责提取通用的时序特征表示，回归头负责将这些特征映射为个体化的血糖预测值。FOMAML 进一步强化了这一边界——元训练使编码器收敛到一个能同时服务于多种血糖模式的特征空间，而回归头只需少量样本即可在该空间中锚定个体的映射关系。</w:t>
      </w:r>
    </w:p>
    <w:p w14:paraId="3A3B0D00">
      <w:pPr>
        <w:pStyle w:val="61"/>
        <w:rPr>
          <w:rFonts w:hint="eastAsia"/>
          <w:lang w:eastAsia="zh-CN"/>
        </w:rPr>
      </w:pPr>
      <w:r>
        <w:rPr>
          <w:rFonts w:hint="eastAsia"/>
          <w:lang w:eastAsia="zh-CN"/>
        </w:rPr>
        <w:t>在本章的实验中，我们将两者结合使用：采用元学习初始化 + 冻结编码器微调。这种组合策略既继承了元学习在少样本场景下的快速适应能力，又保留了冻结策略的抗过拟合优势。</w:t>
      </w:r>
    </w:p>
    <w:p w14:paraId="447359D4">
      <w:pPr>
        <w:pStyle w:val="63"/>
        <w:spacing w:before="624" w:after="312"/>
        <w:rPr>
          <w:rFonts w:hint="eastAsia"/>
        </w:rPr>
      </w:pPr>
      <w:r>
        <w:rPr>
          <w:rFonts w:hint="eastAsia"/>
        </w:rPr>
        <w:t>Comparison with Related Meta-Learning Approaches for Personalized Glucose Prediction</w:t>
      </w:r>
    </w:p>
    <w:tbl>
      <w:tblPr>
        <w:tblStyle w:val="31"/>
        <w:tblW w:w="1080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176"/>
        <w:gridCol w:w="2009"/>
        <w:gridCol w:w="1776"/>
        <w:gridCol w:w="1485"/>
        <w:gridCol w:w="2267"/>
        <w:gridCol w:w="2089"/>
      </w:tblGrid>
      <w:tr w14:paraId="001CE3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1174" w:type="dxa"/>
            <w:tcBorders>
              <w:top w:val="single" w:color="auto" w:sz="12" w:space="0"/>
              <w:left w:val="nil"/>
              <w:bottom w:val="nil"/>
              <w:right w:val="nil"/>
            </w:tcBorders>
            <w:noWrap w:val="0"/>
            <w:tcMar>
              <w:top w:w="-1" w:type="dxa"/>
              <w:left w:w="-1" w:type="dxa"/>
              <w:bottom w:w="-1" w:type="dxa"/>
              <w:right w:w="-1" w:type="dxa"/>
            </w:tcMar>
            <w:vAlign w:val="center"/>
          </w:tcPr>
          <w:p w14:paraId="7A680DD6">
            <w:pPr>
              <w:pStyle w:val="61"/>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Study</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D1EFBB">
            <w:pPr>
              <w:pStyle w:val="61"/>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Backbone Model</w:t>
            </w:r>
          </w:p>
        </w:tc>
        <w:tc>
          <w:tcPr>
            <w:tcW w:w="1721" w:type="dxa"/>
            <w:tcBorders>
              <w:top w:val="single" w:color="auto" w:sz="12" w:space="0"/>
              <w:left w:val="nil"/>
              <w:bottom w:val="nil"/>
              <w:right w:val="nil"/>
            </w:tcBorders>
            <w:noWrap w:val="0"/>
            <w:tcMar>
              <w:top w:w="-1" w:type="dxa"/>
              <w:left w:w="-1" w:type="dxa"/>
              <w:bottom w:w="-1" w:type="dxa"/>
              <w:right w:w="-1" w:type="dxa"/>
            </w:tcMar>
            <w:vAlign w:val="center"/>
          </w:tcPr>
          <w:p w14:paraId="45DD1C60">
            <w:pPr>
              <w:pStyle w:val="61"/>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Meta-Learning Algorithm</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20B51AA">
            <w:pPr>
              <w:pStyle w:val="61"/>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Dataset</w:t>
            </w:r>
          </w:p>
        </w:tc>
        <w:tc>
          <w:tcPr>
            <w:tcW w:w="2362" w:type="dxa"/>
            <w:tcBorders>
              <w:top w:val="single" w:color="auto" w:sz="12" w:space="0"/>
              <w:left w:val="nil"/>
              <w:bottom w:val="nil"/>
              <w:right w:val="nil"/>
            </w:tcBorders>
            <w:noWrap w:val="0"/>
            <w:tcMar>
              <w:top w:w="-1" w:type="dxa"/>
              <w:left w:w="-1" w:type="dxa"/>
              <w:bottom w:w="-1" w:type="dxa"/>
              <w:right w:w="-1" w:type="dxa"/>
            </w:tcMar>
            <w:vAlign w:val="center"/>
          </w:tcPr>
          <w:p w14:paraId="75F385DB">
            <w:pPr>
              <w:pStyle w:val="61"/>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Adaptation</w:t>
            </w:r>
          </w:p>
        </w:tc>
        <w:tc>
          <w:tcPr>
            <w:tcW w:w="2098" w:type="dxa"/>
            <w:tcBorders>
              <w:top w:val="single" w:color="auto" w:sz="12" w:space="0"/>
              <w:left w:val="nil"/>
              <w:bottom w:val="nil"/>
              <w:right w:val="nil"/>
            </w:tcBorders>
            <w:noWrap w:val="0"/>
            <w:tcMar>
              <w:top w:w="-1" w:type="dxa"/>
              <w:left w:w="-1" w:type="dxa"/>
              <w:bottom w:w="-1" w:type="dxa"/>
              <w:right w:w="-1" w:type="dxa"/>
            </w:tcMar>
            <w:vAlign w:val="center"/>
          </w:tcPr>
          <w:p w14:paraId="3D57A77E">
            <w:pPr>
              <w:pStyle w:val="61"/>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Key Contribution</w:t>
            </w:r>
          </w:p>
        </w:tc>
      </w:tr>
      <w:tr w14:paraId="7ED42F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174" w:type="dxa"/>
            <w:tcBorders>
              <w:top w:val="single" w:color="auto" w:sz="4" w:space="0"/>
              <w:left w:val="nil"/>
              <w:bottom w:val="nil"/>
              <w:right w:val="nil"/>
            </w:tcBorders>
            <w:noWrap w:val="0"/>
            <w:tcMar>
              <w:top w:w="-1" w:type="dxa"/>
              <w:left w:w="-1" w:type="dxa"/>
              <w:bottom w:w="-1" w:type="dxa"/>
              <w:right w:w="-1" w:type="dxa"/>
            </w:tcMar>
            <w:vAlign w:val="center"/>
          </w:tcPr>
          <w:p w14:paraId="537BB9A3">
            <w:pPr>
              <w:pStyle w:val="61"/>
              <w:snapToGrid w:val="0"/>
              <w:ind w:left="0" w:leftChars="0" w:right="0" w:rightChars="0" w:firstLine="0" w:firstLineChars="0"/>
              <w:jc w:val="center"/>
              <w:rPr>
                <w:rFonts w:hint="eastAsia"/>
                <w:vertAlign w:val="baseline"/>
                <w:lang w:eastAsia="zh-CN"/>
              </w:rPr>
            </w:pPr>
            <w:r>
              <w:rPr>
                <w:rFonts w:hint="eastAsia"/>
                <w:lang w:eastAsia="zh-CN"/>
              </w:rPr>
              <w:t>Zhu et al. [16] (2023)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5FA9014">
            <w:pPr>
              <w:pStyle w:val="61"/>
              <w:snapToGrid w:val="0"/>
              <w:ind w:left="0" w:leftChars="0" w:right="0" w:rightChars="0" w:firstLine="0" w:firstLineChars="0"/>
              <w:jc w:val="left"/>
              <w:rPr>
                <w:rFonts w:hint="eastAsia"/>
                <w:vertAlign w:val="baseline"/>
                <w:lang w:eastAsia="zh-CN"/>
              </w:rPr>
            </w:pPr>
            <w:r>
              <w:rPr>
                <w:rFonts w:hint="eastAsia"/>
                <w:lang w:eastAsia="zh-CN"/>
              </w:rPr>
              <w:t>FCNN</w:t>
            </w:r>
          </w:p>
        </w:tc>
        <w:tc>
          <w:tcPr>
            <w:tcW w:w="1721" w:type="dxa"/>
            <w:tcBorders>
              <w:top w:val="single" w:color="auto" w:sz="4" w:space="0"/>
              <w:left w:val="nil"/>
              <w:bottom w:val="nil"/>
              <w:right w:val="nil"/>
            </w:tcBorders>
            <w:noWrap w:val="0"/>
            <w:tcMar>
              <w:top w:w="-1" w:type="dxa"/>
              <w:left w:w="-1" w:type="dxa"/>
              <w:bottom w:w="-1" w:type="dxa"/>
              <w:right w:w="-1" w:type="dxa"/>
            </w:tcMar>
            <w:vAlign w:val="center"/>
          </w:tcPr>
          <w:p w14:paraId="7520804F">
            <w:pPr>
              <w:pStyle w:val="61"/>
              <w:snapToGrid w:val="0"/>
              <w:ind w:left="0" w:leftChars="0" w:right="0" w:rightChars="0" w:firstLine="0" w:firstLineChars="0"/>
              <w:jc w:val="left"/>
              <w:rPr>
                <w:rFonts w:hint="eastAsia"/>
                <w:vertAlign w:val="baseline"/>
                <w:lang w:eastAsia="zh-CN"/>
              </w:rPr>
            </w:pPr>
            <w:r>
              <w:rPr>
                <w:rFonts w:hint="eastAsia"/>
                <w:lang w:eastAsia="zh-CN"/>
              </w:rPr>
              <w:t>MAML</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3532CE">
            <w:pPr>
              <w:pStyle w:val="61"/>
              <w:snapToGrid w:val="0"/>
              <w:ind w:left="0" w:leftChars="0" w:right="0" w:rightChars="0" w:firstLine="0" w:firstLineChars="0"/>
              <w:jc w:val="left"/>
              <w:rPr>
                <w:rFonts w:hint="eastAsia"/>
                <w:vertAlign w:val="baseline"/>
                <w:lang w:eastAsia="zh-CN"/>
              </w:rPr>
            </w:pPr>
            <w:r>
              <w:rPr>
                <w:rFonts w:hint="eastAsia"/>
                <w:lang w:eastAsia="zh-CN"/>
              </w:rPr>
              <w:t>OhioT1DM (T1D)</w:t>
            </w:r>
          </w:p>
        </w:tc>
        <w:tc>
          <w:tcPr>
            <w:tcW w:w="2362" w:type="dxa"/>
            <w:tcBorders>
              <w:top w:val="single" w:color="auto" w:sz="4" w:space="0"/>
              <w:left w:val="nil"/>
              <w:bottom w:val="nil"/>
              <w:right w:val="nil"/>
            </w:tcBorders>
            <w:noWrap w:val="0"/>
            <w:tcMar>
              <w:top w:w="-1" w:type="dxa"/>
              <w:left w:w="-1" w:type="dxa"/>
              <w:bottom w:w="-1" w:type="dxa"/>
              <w:right w:w="-1" w:type="dxa"/>
            </w:tcMar>
            <w:vAlign w:val="center"/>
          </w:tcPr>
          <w:p w14:paraId="6C81AB07">
            <w:pPr>
              <w:pStyle w:val="61"/>
              <w:snapToGrid w:val="0"/>
              <w:ind w:left="0" w:leftChars="0" w:right="0" w:rightChars="0" w:firstLine="0" w:firstLineChars="0"/>
              <w:jc w:val="left"/>
              <w:rPr>
                <w:rFonts w:hint="eastAsia"/>
                <w:vertAlign w:val="baseline"/>
                <w:lang w:eastAsia="zh-CN"/>
              </w:rPr>
            </w:pPr>
            <w:r>
              <w:rPr>
                <w:rFonts w:hint="eastAsia"/>
                <w:lang w:eastAsia="zh-CN"/>
              </w:rPr>
              <w:t>Limited training data</w:t>
            </w:r>
          </w:p>
        </w:tc>
        <w:tc>
          <w:tcPr>
            <w:tcW w:w="2098" w:type="dxa"/>
            <w:tcBorders>
              <w:top w:val="single" w:color="auto" w:sz="4" w:space="0"/>
              <w:left w:val="nil"/>
              <w:bottom w:val="nil"/>
              <w:right w:val="nil"/>
            </w:tcBorders>
            <w:noWrap w:val="0"/>
            <w:tcMar>
              <w:top w:w="-1" w:type="dxa"/>
              <w:left w:w="-1" w:type="dxa"/>
              <w:bottom w:w="-1" w:type="dxa"/>
              <w:right w:w="-1" w:type="dxa"/>
            </w:tcMar>
            <w:vAlign w:val="center"/>
          </w:tcPr>
          <w:p w14:paraId="4D326189">
            <w:pPr>
              <w:pStyle w:val="61"/>
              <w:snapToGrid w:val="0"/>
              <w:ind w:left="0" w:leftChars="0" w:right="0" w:rightChars="0" w:firstLine="0" w:firstLineChars="0"/>
              <w:jc w:val="left"/>
              <w:rPr>
                <w:rFonts w:hint="eastAsia"/>
                <w:vertAlign w:val="baseline"/>
                <w:lang w:eastAsia="zh-CN"/>
              </w:rPr>
            </w:pPr>
            <w:r>
              <w:rPr>
                <w:rFonts w:hint="eastAsia"/>
                <w:lang w:eastAsia="zh-CN"/>
              </w:rPr>
              <w:t>Uncertainty-aware prediction via evidential deep learning</w:t>
            </w:r>
          </w:p>
        </w:tc>
      </w:tr>
      <w:tr w14:paraId="6E2BED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174" w:type="dxa"/>
            <w:tcBorders>
              <w:top w:val="nil"/>
              <w:left w:val="nil"/>
              <w:bottom w:val="nil"/>
              <w:right w:val="nil"/>
            </w:tcBorders>
            <w:noWrap w:val="0"/>
            <w:tcMar>
              <w:top w:w="-1" w:type="dxa"/>
              <w:left w:w="-1" w:type="dxa"/>
              <w:bottom w:w="-1" w:type="dxa"/>
              <w:right w:w="-1" w:type="dxa"/>
            </w:tcMar>
            <w:vAlign w:val="center"/>
          </w:tcPr>
          <w:p w14:paraId="70D0A4E8">
            <w:pPr>
              <w:pStyle w:val="61"/>
              <w:snapToGrid w:val="0"/>
              <w:ind w:left="0" w:leftChars="0" w:right="0" w:rightChars="0" w:firstLine="0" w:firstLineChars="0"/>
              <w:jc w:val="center"/>
              <w:rPr>
                <w:rFonts w:hint="eastAsia"/>
                <w:vertAlign w:val="baseline"/>
                <w:lang w:eastAsia="zh-CN"/>
              </w:rPr>
            </w:pPr>
            <w:r>
              <w:rPr>
                <w:rFonts w:hint="eastAsia"/>
                <w:lang w:eastAsia="zh-CN"/>
              </w:rPr>
              <w:t>Langarica et al. [55] (2023)</w:t>
            </w:r>
          </w:p>
        </w:tc>
        <w:tc>
          <w:tcPr>
            <w:tcW w:w="0" w:type="auto"/>
            <w:tcBorders>
              <w:top w:val="nil"/>
              <w:left w:val="nil"/>
              <w:bottom w:val="nil"/>
              <w:right w:val="nil"/>
            </w:tcBorders>
            <w:noWrap w:val="0"/>
            <w:tcMar>
              <w:top w:w="-1" w:type="dxa"/>
              <w:left w:w="-1" w:type="dxa"/>
              <w:bottom w:w="-1" w:type="dxa"/>
              <w:right w:w="-1" w:type="dxa"/>
            </w:tcMar>
            <w:vAlign w:val="center"/>
          </w:tcPr>
          <w:p w14:paraId="74F89992">
            <w:pPr>
              <w:pStyle w:val="61"/>
              <w:snapToGrid w:val="0"/>
              <w:ind w:left="0" w:leftChars="0" w:right="0" w:rightChars="0" w:firstLine="0" w:firstLineChars="0"/>
              <w:jc w:val="left"/>
              <w:rPr>
                <w:rFonts w:hint="eastAsia"/>
                <w:vertAlign w:val="baseline"/>
                <w:lang w:eastAsia="zh-CN"/>
              </w:rPr>
            </w:pPr>
            <w:r>
              <w:rPr>
                <w:rFonts w:hint="eastAsia"/>
                <w:lang w:eastAsia="zh-CN"/>
              </w:rPr>
              <w:t>LSTM</w:t>
            </w:r>
          </w:p>
        </w:tc>
        <w:tc>
          <w:tcPr>
            <w:tcW w:w="1721" w:type="dxa"/>
            <w:tcBorders>
              <w:top w:val="nil"/>
              <w:left w:val="nil"/>
              <w:bottom w:val="nil"/>
              <w:right w:val="nil"/>
            </w:tcBorders>
            <w:noWrap w:val="0"/>
            <w:tcMar>
              <w:top w:w="-1" w:type="dxa"/>
              <w:left w:w="-1" w:type="dxa"/>
              <w:bottom w:w="-1" w:type="dxa"/>
              <w:right w:w="-1" w:type="dxa"/>
            </w:tcMar>
            <w:vAlign w:val="center"/>
          </w:tcPr>
          <w:p w14:paraId="19227489">
            <w:pPr>
              <w:pStyle w:val="61"/>
              <w:snapToGrid w:val="0"/>
              <w:ind w:left="0" w:leftChars="0" w:right="0" w:rightChars="0" w:firstLine="0" w:firstLineChars="0"/>
              <w:jc w:val="left"/>
              <w:rPr>
                <w:rFonts w:hint="eastAsia"/>
                <w:vertAlign w:val="baseline"/>
                <w:lang w:eastAsia="zh-CN"/>
              </w:rPr>
            </w:pPr>
            <w:r>
              <w:rPr>
                <w:rFonts w:hint="eastAsia"/>
                <w:lang w:eastAsia="zh-CN"/>
              </w:rPr>
              <w:t>MAML</w:t>
            </w:r>
          </w:p>
        </w:tc>
        <w:tc>
          <w:tcPr>
            <w:tcW w:w="0" w:type="auto"/>
            <w:tcBorders>
              <w:top w:val="nil"/>
              <w:left w:val="nil"/>
              <w:bottom w:val="nil"/>
              <w:right w:val="nil"/>
            </w:tcBorders>
            <w:noWrap w:val="0"/>
            <w:tcMar>
              <w:top w:w="-1" w:type="dxa"/>
              <w:left w:w="-1" w:type="dxa"/>
              <w:bottom w:w="-1" w:type="dxa"/>
              <w:right w:w="-1" w:type="dxa"/>
            </w:tcMar>
            <w:vAlign w:val="center"/>
          </w:tcPr>
          <w:p w14:paraId="15D345C9">
            <w:pPr>
              <w:pStyle w:val="61"/>
              <w:snapToGrid w:val="0"/>
              <w:ind w:left="0" w:leftChars="0" w:right="0" w:rightChars="0" w:firstLine="0" w:firstLineChars="0"/>
              <w:jc w:val="left"/>
              <w:rPr>
                <w:rFonts w:hint="eastAsia"/>
                <w:vertAlign w:val="baseline"/>
                <w:lang w:eastAsia="zh-CN"/>
              </w:rPr>
            </w:pPr>
            <w:r>
              <w:rPr>
                <w:rFonts w:hint="eastAsia"/>
                <w:lang w:eastAsia="zh-CN"/>
              </w:rPr>
              <w:t>Custom T1D</w:t>
            </w:r>
          </w:p>
        </w:tc>
        <w:tc>
          <w:tcPr>
            <w:tcW w:w="2362" w:type="dxa"/>
            <w:tcBorders>
              <w:top w:val="nil"/>
              <w:left w:val="nil"/>
              <w:bottom w:val="nil"/>
              <w:right w:val="nil"/>
            </w:tcBorders>
            <w:noWrap w:val="0"/>
            <w:tcMar>
              <w:top w:w="-1" w:type="dxa"/>
              <w:left w:w="-1" w:type="dxa"/>
              <w:bottom w:w="-1" w:type="dxa"/>
              <w:right w:w="-1" w:type="dxa"/>
            </w:tcMar>
            <w:vAlign w:val="center"/>
          </w:tcPr>
          <w:p w14:paraId="21C40A2A">
            <w:pPr>
              <w:pStyle w:val="61"/>
              <w:snapToGrid w:val="0"/>
              <w:ind w:left="0" w:leftChars="0" w:right="0" w:rightChars="0" w:firstLine="0" w:firstLineChars="0"/>
              <w:jc w:val="left"/>
              <w:rPr>
                <w:rFonts w:hint="eastAsia"/>
                <w:vertAlign w:val="baseline"/>
                <w:lang w:eastAsia="zh-CN"/>
              </w:rPr>
            </w:pPr>
            <w:r>
              <w:rPr>
                <w:rFonts w:hint="eastAsia"/>
                <w:lang w:eastAsia="zh-CN"/>
              </w:rPr>
              <w:t>1-day CGM data</w:t>
            </w:r>
          </w:p>
        </w:tc>
        <w:tc>
          <w:tcPr>
            <w:tcW w:w="2098" w:type="dxa"/>
            <w:tcBorders>
              <w:top w:val="nil"/>
              <w:left w:val="nil"/>
              <w:bottom w:val="nil"/>
              <w:right w:val="nil"/>
            </w:tcBorders>
            <w:noWrap w:val="0"/>
            <w:tcMar>
              <w:top w:w="-1" w:type="dxa"/>
              <w:left w:w="-1" w:type="dxa"/>
              <w:bottom w:w="-1" w:type="dxa"/>
              <w:right w:w="-1" w:type="dxa"/>
            </w:tcMar>
            <w:vAlign w:val="center"/>
          </w:tcPr>
          <w:p w14:paraId="7184BD57">
            <w:pPr>
              <w:pStyle w:val="61"/>
              <w:snapToGrid w:val="0"/>
              <w:ind w:left="0" w:leftChars="0" w:right="0" w:rightChars="0" w:firstLine="0" w:firstLineChars="0"/>
              <w:jc w:val="left"/>
              <w:rPr>
                <w:rFonts w:hint="eastAsia"/>
                <w:vertAlign w:val="baseline"/>
                <w:lang w:eastAsia="zh-CN"/>
              </w:rPr>
            </w:pPr>
            <w:r>
              <w:rPr>
                <w:rFonts w:hint="eastAsia"/>
                <w:lang w:eastAsia="zh-CN"/>
              </w:rPr>
              <w:t>Demonstrated effectiveness of personalized meta-learning</w:t>
            </w:r>
          </w:p>
        </w:tc>
      </w:tr>
      <w:tr w14:paraId="57A4A8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174" w:type="dxa"/>
            <w:tcBorders>
              <w:top w:val="nil"/>
              <w:left w:val="nil"/>
              <w:bottom w:val="single" w:color="auto" w:sz="12" w:space="0"/>
              <w:right w:val="nil"/>
            </w:tcBorders>
            <w:noWrap w:val="0"/>
            <w:tcMar>
              <w:top w:w="-1" w:type="dxa"/>
              <w:left w:w="-1" w:type="dxa"/>
              <w:bottom w:w="-1" w:type="dxa"/>
              <w:right w:w="-1" w:type="dxa"/>
            </w:tcMar>
            <w:vAlign w:val="center"/>
          </w:tcPr>
          <w:p w14:paraId="4E7C1849">
            <w:pPr>
              <w:pStyle w:val="61"/>
              <w:snapToGrid w:val="0"/>
              <w:ind w:left="0" w:leftChars="0" w:right="0" w:rightChars="0" w:firstLine="0" w:firstLineChars="0"/>
              <w:jc w:val="center"/>
              <w:rPr>
                <w:rFonts w:hint="eastAsia"/>
                <w:vertAlign w:val="baseline"/>
                <w:lang w:eastAsia="zh-CN"/>
              </w:rPr>
            </w:pPr>
            <w:r>
              <w:rPr>
                <w:rFonts w:hint="eastAsia"/>
                <w:lang w:eastAsia="zh-CN"/>
              </w:rPr>
              <w:t>Ours</w:t>
            </w:r>
          </w:p>
        </w:tc>
        <w:tc>
          <w:tcPr>
            <w:tcW w:w="2073" w:type="dxa"/>
            <w:tcBorders>
              <w:top w:val="nil"/>
              <w:left w:val="nil"/>
              <w:bottom w:val="single" w:color="auto" w:sz="12" w:space="0"/>
              <w:right w:val="nil"/>
            </w:tcBorders>
            <w:noWrap w:val="0"/>
            <w:tcMar>
              <w:top w:w="-1" w:type="dxa"/>
              <w:left w:w="-1" w:type="dxa"/>
              <w:bottom w:w="-1" w:type="dxa"/>
              <w:right w:w="-1" w:type="dxa"/>
            </w:tcMar>
            <w:vAlign w:val="center"/>
          </w:tcPr>
          <w:p w14:paraId="78C5E14D">
            <w:pPr>
              <w:pStyle w:val="61"/>
              <w:snapToGrid w:val="0"/>
              <w:ind w:left="0" w:leftChars="0" w:right="0" w:rightChars="0" w:firstLine="0" w:firstLineChars="0"/>
              <w:jc w:val="left"/>
              <w:rPr>
                <w:rFonts w:hint="eastAsia"/>
                <w:vertAlign w:val="baseline"/>
                <w:lang w:eastAsia="zh-CN"/>
              </w:rPr>
            </w:pPr>
            <w:r>
              <w:rPr>
                <w:rFonts w:hint="eastAsia"/>
                <w:lang w:eastAsia="zh-CN"/>
              </w:rPr>
              <w:t>Transformer</w:t>
            </w:r>
          </w:p>
        </w:tc>
        <w:tc>
          <w:tcPr>
            <w:tcW w:w="1721" w:type="dxa"/>
            <w:tcBorders>
              <w:top w:val="nil"/>
              <w:left w:val="nil"/>
              <w:bottom w:val="single" w:color="auto" w:sz="12" w:space="0"/>
              <w:right w:val="nil"/>
            </w:tcBorders>
            <w:noWrap w:val="0"/>
            <w:tcMar>
              <w:top w:w="-1" w:type="dxa"/>
              <w:left w:w="-1" w:type="dxa"/>
              <w:bottom w:w="-1" w:type="dxa"/>
              <w:right w:w="-1" w:type="dxa"/>
            </w:tcMar>
            <w:vAlign w:val="center"/>
          </w:tcPr>
          <w:p w14:paraId="150219D9">
            <w:pPr>
              <w:pStyle w:val="61"/>
              <w:snapToGrid w:val="0"/>
              <w:ind w:left="0" w:leftChars="0" w:right="0" w:rightChars="0" w:firstLine="0" w:firstLineChars="0"/>
              <w:jc w:val="left"/>
              <w:rPr>
                <w:rFonts w:hint="eastAsia"/>
                <w:vertAlign w:val="baseline"/>
                <w:lang w:eastAsia="zh-CN"/>
              </w:rPr>
            </w:pPr>
            <w:r>
              <w:rPr>
                <w:rFonts w:hint="eastAsia"/>
                <w:lang w:eastAsia="zh-CN"/>
              </w:rPr>
              <w:t>FOMAML</w:t>
            </w:r>
          </w:p>
        </w:tc>
        <w:tc>
          <w:tcPr>
            <w:tcW w:w="1312" w:type="dxa"/>
            <w:tcBorders>
              <w:top w:val="nil"/>
              <w:left w:val="nil"/>
              <w:bottom w:val="single" w:color="auto" w:sz="12" w:space="0"/>
              <w:right w:val="nil"/>
            </w:tcBorders>
            <w:noWrap w:val="0"/>
            <w:tcMar>
              <w:top w:w="-1" w:type="dxa"/>
              <w:left w:w="-1" w:type="dxa"/>
              <w:bottom w:w="-1" w:type="dxa"/>
              <w:right w:w="-1" w:type="dxa"/>
            </w:tcMar>
            <w:vAlign w:val="center"/>
          </w:tcPr>
          <w:p w14:paraId="3481195A">
            <w:pPr>
              <w:pStyle w:val="61"/>
              <w:snapToGrid w:val="0"/>
              <w:ind w:left="0" w:leftChars="0" w:right="0" w:rightChars="0" w:firstLine="0" w:firstLineChars="0"/>
              <w:jc w:val="left"/>
              <w:rPr>
                <w:rFonts w:hint="default"/>
                <w:vertAlign w:val="baseline"/>
                <w:lang w:val="en-US" w:eastAsia="zh-CN"/>
              </w:rPr>
            </w:pPr>
            <w:r>
              <w:rPr>
                <w:rFonts w:hint="eastAsia"/>
                <w:lang w:eastAsia="zh-CN"/>
              </w:rPr>
              <w:t>Colas + Hall (T2D)</w:t>
            </w:r>
            <w:r>
              <w:rPr>
                <w:rFonts w:hint="eastAsia"/>
                <w:lang w:val="en-US" w:eastAsia="zh-CN"/>
              </w:rPr>
              <w:t xml:space="preserve"> +</w:t>
            </w:r>
            <w:r>
              <w:rPr>
                <w:rFonts w:hint="eastAsia"/>
                <w:lang w:eastAsia="zh-CN"/>
              </w:rPr>
              <w:t>OhioT1DM (T1D)</w:t>
            </w:r>
          </w:p>
        </w:tc>
        <w:tc>
          <w:tcPr>
            <w:tcW w:w="2362" w:type="dxa"/>
            <w:tcBorders>
              <w:top w:val="nil"/>
              <w:left w:val="nil"/>
              <w:bottom w:val="single" w:color="auto" w:sz="12" w:space="0"/>
              <w:right w:val="nil"/>
            </w:tcBorders>
            <w:noWrap w:val="0"/>
            <w:tcMar>
              <w:top w:w="-1" w:type="dxa"/>
              <w:left w:w="-1" w:type="dxa"/>
              <w:bottom w:w="-1" w:type="dxa"/>
              <w:right w:w="-1" w:type="dxa"/>
            </w:tcMar>
            <w:vAlign w:val="center"/>
          </w:tcPr>
          <w:p w14:paraId="60867839">
            <w:pPr>
              <w:pStyle w:val="61"/>
              <w:snapToGrid w:val="0"/>
              <w:ind w:left="0" w:leftChars="0" w:right="0" w:rightChars="0" w:firstLine="0" w:firstLineChars="0"/>
              <w:jc w:val="left"/>
              <w:rPr>
                <w:rFonts w:hint="eastAsia"/>
                <w:vertAlign w:val="baseline"/>
                <w:lang w:eastAsia="zh-CN"/>
              </w:rPr>
            </w:pPr>
            <w:r>
              <w:rPr>
                <w:rFonts w:hint="eastAsia"/>
                <w:lang w:eastAsia="zh-CN"/>
              </w:rPr>
              <w:t>30–50 samples (~2.5–4 h)</w:t>
            </w:r>
          </w:p>
        </w:tc>
        <w:tc>
          <w:tcPr>
            <w:tcW w:w="2098" w:type="dxa"/>
            <w:tcBorders>
              <w:top w:val="nil"/>
              <w:left w:val="nil"/>
              <w:bottom w:val="single" w:color="auto" w:sz="12" w:space="0"/>
              <w:right w:val="nil"/>
            </w:tcBorders>
            <w:noWrap w:val="0"/>
            <w:tcMar>
              <w:top w:w="-1" w:type="dxa"/>
              <w:left w:w="-1" w:type="dxa"/>
              <w:bottom w:w="-1" w:type="dxa"/>
              <w:right w:w="-1" w:type="dxa"/>
            </w:tcMar>
            <w:vAlign w:val="center"/>
          </w:tcPr>
          <w:p w14:paraId="6CD8172D">
            <w:pPr>
              <w:pStyle w:val="61"/>
              <w:snapToGrid w:val="0"/>
              <w:ind w:left="0" w:leftChars="0" w:right="0" w:rightChars="0" w:firstLine="0" w:firstLineChars="0"/>
              <w:jc w:val="left"/>
              <w:rPr>
                <w:rFonts w:hint="eastAsia"/>
                <w:vertAlign w:val="baseline"/>
                <w:lang w:eastAsia="zh-CN"/>
              </w:rPr>
            </w:pPr>
            <w:r>
              <w:rPr>
                <w:rFonts w:hint="eastAsia"/>
                <w:lang w:eastAsia="zh-CN"/>
              </w:rPr>
              <w:t>Few-shot adaptation with frozen encoder; attention-based transferable representations</w:t>
            </w:r>
          </w:p>
        </w:tc>
      </w:tr>
    </w:tbl>
    <w:p w14:paraId="374C96FB">
      <w:pPr>
        <w:pStyle w:val="61"/>
        <w:ind w:left="0" w:leftChars="0" w:firstLine="0" w:firstLineChars="0"/>
        <w:rPr>
          <w:rFonts w:hint="eastAsia"/>
          <w:lang w:eastAsia="zh-CN"/>
        </w:rPr>
      </w:pPr>
    </w:p>
    <w:p w14:paraId="7DC23C45">
      <w:pPr>
        <w:pStyle w:val="61"/>
        <w:rPr>
          <w:rFonts w:hint="eastAsia"/>
          <w:lang w:eastAsia="zh-CN"/>
        </w:rPr>
      </w:pPr>
      <w:r>
        <w:rPr>
          <w:rFonts w:hint="eastAsia"/>
          <w:lang w:eastAsia="zh-CN"/>
        </w:rPr>
        <w:t>本研究与 Zhu 等人 [16] 均采用 MAML 系列算法进行元学习，这从不同角度验证了 MAML 框架在血糖预测个性化场景中的有效性。本研究采用的 FOMAML 一阶近似避免了完整 MAML 中二阶导数的计算开销，更适合在资源受限的设备上部署。Zhu 等人的 FCNN 通过证据深度学习层提供了预测的不确定性估计，这是一个值得借鉴的方向。在骨干网络的选择上，Zhu 等人采用 FCNN、Langarica 等人采用 LSTM，而本研究选择 Transformer 作为骨干网络，这一选择并非单纯追求模型容量的提升。Transformer 的自注意力机制使其能够在不同时间尺度上灵活捕捉血糖动态的依赖关系，这种灵活性在元学习框架下具有额外优势：元训练阶段，注意力模式能够跨受试</w:t>
      </w:r>
      <w:bookmarkStart w:id="31" w:name="_GoBack"/>
      <w:bookmarkEnd w:id="31"/>
      <w:r>
        <w:rPr>
          <w:rFonts w:hint="eastAsia"/>
          <w:lang w:eastAsia="zh-CN"/>
        </w:rPr>
        <w:t>者学习到具有普适性的时序关注策略；微调阶段，回归头仅需少量样本即可在保持编码器注意力模式不变的前提下完成个体适配。这种"注意力共享、映射个性化"的范式，使得本研究在极端少样本条件下（30-50 个样本）仍能实现有效的快速适应。</w:t>
      </w:r>
    </w:p>
    <w:p w14:paraId="43908B86">
      <w:pPr>
        <w:pStyle w:val="61"/>
        <w:rPr>
          <w:rFonts w:hint="eastAsia"/>
          <w:lang w:eastAsia="zh-CN"/>
        </w:rPr>
      </w:pPr>
      <w:r>
        <w:rPr>
          <w:rFonts w:hint="eastAsia"/>
          <w:lang w:eastAsia="zh-CN"/>
        </w:rPr>
        <w:t>与 Langarica 等人 [55] 的工作相比，本研究进一步将少样本的边界推向了极端——验证了在仅有 30 个样本（约 2.5 小时）的条件下元学习仍能带来显著收益。这一发现对于追求"即时个性化"的产品体验具有重要价值。</w:t>
      </w:r>
    </w:p>
    <w:p w14:paraId="168E76C1">
      <w:pPr>
        <w:pStyle w:val="61"/>
        <w:rPr>
          <w:rFonts w:hint="eastAsia"/>
          <w:lang w:eastAsia="zh-CN"/>
        </w:rPr>
      </w:pPr>
      <w:r>
        <w:rPr>
          <w:rFonts w:hint="eastAsia"/>
          <w:lang w:eastAsia="zh-CN"/>
        </w:rPr>
        <w:t>尽管实验结果令人鼓舞，本研究仍存在以下局限性：</w:t>
      </w:r>
    </w:p>
    <w:p w14:paraId="7E6382A5">
      <w:pPr>
        <w:pStyle w:val="61"/>
        <w:rPr>
          <w:rFonts w:hint="eastAsia"/>
          <w:lang w:eastAsia="zh-CN"/>
        </w:rPr>
      </w:pPr>
      <w:r>
        <w:rPr>
          <w:rFonts w:hint="eastAsia"/>
          <w:lang w:eastAsia="zh-CN"/>
        </w:rPr>
        <w:t>1. 任务分布假设：元学习的有效性依赖于源域任务与目标域任务来自同一分布（或相似分布）的假设。如果新用户的血糖模式与训练集中的所有受试者都存在显著差异（例如极罕见的代谢类型），元学习的优势可能减弱。</w:t>
      </w:r>
    </w:p>
    <w:p w14:paraId="667BDAA3">
      <w:pPr>
        <w:pStyle w:val="61"/>
        <w:rPr>
          <w:rFonts w:hint="eastAsia"/>
          <w:lang w:eastAsia="zh-CN"/>
        </w:rPr>
      </w:pPr>
      <w:r>
        <w:rPr>
          <w:rFonts w:hint="eastAsia"/>
          <w:lang w:eastAsia="zh-CN"/>
        </w:rPr>
        <w:t>2. 源域任务数量需求：FOMAML 元训练需要足够多的源域任务来学习"跨任务通用的适应模式"。本研究使用的源域包含 [此处添加源域受试者数量] 位受试者，在更小规模的数据集上效果可能打折。</w:t>
      </w:r>
    </w:p>
    <w:p w14:paraId="062EE040">
      <w:pPr>
        <w:pStyle w:val="61"/>
        <w:rPr>
          <w:rFonts w:hint="eastAsia"/>
          <w:lang w:eastAsia="zh-CN"/>
        </w:rPr>
      </w:pPr>
      <w:r>
        <w:rPr>
          <w:rFonts w:hint="eastAsia"/>
          <w:lang w:eastAsia="zh-CN"/>
        </w:rPr>
        <w:t>3. 超参数敏感性：元学习的超参数（如 INNER_STEPS, META_LR）对最终效果有较大影响，且最优值可能随数据集而变化。本研究通过经验调优确定了当前配置，但系统的超参数搜索可能进一步提升性能。</w:t>
      </w:r>
    </w:p>
    <w:p w14:paraId="32044226">
      <w:pPr>
        <w:pStyle w:val="61"/>
        <w:rPr>
          <w:rFonts w:hint="eastAsia"/>
          <w:lang w:eastAsia="zh-CN"/>
        </w:rPr>
      </w:pPr>
      <w:r>
        <w:rPr>
          <w:rFonts w:hint="eastAsia"/>
          <w:lang w:eastAsia="zh-CN"/>
        </w:rPr>
        <w:t>综上所述，本章提出的元迁移学习策略为实现"佩戴即个性化"的极速冷启动用户体验提供了关键技术支撑，是构建下一代智能血糖管理系统的重要一步。</w:t>
      </w:r>
    </w:p>
    <w:p w14:paraId="46E47EA1">
      <w:pPr>
        <w:pStyle w:val="61"/>
        <w:rPr>
          <w:rFonts w:hint="default" w:eastAsia="宋体"/>
          <w:lang w:val="en-US" w:eastAsia="zh-CN"/>
        </w:rPr>
      </w:pPr>
    </w:p>
    <w:p w14:paraId="3073AA0F">
      <w:pPr>
        <w:pStyle w:val="81"/>
        <w:keepNext/>
        <w:keepLines/>
        <w:widowControl/>
        <w:numPr>
          <w:ilvl w:val="0"/>
          <w:numId w:val="0"/>
        </w:numPr>
        <w:pBdr>
          <w:bottom w:val="single" w:color="auto" w:sz="6" w:space="1"/>
        </w:pBdr>
        <w:spacing w:before="600" w:after="200"/>
        <w:jc w:val="left"/>
        <w:outlineLvl w:val="1"/>
      </w:pPr>
    </w:p>
    <w:p w14:paraId="61974D8C">
      <w:pPr>
        <w:pStyle w:val="81"/>
        <w:keepNext/>
        <w:keepLines/>
        <w:widowControl/>
        <w:numPr>
          <w:ilvl w:val="0"/>
          <w:numId w:val="0"/>
        </w:numPr>
        <w:pBdr>
          <w:bottom w:val="single" w:color="auto" w:sz="6" w:space="1"/>
        </w:pBdr>
        <w:spacing w:before="600" w:after="200"/>
        <w:jc w:val="left"/>
        <w:outlineLvl w:val="1"/>
      </w:pPr>
    </w:p>
    <w:p w14:paraId="3985DD91">
      <w:pPr>
        <w:pStyle w:val="81"/>
        <w:keepNext/>
        <w:keepLines/>
        <w:widowControl/>
        <w:numPr>
          <w:ilvl w:val="0"/>
          <w:numId w:val="0"/>
        </w:numPr>
        <w:pBdr>
          <w:bottom w:val="single" w:color="auto" w:sz="6" w:space="1"/>
        </w:pBdr>
        <w:spacing w:before="600" w:after="200"/>
        <w:jc w:val="left"/>
        <w:outlineLvl w:val="1"/>
      </w:pPr>
    </w:p>
    <w:p w14:paraId="29953187">
      <w:pPr>
        <w:pStyle w:val="81"/>
        <w:keepNext/>
        <w:keepLines/>
        <w:widowControl/>
        <w:numPr>
          <w:ilvl w:val="0"/>
          <w:numId w:val="0"/>
        </w:numPr>
        <w:pBdr>
          <w:bottom w:val="single" w:color="auto" w:sz="6" w:space="1"/>
        </w:pBdr>
        <w:spacing w:before="600" w:after="200"/>
        <w:jc w:val="left"/>
        <w:outlineLvl w:val="1"/>
      </w:pPr>
    </w:p>
    <w:p w14:paraId="1610D53E">
      <w:pPr>
        <w:pStyle w:val="81"/>
        <w:keepNext/>
        <w:keepLines/>
        <w:widowControl/>
        <w:numPr>
          <w:ilvl w:val="0"/>
          <w:numId w:val="0"/>
        </w:numPr>
        <w:pBdr>
          <w:bottom w:val="single" w:color="auto" w:sz="6" w:space="1"/>
        </w:pBdr>
        <w:spacing w:before="600" w:after="200"/>
        <w:jc w:val="left"/>
        <w:outlineLvl w:val="1"/>
      </w:pPr>
    </w:p>
    <w:p w14:paraId="343EA150">
      <w:pPr>
        <w:pStyle w:val="81"/>
        <w:keepNext/>
        <w:keepLines/>
        <w:widowControl/>
        <w:numPr>
          <w:ilvl w:val="0"/>
          <w:numId w:val="0"/>
        </w:numPr>
        <w:pBdr>
          <w:bottom w:val="single" w:color="auto" w:sz="6" w:space="1"/>
        </w:pBdr>
        <w:spacing w:before="600" w:after="200"/>
        <w:jc w:val="left"/>
        <w:outlineLvl w:val="1"/>
      </w:pPr>
    </w:p>
    <w:p w14:paraId="0AFEA49F">
      <w:pPr>
        <w:pStyle w:val="81"/>
        <w:keepNext/>
        <w:keepLines/>
        <w:widowControl/>
        <w:numPr>
          <w:ilvl w:val="0"/>
          <w:numId w:val="0"/>
        </w:numPr>
        <w:pBdr>
          <w:bottom w:val="single" w:color="auto" w:sz="6" w:space="1"/>
        </w:pBdr>
        <w:spacing w:before="600" w:after="200"/>
        <w:jc w:val="left"/>
        <w:outlineLvl w:val="1"/>
      </w:pPr>
    </w:p>
    <w:p w14:paraId="7F2A5B80">
      <w:pPr>
        <w:pStyle w:val="81"/>
        <w:keepNext/>
        <w:keepLines/>
        <w:widowControl/>
        <w:numPr>
          <w:ilvl w:val="0"/>
          <w:numId w:val="0"/>
        </w:numPr>
        <w:pBdr>
          <w:bottom w:val="single" w:color="auto" w:sz="6" w:space="1"/>
        </w:pBdr>
        <w:spacing w:before="600" w:after="200"/>
        <w:jc w:val="left"/>
        <w:outlineLvl w:val="1"/>
      </w:pPr>
    </w:p>
    <w:p w14:paraId="5A425B1C">
      <w:pPr>
        <w:pStyle w:val="81"/>
        <w:keepNext/>
        <w:keepLines/>
        <w:widowControl/>
        <w:numPr>
          <w:ilvl w:val="0"/>
          <w:numId w:val="0"/>
        </w:numPr>
        <w:pBdr>
          <w:bottom w:val="single" w:color="auto" w:sz="6" w:space="1"/>
        </w:pBdr>
        <w:spacing w:before="600" w:after="200"/>
        <w:jc w:val="left"/>
        <w:outlineLvl w:val="1"/>
      </w:pPr>
    </w:p>
    <w:p w14:paraId="4E31D6B3">
      <w:pPr>
        <w:pStyle w:val="81"/>
        <w:keepNext/>
        <w:keepLines/>
        <w:widowControl/>
        <w:numPr>
          <w:ilvl w:val="0"/>
          <w:numId w:val="0"/>
        </w:numPr>
        <w:pBdr>
          <w:bottom w:val="single" w:color="auto" w:sz="6" w:space="1"/>
        </w:pBdr>
        <w:spacing w:before="600" w:after="200"/>
        <w:jc w:val="left"/>
        <w:outlineLvl w:val="1"/>
      </w:pPr>
    </w:p>
    <w:p w14:paraId="1E4B7A92">
      <w:pPr>
        <w:pStyle w:val="81"/>
        <w:keepNext/>
        <w:keepLines/>
        <w:widowControl/>
        <w:numPr>
          <w:ilvl w:val="0"/>
          <w:numId w:val="0"/>
        </w:numPr>
        <w:pBdr>
          <w:bottom w:val="single" w:color="auto" w:sz="6" w:space="1"/>
        </w:pBdr>
        <w:spacing w:before="600" w:after="200"/>
        <w:jc w:val="left"/>
        <w:outlineLvl w:val="1"/>
      </w:pPr>
    </w:p>
    <w:p w14:paraId="4FD2D03D">
      <w:pPr>
        <w:pStyle w:val="81"/>
        <w:keepNext/>
        <w:keepLines/>
        <w:widowControl/>
        <w:numPr>
          <w:ilvl w:val="0"/>
          <w:numId w:val="0"/>
        </w:numPr>
        <w:pBdr>
          <w:bottom w:val="single" w:color="auto" w:sz="6" w:space="1"/>
        </w:pBdr>
        <w:spacing w:before="600" w:after="200"/>
        <w:jc w:val="left"/>
        <w:outlineLvl w:val="1"/>
      </w:pPr>
    </w:p>
    <w:p w14:paraId="4BB54B49">
      <w:pPr>
        <w:pStyle w:val="81"/>
        <w:keepNext/>
        <w:keepLines/>
        <w:widowControl/>
        <w:numPr>
          <w:ilvl w:val="0"/>
          <w:numId w:val="0"/>
        </w:numPr>
        <w:pBdr>
          <w:bottom w:val="single" w:color="auto" w:sz="6" w:space="1"/>
        </w:pBdr>
        <w:spacing w:before="600" w:after="200"/>
        <w:jc w:val="left"/>
        <w:outlineLvl w:val="1"/>
      </w:pPr>
    </w:p>
    <w:p w14:paraId="54BBDB32">
      <w:pPr>
        <w:pStyle w:val="81"/>
        <w:keepNext/>
        <w:keepLines/>
        <w:widowControl/>
        <w:numPr>
          <w:ilvl w:val="0"/>
          <w:numId w:val="0"/>
        </w:numPr>
        <w:pBdr>
          <w:bottom w:val="single" w:color="auto" w:sz="6" w:space="1"/>
        </w:pBdr>
        <w:spacing w:before="600" w:after="200"/>
        <w:jc w:val="left"/>
        <w:outlineLvl w:val="1"/>
      </w:pPr>
    </w:p>
    <w:p w14:paraId="1D3CD72F">
      <w:pPr>
        <w:pStyle w:val="81"/>
        <w:keepNext/>
        <w:keepLines/>
        <w:widowControl/>
        <w:numPr>
          <w:ilvl w:val="0"/>
          <w:numId w:val="0"/>
        </w:numPr>
        <w:pBdr>
          <w:bottom w:val="single" w:color="auto" w:sz="6" w:space="1"/>
        </w:pBdr>
        <w:spacing w:before="600" w:after="200"/>
        <w:jc w:val="left"/>
        <w:outlineLvl w:val="1"/>
      </w:pPr>
    </w:p>
    <w:p w14:paraId="2EFD8F1E">
      <w:pPr>
        <w:pStyle w:val="81"/>
        <w:keepNext/>
        <w:keepLines/>
        <w:widowControl/>
        <w:numPr>
          <w:ilvl w:val="0"/>
          <w:numId w:val="0"/>
        </w:numPr>
        <w:pBdr>
          <w:bottom w:val="single" w:color="auto" w:sz="6" w:space="1"/>
        </w:pBdr>
        <w:spacing w:before="600" w:after="200"/>
        <w:jc w:val="left"/>
        <w:outlineLvl w:val="1"/>
      </w:pPr>
    </w:p>
    <w:p w14:paraId="639CBEEE">
      <w:pPr>
        <w:pStyle w:val="81"/>
        <w:keepNext/>
        <w:keepLines/>
        <w:widowControl/>
        <w:numPr>
          <w:ilvl w:val="0"/>
          <w:numId w:val="0"/>
        </w:numPr>
        <w:pBdr>
          <w:bottom w:val="single" w:color="auto" w:sz="6" w:space="1"/>
        </w:pBdr>
        <w:spacing w:before="600" w:after="200"/>
        <w:jc w:val="left"/>
        <w:outlineLvl w:val="1"/>
      </w:pPr>
    </w:p>
    <w:p w14:paraId="3AF24AEA">
      <w:pPr>
        <w:pStyle w:val="81"/>
        <w:keepNext/>
        <w:keepLines/>
        <w:widowControl/>
        <w:numPr>
          <w:ilvl w:val="0"/>
          <w:numId w:val="0"/>
        </w:numPr>
        <w:pBdr>
          <w:bottom w:val="single" w:color="auto" w:sz="6" w:space="1"/>
        </w:pBdr>
        <w:spacing w:before="600" w:after="200"/>
        <w:jc w:val="left"/>
        <w:outlineLvl w:val="1"/>
      </w:pPr>
    </w:p>
    <w:p w14:paraId="67DD46E6">
      <w:pPr>
        <w:pStyle w:val="81"/>
        <w:pBdr>
          <w:bottom w:val="single" w:color="auto" w:sz="6" w:space="1"/>
        </w:pBdr>
      </w:pPr>
      <w:r>
        <w:rPr>
          <w:rFonts w:hint="eastAsia"/>
        </w:rPr>
        <w:t>Bibliography</w:t>
      </w:r>
      <w:bookmarkEnd w:id="25"/>
      <w:bookmarkEnd w:id="26"/>
    </w:p>
    <w:p w14:paraId="6CCCC08B">
      <w:pPr>
        <w:pStyle w:val="72"/>
        <w:ind w:left="720" w:hanging="720"/>
      </w:pPr>
      <w:r>
        <w:rPr>
          <w:rFonts w:eastAsia="Times New Roman"/>
        </w:rPr>
        <w:fldChar w:fldCharType="begin"/>
      </w:r>
      <w:r>
        <w:instrText xml:space="preserve"> ADDIN EN.REFLIST </w:instrText>
      </w:r>
      <w:r>
        <w:rPr>
          <w:rFonts w:eastAsia="Times New Roman"/>
        </w:rPr>
        <w:fldChar w:fldCharType="separate"/>
      </w:r>
      <w:bookmarkStart w:id="27" w:name="_ENREF_1"/>
      <w:r>
        <w:t>Immerzeel, W., Quiroz, R., &amp; De Jong, S. (2005). Understanding precipitation patterns and land use interaction in Tibet using harmonic analysis of SPOT VGT</w:t>
      </w:r>
      <w:r>
        <w:rPr>
          <w:rFonts w:hint="eastAsia"/>
        </w:rPr>
        <w:t>‐</w:t>
      </w:r>
      <w:r>
        <w:t xml:space="preserve">S10 NDVI time series. </w:t>
      </w:r>
      <w:r>
        <w:rPr>
          <w:i/>
        </w:rPr>
        <w:t>International Journal of Remote Sensing</w:t>
      </w:r>
      <w:r>
        <w:t>,</w:t>
      </w:r>
      <w:r>
        <w:rPr>
          <w:i/>
        </w:rPr>
        <w:t xml:space="preserve"> 26</w:t>
      </w:r>
      <w:r>
        <w:t xml:space="preserve">(11), 2281-2296. </w:t>
      </w:r>
      <w:bookmarkEnd w:id="27"/>
    </w:p>
    <w:p w14:paraId="7B12B616">
      <w:pPr>
        <w:pStyle w:val="72"/>
        <w:ind w:left="720" w:hanging="720"/>
      </w:pPr>
      <w:bookmarkStart w:id="28" w:name="_ENREF_2"/>
      <w:r>
        <w:t xml:space="preserve">Liu, S., &amp; Liu, C.-H. (2025). Morphological influence of sub-scale urban vegetation structures on canopy ventilation and scalar transport based on empirical mode decomposition. </w:t>
      </w:r>
      <w:r>
        <w:rPr>
          <w:i/>
        </w:rPr>
        <w:t>Urban Forestry &amp; Urban Greening</w:t>
      </w:r>
      <w:r>
        <w:t>,</w:t>
      </w:r>
      <w:r>
        <w:rPr>
          <w:i/>
        </w:rPr>
        <w:t xml:space="preserve"> 105</w:t>
      </w:r>
      <w:r>
        <w:t xml:space="preserve">. </w:t>
      </w:r>
      <w:r>
        <w:fldChar w:fldCharType="begin"/>
      </w:r>
      <w:r>
        <w:instrText xml:space="preserve"> HYPERLINK "https://doi.org/10.1016/j.ufug.2025.128685" </w:instrText>
      </w:r>
      <w:r>
        <w:fldChar w:fldCharType="separate"/>
      </w:r>
      <w:r>
        <w:rPr>
          <w:rStyle w:val="35"/>
          <w:rFonts w:eastAsia="等线"/>
        </w:rPr>
        <w:t>https://doi.org/10.1016/j.ufug.2025.128685</w:t>
      </w:r>
      <w:r>
        <w:rPr>
          <w:rStyle w:val="35"/>
          <w:rFonts w:eastAsia="等线"/>
        </w:rPr>
        <w:fldChar w:fldCharType="end"/>
      </w:r>
      <w:r>
        <w:t xml:space="preserve"> </w:t>
      </w:r>
      <w:bookmarkEnd w:id="28"/>
    </w:p>
    <w:p w14:paraId="5CE81C0A">
      <w:pPr>
        <w:pStyle w:val="72"/>
        <w:ind w:left="720" w:hanging="720"/>
      </w:pPr>
      <w:bookmarkStart w:id="29" w:name="_ENREF_3"/>
      <w:r>
        <w:t xml:space="preserve">Oke, T. R., Mills, G., Christen, A., &amp; Voogt, J. A. (2017). </w:t>
      </w:r>
      <w:r>
        <w:rPr>
          <w:i/>
        </w:rPr>
        <w:t>Urban Climates</w:t>
      </w:r>
      <w:r>
        <w:t xml:space="preserve">. Cambridge University Press. </w:t>
      </w:r>
      <w:r>
        <w:fldChar w:fldCharType="begin"/>
      </w:r>
      <w:r>
        <w:instrText xml:space="preserve"> HYPERLINK "https://doi.org/DOI" </w:instrText>
      </w:r>
      <w:r>
        <w:fldChar w:fldCharType="separate"/>
      </w:r>
      <w:r>
        <w:rPr>
          <w:rStyle w:val="35"/>
          <w:rFonts w:eastAsia="等线"/>
        </w:rPr>
        <w:t>https://doi.org/DOI</w:t>
      </w:r>
      <w:r>
        <w:rPr>
          <w:rStyle w:val="35"/>
          <w:rFonts w:eastAsia="等线"/>
        </w:rPr>
        <w:fldChar w:fldCharType="end"/>
      </w:r>
      <w:r>
        <w:t xml:space="preserve">: 10.1017/9781139016476 </w:t>
      </w:r>
      <w:bookmarkEnd w:id="29"/>
    </w:p>
    <w:p w14:paraId="7709FD00">
      <w:pPr>
        <w:pStyle w:val="72"/>
        <w:ind w:left="720" w:hanging="720"/>
      </w:pPr>
      <w:bookmarkStart w:id="30" w:name="_ENREF_4"/>
      <w:r>
        <w:t xml:space="preserve">Schmidt, O. T. (2022). Spectral proper orthogonal decomposition using multitaper estimates. </w:t>
      </w:r>
      <w:r>
        <w:rPr>
          <w:i/>
        </w:rPr>
        <w:t>Theoretical and Computational Fluid Dynamics</w:t>
      </w:r>
      <w:r>
        <w:t>,</w:t>
      </w:r>
      <w:r>
        <w:rPr>
          <w:i/>
        </w:rPr>
        <w:t xml:space="preserve"> 36</w:t>
      </w:r>
      <w:r>
        <w:t xml:space="preserve">(5), 741-754. </w:t>
      </w:r>
      <w:r>
        <w:fldChar w:fldCharType="begin"/>
      </w:r>
      <w:r>
        <w:instrText xml:space="preserve"> HYPERLINK "https://doi.org/10.1007/s00162-022-00626-x" </w:instrText>
      </w:r>
      <w:r>
        <w:fldChar w:fldCharType="separate"/>
      </w:r>
      <w:r>
        <w:rPr>
          <w:rStyle w:val="35"/>
          <w:rFonts w:eastAsia="等线"/>
        </w:rPr>
        <w:t>https://doi.org/10.1007/s00162-022-00626-x</w:t>
      </w:r>
      <w:r>
        <w:rPr>
          <w:rStyle w:val="35"/>
          <w:rFonts w:eastAsia="等线"/>
        </w:rPr>
        <w:fldChar w:fldCharType="end"/>
      </w:r>
      <w:r>
        <w:t xml:space="preserve"> </w:t>
      </w:r>
      <w:bookmarkEnd w:id="30"/>
    </w:p>
    <w:p w14:paraId="25E2FAD8">
      <w:r>
        <w:fldChar w:fldCharType="end"/>
      </w:r>
    </w:p>
    <w:sectPr>
      <w:headerReference r:id="rId13" w:type="default"/>
      <w:footerReference r:id="rId15" w:type="default"/>
      <w:headerReference r:id="rId14" w:type="even"/>
      <w:pgSz w:w="11906" w:h="16838"/>
      <w:pgMar w:top="1418" w:right="1985" w:bottom="1418" w:left="1985"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B06040202020202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3"/>
      </w:rPr>
      <w:id w:val="1079174685"/>
      <w:docPartObj>
        <w:docPartGallery w:val="autotext"/>
      </w:docPartObj>
    </w:sdtPr>
    <w:sdtEndPr>
      <w:rPr>
        <w:rStyle w:val="33"/>
      </w:rPr>
    </w:sdtEndPr>
    <w:sdtContent>
      <w:p w14:paraId="70C41DCC">
        <w:pPr>
          <w:pStyle w:val="17"/>
          <w:framePr w:wrap="auto" w:vAnchor="text" w:hAnchor="margin" w:xAlign="center" w:y="1"/>
          <w:rPr>
            <w:rStyle w:val="33"/>
          </w:rPr>
        </w:pPr>
        <w:r>
          <w:rPr>
            <w:rStyle w:val="33"/>
          </w:rPr>
          <w:fldChar w:fldCharType="begin"/>
        </w:r>
        <w:r>
          <w:rPr>
            <w:rStyle w:val="33"/>
          </w:rPr>
          <w:instrText xml:space="preserve"> PAGE </w:instrText>
        </w:r>
        <w:r>
          <w:rPr>
            <w:rStyle w:val="33"/>
          </w:rPr>
          <w:fldChar w:fldCharType="separate"/>
        </w:r>
        <w:r>
          <w:rPr>
            <w:rStyle w:val="33"/>
          </w:rPr>
          <w:t>xviii</w:t>
        </w:r>
        <w:r>
          <w:rPr>
            <w:rStyle w:val="33"/>
          </w:rPr>
          <w:fldChar w:fldCharType="end"/>
        </w:r>
      </w:p>
    </w:sdtContent>
  </w:sdt>
  <w:p w14:paraId="7C88B530">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3"/>
      </w:rPr>
      <w:id w:val="-155462346"/>
      <w:docPartObj>
        <w:docPartGallery w:val="autotext"/>
      </w:docPartObj>
    </w:sdtPr>
    <w:sdtEndPr>
      <w:rPr>
        <w:rStyle w:val="33"/>
      </w:rPr>
    </w:sdtEndPr>
    <w:sdtContent>
      <w:p w14:paraId="6F0C90C7">
        <w:pPr>
          <w:pStyle w:val="17"/>
          <w:framePr w:wrap="auto" w:vAnchor="text" w:hAnchor="margin" w:xAlign="center" w:y="1"/>
          <w:rPr>
            <w:rStyle w:val="33"/>
          </w:rPr>
        </w:pPr>
        <w:r>
          <w:rPr>
            <w:rStyle w:val="33"/>
          </w:rPr>
          <w:fldChar w:fldCharType="begin"/>
        </w:r>
        <w:r>
          <w:rPr>
            <w:rStyle w:val="33"/>
          </w:rPr>
          <w:instrText xml:space="preserve"> PAGE </w:instrText>
        </w:r>
        <w:r>
          <w:rPr>
            <w:rStyle w:val="33"/>
          </w:rPr>
          <w:fldChar w:fldCharType="separate"/>
        </w:r>
        <w:r>
          <w:rPr>
            <w:rStyle w:val="33"/>
          </w:rPr>
          <w:t>7</w:t>
        </w:r>
        <w:r>
          <w:rPr>
            <w:rStyle w:val="33"/>
          </w:rPr>
          <w:fldChar w:fldCharType="end"/>
        </w:r>
      </w:p>
    </w:sdtContent>
  </w:sdt>
  <w:p w14:paraId="06D8767C">
    <w:pPr>
      <w:pStyle w:val="1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3"/>
      </w:rPr>
      <w:id w:val="1760794913"/>
      <w:docPartObj>
        <w:docPartGallery w:val="autotext"/>
      </w:docPartObj>
    </w:sdtPr>
    <w:sdtEndPr>
      <w:rPr>
        <w:rStyle w:val="33"/>
      </w:rPr>
    </w:sdtEndPr>
    <w:sdtContent>
      <w:p w14:paraId="19B579FA">
        <w:pPr>
          <w:pStyle w:val="17"/>
          <w:framePr w:wrap="auto" w:vAnchor="text" w:hAnchor="margin" w:xAlign="center" w:y="1"/>
          <w:rPr>
            <w:rStyle w:val="33"/>
          </w:rPr>
        </w:pPr>
        <w:r>
          <w:rPr>
            <w:rStyle w:val="33"/>
          </w:rPr>
          <w:fldChar w:fldCharType="begin"/>
        </w:r>
        <w:r>
          <w:rPr>
            <w:rStyle w:val="33"/>
          </w:rPr>
          <w:instrText xml:space="preserve"> PAGE </w:instrText>
        </w:r>
        <w:r>
          <w:rPr>
            <w:rStyle w:val="33"/>
          </w:rPr>
          <w:fldChar w:fldCharType="separate"/>
        </w:r>
        <w:r>
          <w:rPr>
            <w:rStyle w:val="33"/>
          </w:rPr>
          <w:t>2</w:t>
        </w:r>
        <w:r>
          <w:rPr>
            <w:rStyle w:val="33"/>
          </w:rPr>
          <w:fldChar w:fldCharType="end"/>
        </w:r>
      </w:p>
    </w:sdtContent>
  </w:sdt>
  <w:p w14:paraId="6215249D">
    <w:pPr>
      <w:pStyle w:val="17"/>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3"/>
      </w:rPr>
      <w:id w:val="68239679"/>
      <w:docPartObj>
        <w:docPartGallery w:val="autotext"/>
      </w:docPartObj>
    </w:sdtPr>
    <w:sdtEndPr>
      <w:rPr>
        <w:rStyle w:val="33"/>
      </w:rPr>
    </w:sdtEndPr>
    <w:sdtContent>
      <w:p w14:paraId="765DF065">
        <w:pPr>
          <w:pStyle w:val="17"/>
          <w:framePr w:wrap="auto" w:vAnchor="text" w:hAnchor="margin" w:xAlign="center" w:y="1"/>
          <w:rPr>
            <w:rStyle w:val="33"/>
          </w:rPr>
        </w:pPr>
        <w:r>
          <w:rPr>
            <w:rStyle w:val="33"/>
          </w:rPr>
          <w:fldChar w:fldCharType="begin"/>
        </w:r>
        <w:r>
          <w:rPr>
            <w:rStyle w:val="33"/>
          </w:rPr>
          <w:instrText xml:space="preserve"> PAGE </w:instrText>
        </w:r>
        <w:r>
          <w:rPr>
            <w:rStyle w:val="33"/>
          </w:rPr>
          <w:fldChar w:fldCharType="separate"/>
        </w:r>
        <w:r>
          <w:rPr>
            <w:rStyle w:val="33"/>
          </w:rPr>
          <w:t>1</w:t>
        </w:r>
        <w:r>
          <w:rPr>
            <w:rStyle w:val="33"/>
          </w:rPr>
          <w:fldChar w:fldCharType="end"/>
        </w:r>
      </w:p>
    </w:sdtContent>
  </w:sdt>
  <w:p w14:paraId="2F41476D">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5FC59">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2D1A9">
    <w:pPr>
      <w:pStyle w:val="1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875387969"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43083801">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0288;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vDyd9YAAAAKAQAADwAAAAAAAAABACAAAAAiAAAA&#10;ZHJzL2Rvd25yZXYueG1sUEsBAhQAFAAAAAgAh07iQGZk5U1CAgAAagQAAA4AAAAAAAAAAQAgAAAA&#10;JQEAAGRycy9lMm9Eb2MueG1sUEsFBgAAAAAGAAYAWQEAANkFAAAAAA==&#10;">
              <v:fill on="f" focussize="0,0"/>
              <v:stroke on="f" weight="0.5pt"/>
              <v:imagedata o:title=""/>
              <o:lock v:ext="edit" aspectratio="f"/>
              <v:textbox inset="2.54mm,0mm,2.54mm,1.27mm">
                <w:txbxContent>
                  <w:p w14:paraId="43083801">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6</w:t>
    </w:r>
    <w:r>
      <w:rPr>
        <w:rFonts w:ascii="Times New Roman" w:hAnsi="Times New Roman" w:cs="Times New Roman"/>
        <w:b/>
        <w:bCs/>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213C3">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CD2BD">
    <w:pPr>
      <w:pStyle w:val="18"/>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4C7B4">
    <w:pPr>
      <w:pStyle w:val="18"/>
      <w:pBdr>
        <w:bottom w:val="single" w:color="auto" w:sz="6" w:space="1"/>
      </w:pBdr>
      <w:jc w:val="right"/>
      <w:rPr>
        <w:rFonts w:ascii="Times New Roman" w:hAnsi="Times New Roman" w:cs="Times New Roman"/>
        <w:b/>
        <w:bCs/>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"HEADING - L1"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 xml:space="preserve">6.4 </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w:instrText>
    </w:r>
    <w:r>
      <w:rPr>
        <w:rFonts w:hint="eastAsia" w:ascii="Times New Roman" w:hAnsi="Times New Roman" w:cs="Times New Roman"/>
        <w:b/>
        <w:bCs/>
        <w:sz w:val="24"/>
        <w:szCs w:val="24"/>
      </w:rPr>
      <w:instrText xml:space="preserve">STYLEREF "HEADING - L1" \* MERGEFORMAT</w:instrText>
    </w:r>
    <w:r>
      <w:rPr>
        <w:rFonts w:ascii="Times New Roman" w:hAnsi="Times New Roman" w:cs="Times New Roman"/>
        <w:b/>
        <w:bCs/>
        <w:sz w:val="24"/>
        <w:szCs w:val="24"/>
      </w:rPr>
      <w:instrText xml:space="preserve"> </w:instrText>
    </w:r>
    <w:r>
      <w:rPr>
        <w:rFonts w:ascii="Times New Roman" w:hAnsi="Times New Roman" w:cs="Times New Roman"/>
        <w:b/>
        <w:bCs/>
        <w:sz w:val="24"/>
        <w:szCs w:val="24"/>
      </w:rPr>
      <w:fldChar w:fldCharType="separate"/>
    </w:r>
    <w:r>
      <w:rPr>
        <w:rFonts w:hint="eastAsia" w:ascii="Times New Roman" w:hAnsi="Times New Roman" w:cs="Times New Roman"/>
        <w:b/>
        <w:bCs/>
        <w:sz w:val="24"/>
        <w:szCs w:val="24"/>
      </w:rPr>
      <w:t>Disscussion</w:t>
    </w:r>
    <w:r>
      <w:rPr>
        <w:rFonts w:ascii="Times New Roman" w:hAnsi="Times New Roman" w:cs="Times New Roman"/>
        <w:b/>
        <w:bCs/>
        <w:sz w:val="24"/>
        <w:szCs w:val="24"/>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F6DEC">
    <w:pPr>
      <w:pStyle w:val="1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1312"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1412493138"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698419C0">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1312;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vDyd9YAAAAKAQAADwAAAAAAAAABACAAAAAi&#10;AAAAZHJzL2Rvd25yZXYueG1sUEsBAhQAFAAAAAgAh07iQK+GajtFAgAAawQAAA4AAAAAAAAAAQAg&#10;AAAAJQEAAGRycy9lMm9Eb2MueG1sUEsFBgAAAAAGAAYAWQEAANwFAAAAAA==&#10;">
              <v:fill on="f" focussize="0,0"/>
              <v:stroke on="f" weight="0.5pt"/>
              <v:imagedata o:title=""/>
              <o:lock v:ext="edit" aspectratio="f"/>
              <v:textbox inset="2.54mm,0mm,2.54mm,1.27mm">
                <w:txbxContent>
                  <w:p w14:paraId="698419C0">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6</w:t>
    </w:r>
    <w:r>
      <w:rPr>
        <w:rFonts w:ascii="Times New Roman" w:hAnsi="Times New Roman" w:cs="Times New Roman"/>
        <w:b/>
        <w:bCs/>
        <w:sz w:val="24"/>
        <w:szCs w:val="24"/>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FCC5F">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97766">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05D80">
    <w:pPr>
      <w:pStyle w:val="1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2336"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1558518932"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3F284E54">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2336;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vDyd9YAAAAKAQAADwAAAAAAAAABACAAAAAi&#10;AAAAZHJzL2Rvd25yZXYueG1sUEsBAhQAFAAAAAgAh07iQFi7n5RFAgAAawQAAA4AAAAAAAAAAQAg&#10;AAAAJQEAAGRycy9lMm9Eb2MueG1sUEsFBgAAAAAGAAYAWQEAANwFAAAAAA==&#10;">
              <v:fill on="f" focussize="0,0"/>
              <v:stroke on="f" weight="0.5pt"/>
              <v:imagedata o:title=""/>
              <o:lock v:ext="edit" aspectratio="f"/>
              <v:textbox inset="2.54mm,0mm,2.54mm,1.27mm">
                <w:txbxContent>
                  <w:p w14:paraId="3F284E54">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6</w:t>
    </w:r>
    <w:r>
      <w:rPr>
        <w:rFonts w:ascii="Times New Roman" w:hAnsi="Times New Roman" w:cs="Times New Roman"/>
        <w:b/>
        <w:bCs/>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82439"/>
    <w:multiLevelType w:val="multilevel"/>
    <w:tmpl w:val="18982439"/>
    <w:lvl w:ilvl="0" w:tentative="0">
      <w:start w:val="1"/>
      <w:numFmt w:val="none"/>
      <w:pStyle w:val="81"/>
      <w:lvlText w:val=""/>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A1A0203"/>
    <w:multiLevelType w:val="multilevel"/>
    <w:tmpl w:val="1A1A020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2E886565"/>
    <w:multiLevelType w:val="multilevel"/>
    <w:tmpl w:val="2E886565"/>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lvlText w:val="%1.%2.%3"/>
      <w:lvlJc w:val="left"/>
      <w:pPr>
        <w:ind w:left="0" w:firstLine="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3">
    <w:nsid w:val="423361A4"/>
    <w:multiLevelType w:val="multilevel"/>
    <w:tmpl w:val="423361A4"/>
    <w:lvl w:ilvl="0" w:tentative="0">
      <w:start w:val="1"/>
      <w:numFmt w:val="decimal"/>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
    <w:nsid w:val="5FAF0B3D"/>
    <w:multiLevelType w:val="multilevel"/>
    <w:tmpl w:val="5FAF0B3D"/>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67F901A0"/>
    <w:multiLevelType w:val="multilevel"/>
    <w:tmpl w:val="67F901A0"/>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pStyle w:val="4"/>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6">
    <w:nsid w:val="729B61DA"/>
    <w:multiLevelType w:val="multilevel"/>
    <w:tmpl w:val="729B61DA"/>
    <w:lvl w:ilvl="0" w:tentative="0">
      <w:start w:val="1"/>
      <w:numFmt w:val="decimal"/>
      <w:pStyle w:val="55"/>
      <w:lvlText w:val="Chapter %1"/>
      <w:lvlJc w:val="left"/>
      <w:pPr>
        <w:ind w:left="0" w:firstLine="0"/>
      </w:pPr>
      <w:rPr>
        <w:rFonts w:hint="eastAsia"/>
      </w:rPr>
    </w:lvl>
    <w:lvl w:ilvl="1" w:tentative="0">
      <w:start w:val="1"/>
      <w:numFmt w:val="decimal"/>
      <w:pStyle w:val="56"/>
      <w:lvlText w:val="%1.%2 "/>
      <w:lvlJc w:val="left"/>
      <w:pPr>
        <w:ind w:left="0" w:firstLine="0"/>
      </w:pPr>
      <w:rPr>
        <w:rFonts w:hint="eastAsia"/>
      </w:rPr>
    </w:lvl>
    <w:lvl w:ilvl="2" w:tentative="0">
      <w:start w:val="1"/>
      <w:numFmt w:val="decimal"/>
      <w:pStyle w:val="57"/>
      <w:lvlText w:val="%1.%2.%3 "/>
      <w:lvlJc w:val="left"/>
      <w:pPr>
        <w:ind w:left="0" w:firstLine="0"/>
      </w:pPr>
      <w:rPr>
        <w:rFonts w:hint="eastAsia"/>
      </w:rPr>
    </w:lvl>
    <w:lvl w:ilvl="3" w:tentative="0">
      <w:start w:val="1"/>
      <w:numFmt w:val="decimal"/>
      <w:pStyle w:val="58"/>
      <w:lvlText w:val="%1.%2.%3.%4 "/>
      <w:lvlJc w:val="left"/>
      <w:pPr>
        <w:ind w:left="0" w:firstLine="0"/>
      </w:pPr>
      <w:rPr>
        <w:rFonts w:hint="eastAsia"/>
      </w:rPr>
    </w:lvl>
    <w:lvl w:ilvl="4" w:tentative="0">
      <w:start w:val="1"/>
      <w:numFmt w:val="decimal"/>
      <w:pStyle w:val="59"/>
      <w:lvlText w:val="%1.%2.%3.%4.%5 "/>
      <w:lvlJc w:val="left"/>
      <w:pPr>
        <w:ind w:left="0" w:firstLine="0"/>
      </w:pPr>
      <w:rPr>
        <w:rFonts w:hint="eastAsia"/>
      </w:rPr>
    </w:lvl>
    <w:lvl w:ilvl="5" w:tentative="0">
      <w:start w:val="1"/>
      <w:numFmt w:val="decimal"/>
      <w:lvlRestart w:val="1"/>
      <w:pStyle w:val="62"/>
      <w:lvlText w:val="Figure %1.%6"/>
      <w:lvlJc w:val="left"/>
      <w:pPr>
        <w:ind w:left="1418" w:hanging="1418"/>
      </w:pPr>
      <w:rPr>
        <w:rFonts w:hint="eastAsia"/>
      </w:rPr>
    </w:lvl>
    <w:lvl w:ilvl="6" w:tentative="0">
      <w:start w:val="1"/>
      <w:numFmt w:val="decimal"/>
      <w:lvlRestart w:val="1"/>
      <w:pStyle w:val="63"/>
      <w:lvlText w:val="Table %1.%7"/>
      <w:lvlJc w:val="left"/>
      <w:pPr>
        <w:tabs>
          <w:tab w:val="left" w:pos="1418"/>
        </w:tabs>
        <w:ind w:left="1418" w:hanging="1418"/>
      </w:pPr>
      <w:rPr>
        <w:rFonts w:hint="eastAsia"/>
      </w:rPr>
    </w:lvl>
    <w:lvl w:ilvl="7" w:tentative="0">
      <w:start w:val="1"/>
      <w:numFmt w:val="decimal"/>
      <w:lvlRestart w:val="1"/>
      <w:pStyle w:val="66"/>
      <w:lvlText w:val="(%1.%8)"/>
      <w:lvlJc w:val="right"/>
      <w:pPr>
        <w:ind w:left="0" w:firstLine="0"/>
      </w:pPr>
    </w:lvl>
    <w:lvl w:ilvl="8" w:tentative="0">
      <w:start w:val="1"/>
      <w:numFmt w:val="decimal"/>
      <w:lvlText w:val="%1.%2.%3.%4.%5.%6.%7.%8.%9."/>
      <w:lvlJc w:val="left"/>
      <w:pPr>
        <w:ind w:left="1559" w:hanging="1559"/>
      </w:pPr>
      <w:rPr>
        <w:rFonts w:hint="eastAsia"/>
      </w:rPr>
    </w:lvl>
  </w:abstractNum>
  <w:abstractNum w:abstractNumId="7">
    <w:nsid w:val="7A950596"/>
    <w:multiLevelType w:val="multilevel"/>
    <w:tmpl w:val="7A950596"/>
    <w:lvl w:ilvl="0" w:tentative="0">
      <w:start w:val="1"/>
      <w:numFmt w:val="none"/>
      <w:pStyle w:val="84"/>
      <w:lvlText w:val=""/>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5"/>
  </w:num>
  <w:num w:numId="3">
    <w:abstractNumId w:val="2"/>
  </w:num>
  <w:num w:numId="4">
    <w:abstractNumId w:val="6"/>
  </w:num>
  <w:num w:numId="5">
    <w:abstractNumId w:val="0"/>
  </w:num>
  <w:num w:numId="6">
    <w:abstractNumId w:val="7"/>
  </w:num>
  <w:num w:numId="7">
    <w:abstractNumId w:val="1"/>
  </w:num>
  <w:num w:numId="8">
    <w:abstractNumId w:val="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z5wd9afr8df2t0epaa25dtpw2a09s22ft2e0&quot;&gt;Major EndNote Library&lt;record-ids&gt;&lt;item&gt;1402&lt;/item&gt;&lt;item&gt;1439&lt;/item&gt;&lt;item&gt;1578&lt;/item&gt;&lt;item&gt;1603&lt;/item&gt;&lt;/record-ids&gt;&lt;/item&gt;&lt;/Libraries&gt;"/>
    <w:docVar w:name="EN.UseJSCitationFormat" w:val="False"/>
  </w:docVars>
  <w:rsids>
    <w:rsidRoot w:val="00B44189"/>
    <w:rsid w:val="000004A1"/>
    <w:rsid w:val="000036DE"/>
    <w:rsid w:val="00004B34"/>
    <w:rsid w:val="00005505"/>
    <w:rsid w:val="00005C4A"/>
    <w:rsid w:val="000073BD"/>
    <w:rsid w:val="000078D6"/>
    <w:rsid w:val="000128C6"/>
    <w:rsid w:val="000153AF"/>
    <w:rsid w:val="0001613F"/>
    <w:rsid w:val="000162E6"/>
    <w:rsid w:val="00021C48"/>
    <w:rsid w:val="00022CDB"/>
    <w:rsid w:val="0002345A"/>
    <w:rsid w:val="00024628"/>
    <w:rsid w:val="000249FF"/>
    <w:rsid w:val="00025731"/>
    <w:rsid w:val="00025893"/>
    <w:rsid w:val="00025ACE"/>
    <w:rsid w:val="000306DF"/>
    <w:rsid w:val="00034152"/>
    <w:rsid w:val="00037FA1"/>
    <w:rsid w:val="00040332"/>
    <w:rsid w:val="00042B98"/>
    <w:rsid w:val="000439A5"/>
    <w:rsid w:val="00044797"/>
    <w:rsid w:val="00044F99"/>
    <w:rsid w:val="00045E25"/>
    <w:rsid w:val="00050385"/>
    <w:rsid w:val="0005046F"/>
    <w:rsid w:val="0005103A"/>
    <w:rsid w:val="000526E8"/>
    <w:rsid w:val="00053EF5"/>
    <w:rsid w:val="00054852"/>
    <w:rsid w:val="00063609"/>
    <w:rsid w:val="00071C3E"/>
    <w:rsid w:val="000736EE"/>
    <w:rsid w:val="00074F69"/>
    <w:rsid w:val="0007657C"/>
    <w:rsid w:val="0008296D"/>
    <w:rsid w:val="00084140"/>
    <w:rsid w:val="00084FDE"/>
    <w:rsid w:val="00087000"/>
    <w:rsid w:val="0009405B"/>
    <w:rsid w:val="00095E58"/>
    <w:rsid w:val="000A0C6F"/>
    <w:rsid w:val="000A1A79"/>
    <w:rsid w:val="000A3174"/>
    <w:rsid w:val="000A5F76"/>
    <w:rsid w:val="000B1874"/>
    <w:rsid w:val="000B2F4F"/>
    <w:rsid w:val="000B352B"/>
    <w:rsid w:val="000B39CC"/>
    <w:rsid w:val="000B5F5E"/>
    <w:rsid w:val="000C1D16"/>
    <w:rsid w:val="000C2953"/>
    <w:rsid w:val="000C50BE"/>
    <w:rsid w:val="000D1A14"/>
    <w:rsid w:val="000D4165"/>
    <w:rsid w:val="000E273D"/>
    <w:rsid w:val="000E33C1"/>
    <w:rsid w:val="000E3F03"/>
    <w:rsid w:val="000F454E"/>
    <w:rsid w:val="001062BE"/>
    <w:rsid w:val="001073EB"/>
    <w:rsid w:val="001102F7"/>
    <w:rsid w:val="0011112C"/>
    <w:rsid w:val="001136B5"/>
    <w:rsid w:val="00114557"/>
    <w:rsid w:val="00115248"/>
    <w:rsid w:val="00115324"/>
    <w:rsid w:val="001232A0"/>
    <w:rsid w:val="00124988"/>
    <w:rsid w:val="00126632"/>
    <w:rsid w:val="001310F8"/>
    <w:rsid w:val="00131E10"/>
    <w:rsid w:val="0013366B"/>
    <w:rsid w:val="00135DFF"/>
    <w:rsid w:val="00135EC3"/>
    <w:rsid w:val="00137842"/>
    <w:rsid w:val="0014038A"/>
    <w:rsid w:val="00143626"/>
    <w:rsid w:val="00143B18"/>
    <w:rsid w:val="001440E7"/>
    <w:rsid w:val="00145B7B"/>
    <w:rsid w:val="00146D10"/>
    <w:rsid w:val="00151438"/>
    <w:rsid w:val="00155C49"/>
    <w:rsid w:val="00160D17"/>
    <w:rsid w:val="00160D83"/>
    <w:rsid w:val="00160DF8"/>
    <w:rsid w:val="001611A3"/>
    <w:rsid w:val="0016305B"/>
    <w:rsid w:val="0016323F"/>
    <w:rsid w:val="00164653"/>
    <w:rsid w:val="00164F8F"/>
    <w:rsid w:val="001651C3"/>
    <w:rsid w:val="00165D98"/>
    <w:rsid w:val="0016655F"/>
    <w:rsid w:val="001671D1"/>
    <w:rsid w:val="00170A32"/>
    <w:rsid w:val="001751A0"/>
    <w:rsid w:val="00176669"/>
    <w:rsid w:val="0018117A"/>
    <w:rsid w:val="001827CB"/>
    <w:rsid w:val="00184E98"/>
    <w:rsid w:val="00186866"/>
    <w:rsid w:val="00187DA5"/>
    <w:rsid w:val="0019711E"/>
    <w:rsid w:val="001A12A2"/>
    <w:rsid w:val="001A2E73"/>
    <w:rsid w:val="001A40B9"/>
    <w:rsid w:val="001A7279"/>
    <w:rsid w:val="001B062C"/>
    <w:rsid w:val="001B3286"/>
    <w:rsid w:val="001B3E32"/>
    <w:rsid w:val="001C0358"/>
    <w:rsid w:val="001C2EEE"/>
    <w:rsid w:val="001C37CF"/>
    <w:rsid w:val="001C3BE0"/>
    <w:rsid w:val="001C3F55"/>
    <w:rsid w:val="001D1234"/>
    <w:rsid w:val="001D5164"/>
    <w:rsid w:val="001D5328"/>
    <w:rsid w:val="001D54D3"/>
    <w:rsid w:val="001E1380"/>
    <w:rsid w:val="001E1494"/>
    <w:rsid w:val="001E1AA4"/>
    <w:rsid w:val="001E2E39"/>
    <w:rsid w:val="001E38C3"/>
    <w:rsid w:val="001E3FFF"/>
    <w:rsid w:val="001F47B1"/>
    <w:rsid w:val="001F6683"/>
    <w:rsid w:val="002006C1"/>
    <w:rsid w:val="00201A0B"/>
    <w:rsid w:val="00204567"/>
    <w:rsid w:val="00211845"/>
    <w:rsid w:val="00215F33"/>
    <w:rsid w:val="002173F3"/>
    <w:rsid w:val="00220127"/>
    <w:rsid w:val="0022103C"/>
    <w:rsid w:val="002210C7"/>
    <w:rsid w:val="00221D29"/>
    <w:rsid w:val="00221ED9"/>
    <w:rsid w:val="00222C83"/>
    <w:rsid w:val="00225020"/>
    <w:rsid w:val="00226C23"/>
    <w:rsid w:val="002330DD"/>
    <w:rsid w:val="0023410B"/>
    <w:rsid w:val="0023504A"/>
    <w:rsid w:val="00236DF1"/>
    <w:rsid w:val="002371A8"/>
    <w:rsid w:val="002371F3"/>
    <w:rsid w:val="00241E55"/>
    <w:rsid w:val="00242208"/>
    <w:rsid w:val="0024463D"/>
    <w:rsid w:val="0024566C"/>
    <w:rsid w:val="00246EE9"/>
    <w:rsid w:val="00250F92"/>
    <w:rsid w:val="00252223"/>
    <w:rsid w:val="00252EF8"/>
    <w:rsid w:val="00256FE0"/>
    <w:rsid w:val="00260E63"/>
    <w:rsid w:val="002613E7"/>
    <w:rsid w:val="0026235F"/>
    <w:rsid w:val="00270AD7"/>
    <w:rsid w:val="002713C9"/>
    <w:rsid w:val="002764B5"/>
    <w:rsid w:val="0027709C"/>
    <w:rsid w:val="00277AF2"/>
    <w:rsid w:val="00281C69"/>
    <w:rsid w:val="00282F37"/>
    <w:rsid w:val="002834D1"/>
    <w:rsid w:val="0028384D"/>
    <w:rsid w:val="00285F58"/>
    <w:rsid w:val="00291167"/>
    <w:rsid w:val="0029446D"/>
    <w:rsid w:val="002A1806"/>
    <w:rsid w:val="002A1CDD"/>
    <w:rsid w:val="002A1E24"/>
    <w:rsid w:val="002A26D1"/>
    <w:rsid w:val="002A2D0C"/>
    <w:rsid w:val="002A6AA4"/>
    <w:rsid w:val="002A6F2E"/>
    <w:rsid w:val="002B2096"/>
    <w:rsid w:val="002B2B6F"/>
    <w:rsid w:val="002B4A9D"/>
    <w:rsid w:val="002B4B53"/>
    <w:rsid w:val="002B6AD9"/>
    <w:rsid w:val="002C2D99"/>
    <w:rsid w:val="002C41CC"/>
    <w:rsid w:val="002D2ADB"/>
    <w:rsid w:val="002D59B9"/>
    <w:rsid w:val="002D6C84"/>
    <w:rsid w:val="002D7334"/>
    <w:rsid w:val="002D76CD"/>
    <w:rsid w:val="002E164B"/>
    <w:rsid w:val="002E39B6"/>
    <w:rsid w:val="002E56E1"/>
    <w:rsid w:val="002E57E0"/>
    <w:rsid w:val="002E60DA"/>
    <w:rsid w:val="002E6790"/>
    <w:rsid w:val="002E6D14"/>
    <w:rsid w:val="002F0C66"/>
    <w:rsid w:val="002F249D"/>
    <w:rsid w:val="002F2D1A"/>
    <w:rsid w:val="002F5CC4"/>
    <w:rsid w:val="00301231"/>
    <w:rsid w:val="0030253E"/>
    <w:rsid w:val="003033DF"/>
    <w:rsid w:val="0030593A"/>
    <w:rsid w:val="0030660C"/>
    <w:rsid w:val="00311EB0"/>
    <w:rsid w:val="00312220"/>
    <w:rsid w:val="003124A9"/>
    <w:rsid w:val="0031362B"/>
    <w:rsid w:val="003142D7"/>
    <w:rsid w:val="0032450D"/>
    <w:rsid w:val="00325253"/>
    <w:rsid w:val="00325546"/>
    <w:rsid w:val="0032656E"/>
    <w:rsid w:val="00327701"/>
    <w:rsid w:val="00332057"/>
    <w:rsid w:val="00333618"/>
    <w:rsid w:val="00334A1B"/>
    <w:rsid w:val="0033519B"/>
    <w:rsid w:val="00337C73"/>
    <w:rsid w:val="003403ED"/>
    <w:rsid w:val="00340E13"/>
    <w:rsid w:val="003423C4"/>
    <w:rsid w:val="00346E51"/>
    <w:rsid w:val="003473BD"/>
    <w:rsid w:val="00347860"/>
    <w:rsid w:val="003509F9"/>
    <w:rsid w:val="003529C1"/>
    <w:rsid w:val="00353644"/>
    <w:rsid w:val="00354DC4"/>
    <w:rsid w:val="00354FBA"/>
    <w:rsid w:val="00356B23"/>
    <w:rsid w:val="00357243"/>
    <w:rsid w:val="00360039"/>
    <w:rsid w:val="003622D0"/>
    <w:rsid w:val="0036274B"/>
    <w:rsid w:val="00365FF7"/>
    <w:rsid w:val="00366557"/>
    <w:rsid w:val="00366DFB"/>
    <w:rsid w:val="0036726B"/>
    <w:rsid w:val="00372DA6"/>
    <w:rsid w:val="00374235"/>
    <w:rsid w:val="00375033"/>
    <w:rsid w:val="0038334F"/>
    <w:rsid w:val="00383ADE"/>
    <w:rsid w:val="00383B7E"/>
    <w:rsid w:val="00383EF8"/>
    <w:rsid w:val="00385EFA"/>
    <w:rsid w:val="0039234B"/>
    <w:rsid w:val="00393938"/>
    <w:rsid w:val="003968DB"/>
    <w:rsid w:val="003A547C"/>
    <w:rsid w:val="003A6689"/>
    <w:rsid w:val="003B1F6F"/>
    <w:rsid w:val="003B2AF5"/>
    <w:rsid w:val="003B466A"/>
    <w:rsid w:val="003B57A1"/>
    <w:rsid w:val="003B5E60"/>
    <w:rsid w:val="003B6335"/>
    <w:rsid w:val="003B6CE6"/>
    <w:rsid w:val="003C1B5B"/>
    <w:rsid w:val="003C34EA"/>
    <w:rsid w:val="003C3A38"/>
    <w:rsid w:val="003C4C56"/>
    <w:rsid w:val="003D26FD"/>
    <w:rsid w:val="003D39E5"/>
    <w:rsid w:val="003D4121"/>
    <w:rsid w:val="003D4FB6"/>
    <w:rsid w:val="003D60BB"/>
    <w:rsid w:val="003D643D"/>
    <w:rsid w:val="003D6733"/>
    <w:rsid w:val="003E0658"/>
    <w:rsid w:val="003E17B2"/>
    <w:rsid w:val="003E2B09"/>
    <w:rsid w:val="003E3EA3"/>
    <w:rsid w:val="003E5944"/>
    <w:rsid w:val="003F255F"/>
    <w:rsid w:val="003F2B97"/>
    <w:rsid w:val="003F49F7"/>
    <w:rsid w:val="003F4D0E"/>
    <w:rsid w:val="00400664"/>
    <w:rsid w:val="00401757"/>
    <w:rsid w:val="00401837"/>
    <w:rsid w:val="00402509"/>
    <w:rsid w:val="00402D74"/>
    <w:rsid w:val="00402ECA"/>
    <w:rsid w:val="0040352B"/>
    <w:rsid w:val="0040435D"/>
    <w:rsid w:val="00406C7E"/>
    <w:rsid w:val="00407B93"/>
    <w:rsid w:val="00410718"/>
    <w:rsid w:val="00420C43"/>
    <w:rsid w:val="004248C8"/>
    <w:rsid w:val="00426882"/>
    <w:rsid w:val="00427DC8"/>
    <w:rsid w:val="00432A9B"/>
    <w:rsid w:val="0043326C"/>
    <w:rsid w:val="00433425"/>
    <w:rsid w:val="00436AFB"/>
    <w:rsid w:val="00441524"/>
    <w:rsid w:val="00447D80"/>
    <w:rsid w:val="004570B4"/>
    <w:rsid w:val="00462B72"/>
    <w:rsid w:val="004630A9"/>
    <w:rsid w:val="00466B3F"/>
    <w:rsid w:val="00471A1D"/>
    <w:rsid w:val="00474213"/>
    <w:rsid w:val="004742EE"/>
    <w:rsid w:val="00474C53"/>
    <w:rsid w:val="00476BC0"/>
    <w:rsid w:val="004779FC"/>
    <w:rsid w:val="00480791"/>
    <w:rsid w:val="00480F2E"/>
    <w:rsid w:val="00484774"/>
    <w:rsid w:val="00485173"/>
    <w:rsid w:val="00486D3B"/>
    <w:rsid w:val="004879C2"/>
    <w:rsid w:val="00487C0B"/>
    <w:rsid w:val="00487CA3"/>
    <w:rsid w:val="004959DB"/>
    <w:rsid w:val="004A01A8"/>
    <w:rsid w:val="004A14FD"/>
    <w:rsid w:val="004A6F45"/>
    <w:rsid w:val="004A74FF"/>
    <w:rsid w:val="004B5969"/>
    <w:rsid w:val="004B6013"/>
    <w:rsid w:val="004C2420"/>
    <w:rsid w:val="004C323E"/>
    <w:rsid w:val="004C4AB0"/>
    <w:rsid w:val="004C4B49"/>
    <w:rsid w:val="004C57CF"/>
    <w:rsid w:val="004C5DF1"/>
    <w:rsid w:val="004C63A9"/>
    <w:rsid w:val="004D58D4"/>
    <w:rsid w:val="004D7AD1"/>
    <w:rsid w:val="004E0338"/>
    <w:rsid w:val="004E2DF0"/>
    <w:rsid w:val="004E3393"/>
    <w:rsid w:val="004E3BAE"/>
    <w:rsid w:val="004E441E"/>
    <w:rsid w:val="004E5663"/>
    <w:rsid w:val="004E6B22"/>
    <w:rsid w:val="004F345B"/>
    <w:rsid w:val="004F47E7"/>
    <w:rsid w:val="004F483F"/>
    <w:rsid w:val="004F518F"/>
    <w:rsid w:val="004F6C0B"/>
    <w:rsid w:val="004F6E89"/>
    <w:rsid w:val="005001E8"/>
    <w:rsid w:val="0050152D"/>
    <w:rsid w:val="00506CCE"/>
    <w:rsid w:val="005112FA"/>
    <w:rsid w:val="005179F5"/>
    <w:rsid w:val="00522360"/>
    <w:rsid w:val="00522B86"/>
    <w:rsid w:val="00523051"/>
    <w:rsid w:val="005274C7"/>
    <w:rsid w:val="00527AE8"/>
    <w:rsid w:val="00530B1C"/>
    <w:rsid w:val="00533026"/>
    <w:rsid w:val="005421E3"/>
    <w:rsid w:val="00542ACC"/>
    <w:rsid w:val="0054566B"/>
    <w:rsid w:val="00545CEA"/>
    <w:rsid w:val="00546B05"/>
    <w:rsid w:val="00550EF7"/>
    <w:rsid w:val="00552792"/>
    <w:rsid w:val="00553A3D"/>
    <w:rsid w:val="0055612C"/>
    <w:rsid w:val="00556263"/>
    <w:rsid w:val="00556A41"/>
    <w:rsid w:val="00557641"/>
    <w:rsid w:val="00560075"/>
    <w:rsid w:val="005602CD"/>
    <w:rsid w:val="00560E09"/>
    <w:rsid w:val="0056104C"/>
    <w:rsid w:val="00561326"/>
    <w:rsid w:val="00561CE9"/>
    <w:rsid w:val="00562075"/>
    <w:rsid w:val="00571E07"/>
    <w:rsid w:val="00574876"/>
    <w:rsid w:val="005751D7"/>
    <w:rsid w:val="00580B3F"/>
    <w:rsid w:val="00581C91"/>
    <w:rsid w:val="00584DFF"/>
    <w:rsid w:val="00585317"/>
    <w:rsid w:val="00590EF9"/>
    <w:rsid w:val="00595762"/>
    <w:rsid w:val="00595961"/>
    <w:rsid w:val="00597A4A"/>
    <w:rsid w:val="005A0A6A"/>
    <w:rsid w:val="005A1BC5"/>
    <w:rsid w:val="005A572B"/>
    <w:rsid w:val="005A7719"/>
    <w:rsid w:val="005B06D4"/>
    <w:rsid w:val="005B2C24"/>
    <w:rsid w:val="005B2F01"/>
    <w:rsid w:val="005B3730"/>
    <w:rsid w:val="005B51FD"/>
    <w:rsid w:val="005B6C05"/>
    <w:rsid w:val="005C0C89"/>
    <w:rsid w:val="005C298B"/>
    <w:rsid w:val="005C5B12"/>
    <w:rsid w:val="005C7474"/>
    <w:rsid w:val="005D08C8"/>
    <w:rsid w:val="005D2D74"/>
    <w:rsid w:val="005D7341"/>
    <w:rsid w:val="005E507F"/>
    <w:rsid w:val="005F02B4"/>
    <w:rsid w:val="005F09E4"/>
    <w:rsid w:val="005F2026"/>
    <w:rsid w:val="005F693E"/>
    <w:rsid w:val="0060135F"/>
    <w:rsid w:val="006017FE"/>
    <w:rsid w:val="00601CFC"/>
    <w:rsid w:val="00603809"/>
    <w:rsid w:val="006046AE"/>
    <w:rsid w:val="00606284"/>
    <w:rsid w:val="00613DE0"/>
    <w:rsid w:val="0061567B"/>
    <w:rsid w:val="00624A15"/>
    <w:rsid w:val="00626992"/>
    <w:rsid w:val="0062745E"/>
    <w:rsid w:val="006335DC"/>
    <w:rsid w:val="0064327B"/>
    <w:rsid w:val="0064490B"/>
    <w:rsid w:val="006458FB"/>
    <w:rsid w:val="00645A2C"/>
    <w:rsid w:val="006461F1"/>
    <w:rsid w:val="006520A8"/>
    <w:rsid w:val="00655BAF"/>
    <w:rsid w:val="00660EBA"/>
    <w:rsid w:val="00662703"/>
    <w:rsid w:val="0066544D"/>
    <w:rsid w:val="00673AAE"/>
    <w:rsid w:val="006761C0"/>
    <w:rsid w:val="006874E3"/>
    <w:rsid w:val="006957AA"/>
    <w:rsid w:val="00696BBC"/>
    <w:rsid w:val="006A09D9"/>
    <w:rsid w:val="006A0E64"/>
    <w:rsid w:val="006A10CD"/>
    <w:rsid w:val="006A2A79"/>
    <w:rsid w:val="006A4C70"/>
    <w:rsid w:val="006A5E20"/>
    <w:rsid w:val="006A7E68"/>
    <w:rsid w:val="006B0918"/>
    <w:rsid w:val="006B1710"/>
    <w:rsid w:val="006B1C78"/>
    <w:rsid w:val="006C4A3B"/>
    <w:rsid w:val="006C6579"/>
    <w:rsid w:val="006C77A7"/>
    <w:rsid w:val="006D350B"/>
    <w:rsid w:val="006D38E2"/>
    <w:rsid w:val="006D49F4"/>
    <w:rsid w:val="006D6B9C"/>
    <w:rsid w:val="006D727F"/>
    <w:rsid w:val="006D774D"/>
    <w:rsid w:val="006E238E"/>
    <w:rsid w:val="006E77B9"/>
    <w:rsid w:val="006F2A12"/>
    <w:rsid w:val="006F30EB"/>
    <w:rsid w:val="006F78B2"/>
    <w:rsid w:val="0071049B"/>
    <w:rsid w:val="0071060A"/>
    <w:rsid w:val="00710A16"/>
    <w:rsid w:val="00711F33"/>
    <w:rsid w:val="00713B64"/>
    <w:rsid w:val="0071547D"/>
    <w:rsid w:val="00720BAE"/>
    <w:rsid w:val="00721EF0"/>
    <w:rsid w:val="00726AD6"/>
    <w:rsid w:val="007270FA"/>
    <w:rsid w:val="00727EB7"/>
    <w:rsid w:val="0073076D"/>
    <w:rsid w:val="00731CBB"/>
    <w:rsid w:val="00733370"/>
    <w:rsid w:val="00737241"/>
    <w:rsid w:val="007374BC"/>
    <w:rsid w:val="00737B46"/>
    <w:rsid w:val="00741B7F"/>
    <w:rsid w:val="00742253"/>
    <w:rsid w:val="0074449C"/>
    <w:rsid w:val="007510B3"/>
    <w:rsid w:val="007571B0"/>
    <w:rsid w:val="007606D7"/>
    <w:rsid w:val="00760A98"/>
    <w:rsid w:val="00761471"/>
    <w:rsid w:val="0076223D"/>
    <w:rsid w:val="007646E5"/>
    <w:rsid w:val="0076732A"/>
    <w:rsid w:val="007677BE"/>
    <w:rsid w:val="0077466C"/>
    <w:rsid w:val="007821E4"/>
    <w:rsid w:val="00790EBF"/>
    <w:rsid w:val="00790F3A"/>
    <w:rsid w:val="0079308F"/>
    <w:rsid w:val="00795680"/>
    <w:rsid w:val="007A0A54"/>
    <w:rsid w:val="007A0C6C"/>
    <w:rsid w:val="007A1B57"/>
    <w:rsid w:val="007B22ED"/>
    <w:rsid w:val="007B67F9"/>
    <w:rsid w:val="007B7217"/>
    <w:rsid w:val="007C1D60"/>
    <w:rsid w:val="007C4D5E"/>
    <w:rsid w:val="007D4EB0"/>
    <w:rsid w:val="007D5BCA"/>
    <w:rsid w:val="007D7649"/>
    <w:rsid w:val="007E01EA"/>
    <w:rsid w:val="007E037B"/>
    <w:rsid w:val="007E0963"/>
    <w:rsid w:val="007E0D84"/>
    <w:rsid w:val="007E192D"/>
    <w:rsid w:val="007F0050"/>
    <w:rsid w:val="007F025A"/>
    <w:rsid w:val="007F0D5A"/>
    <w:rsid w:val="007F169B"/>
    <w:rsid w:val="007F23CC"/>
    <w:rsid w:val="007F295F"/>
    <w:rsid w:val="007F2E3D"/>
    <w:rsid w:val="007F4432"/>
    <w:rsid w:val="007F6346"/>
    <w:rsid w:val="008042D7"/>
    <w:rsid w:val="00806A26"/>
    <w:rsid w:val="00807818"/>
    <w:rsid w:val="008104BD"/>
    <w:rsid w:val="008105B1"/>
    <w:rsid w:val="0081229B"/>
    <w:rsid w:val="00812B2B"/>
    <w:rsid w:val="0081395A"/>
    <w:rsid w:val="00813AAA"/>
    <w:rsid w:val="00816701"/>
    <w:rsid w:val="008170F8"/>
    <w:rsid w:val="00817A3C"/>
    <w:rsid w:val="00817BEF"/>
    <w:rsid w:val="00825E59"/>
    <w:rsid w:val="0082600F"/>
    <w:rsid w:val="00830396"/>
    <w:rsid w:val="00835F07"/>
    <w:rsid w:val="00836C1C"/>
    <w:rsid w:val="00837ADA"/>
    <w:rsid w:val="00842878"/>
    <w:rsid w:val="008439CB"/>
    <w:rsid w:val="008473E9"/>
    <w:rsid w:val="00852FED"/>
    <w:rsid w:val="00853255"/>
    <w:rsid w:val="00854C37"/>
    <w:rsid w:val="00857F3E"/>
    <w:rsid w:val="008618E2"/>
    <w:rsid w:val="0086198C"/>
    <w:rsid w:val="00865A67"/>
    <w:rsid w:val="00866824"/>
    <w:rsid w:val="00866914"/>
    <w:rsid w:val="008679F8"/>
    <w:rsid w:val="008705C7"/>
    <w:rsid w:val="00877FDA"/>
    <w:rsid w:val="0088040E"/>
    <w:rsid w:val="00882175"/>
    <w:rsid w:val="008845E0"/>
    <w:rsid w:val="008861F4"/>
    <w:rsid w:val="00886F07"/>
    <w:rsid w:val="0089510A"/>
    <w:rsid w:val="0089535B"/>
    <w:rsid w:val="00896C29"/>
    <w:rsid w:val="008A3BA7"/>
    <w:rsid w:val="008A41D5"/>
    <w:rsid w:val="008A5D43"/>
    <w:rsid w:val="008A6824"/>
    <w:rsid w:val="008A6E4C"/>
    <w:rsid w:val="008A7090"/>
    <w:rsid w:val="008B5B9F"/>
    <w:rsid w:val="008B6910"/>
    <w:rsid w:val="008C15D2"/>
    <w:rsid w:val="008C33E1"/>
    <w:rsid w:val="008C48C5"/>
    <w:rsid w:val="008C60A1"/>
    <w:rsid w:val="008D02E8"/>
    <w:rsid w:val="008D0861"/>
    <w:rsid w:val="008D1B40"/>
    <w:rsid w:val="008D4896"/>
    <w:rsid w:val="008D5ECE"/>
    <w:rsid w:val="008D674F"/>
    <w:rsid w:val="008E1F65"/>
    <w:rsid w:val="008E2FB9"/>
    <w:rsid w:val="008E31F0"/>
    <w:rsid w:val="008E3A68"/>
    <w:rsid w:val="008E5AA8"/>
    <w:rsid w:val="008E69E6"/>
    <w:rsid w:val="008F0BAD"/>
    <w:rsid w:val="008F3497"/>
    <w:rsid w:val="008F6C70"/>
    <w:rsid w:val="00900627"/>
    <w:rsid w:val="009065E3"/>
    <w:rsid w:val="009115D5"/>
    <w:rsid w:val="00914CB8"/>
    <w:rsid w:val="009152ED"/>
    <w:rsid w:val="00921034"/>
    <w:rsid w:val="00923BE5"/>
    <w:rsid w:val="0093217D"/>
    <w:rsid w:val="009325DF"/>
    <w:rsid w:val="00932FEA"/>
    <w:rsid w:val="00935CE4"/>
    <w:rsid w:val="0093624E"/>
    <w:rsid w:val="009415FB"/>
    <w:rsid w:val="0094300E"/>
    <w:rsid w:val="009433B8"/>
    <w:rsid w:val="00947ABF"/>
    <w:rsid w:val="009513E6"/>
    <w:rsid w:val="0095567B"/>
    <w:rsid w:val="00960211"/>
    <w:rsid w:val="00960FD0"/>
    <w:rsid w:val="009629DC"/>
    <w:rsid w:val="00962CA5"/>
    <w:rsid w:val="00965C78"/>
    <w:rsid w:val="0096738C"/>
    <w:rsid w:val="00972A06"/>
    <w:rsid w:val="00974C6C"/>
    <w:rsid w:val="009858E2"/>
    <w:rsid w:val="00987264"/>
    <w:rsid w:val="00990710"/>
    <w:rsid w:val="009943E6"/>
    <w:rsid w:val="00996824"/>
    <w:rsid w:val="009971F3"/>
    <w:rsid w:val="009A0064"/>
    <w:rsid w:val="009A3213"/>
    <w:rsid w:val="009A47B9"/>
    <w:rsid w:val="009B1F71"/>
    <w:rsid w:val="009B3224"/>
    <w:rsid w:val="009B73D4"/>
    <w:rsid w:val="009B78CE"/>
    <w:rsid w:val="009C50BF"/>
    <w:rsid w:val="009C6915"/>
    <w:rsid w:val="009D097F"/>
    <w:rsid w:val="009D3F14"/>
    <w:rsid w:val="009D5566"/>
    <w:rsid w:val="009E1DEF"/>
    <w:rsid w:val="009E30F9"/>
    <w:rsid w:val="009E4AF4"/>
    <w:rsid w:val="009E535B"/>
    <w:rsid w:val="009E6B38"/>
    <w:rsid w:val="009E71BF"/>
    <w:rsid w:val="009F0378"/>
    <w:rsid w:val="009F1BB5"/>
    <w:rsid w:val="009F451F"/>
    <w:rsid w:val="009F61BC"/>
    <w:rsid w:val="00A00E41"/>
    <w:rsid w:val="00A01263"/>
    <w:rsid w:val="00A04469"/>
    <w:rsid w:val="00A054B6"/>
    <w:rsid w:val="00A057DD"/>
    <w:rsid w:val="00A10456"/>
    <w:rsid w:val="00A149FD"/>
    <w:rsid w:val="00A14F13"/>
    <w:rsid w:val="00A16726"/>
    <w:rsid w:val="00A17634"/>
    <w:rsid w:val="00A2544F"/>
    <w:rsid w:val="00A26E3D"/>
    <w:rsid w:val="00A27231"/>
    <w:rsid w:val="00A327CB"/>
    <w:rsid w:val="00A4479E"/>
    <w:rsid w:val="00A532F4"/>
    <w:rsid w:val="00A536B4"/>
    <w:rsid w:val="00A542F3"/>
    <w:rsid w:val="00A55674"/>
    <w:rsid w:val="00A56392"/>
    <w:rsid w:val="00A56EF3"/>
    <w:rsid w:val="00A62818"/>
    <w:rsid w:val="00A667DD"/>
    <w:rsid w:val="00A674CB"/>
    <w:rsid w:val="00A67D42"/>
    <w:rsid w:val="00A70A37"/>
    <w:rsid w:val="00A76335"/>
    <w:rsid w:val="00A82F1A"/>
    <w:rsid w:val="00A8396D"/>
    <w:rsid w:val="00A8474C"/>
    <w:rsid w:val="00A84D56"/>
    <w:rsid w:val="00A853BB"/>
    <w:rsid w:val="00A92C5B"/>
    <w:rsid w:val="00A93003"/>
    <w:rsid w:val="00A9390C"/>
    <w:rsid w:val="00A95780"/>
    <w:rsid w:val="00A95956"/>
    <w:rsid w:val="00A96894"/>
    <w:rsid w:val="00AA0557"/>
    <w:rsid w:val="00AA0AB4"/>
    <w:rsid w:val="00AA0EF9"/>
    <w:rsid w:val="00AA6418"/>
    <w:rsid w:val="00AA6F0F"/>
    <w:rsid w:val="00AA7985"/>
    <w:rsid w:val="00AB042D"/>
    <w:rsid w:val="00AB0A4D"/>
    <w:rsid w:val="00AB4B14"/>
    <w:rsid w:val="00AB5909"/>
    <w:rsid w:val="00AC0B79"/>
    <w:rsid w:val="00AC1930"/>
    <w:rsid w:val="00AC23A6"/>
    <w:rsid w:val="00AC3785"/>
    <w:rsid w:val="00AC4C3C"/>
    <w:rsid w:val="00AC4CBA"/>
    <w:rsid w:val="00AC6AC8"/>
    <w:rsid w:val="00AC78CC"/>
    <w:rsid w:val="00AD49FC"/>
    <w:rsid w:val="00AD5E76"/>
    <w:rsid w:val="00AD79E9"/>
    <w:rsid w:val="00AE0BF5"/>
    <w:rsid w:val="00AE0E94"/>
    <w:rsid w:val="00AE101D"/>
    <w:rsid w:val="00AE122E"/>
    <w:rsid w:val="00AE23B8"/>
    <w:rsid w:val="00AE3561"/>
    <w:rsid w:val="00AE529B"/>
    <w:rsid w:val="00AE6FE9"/>
    <w:rsid w:val="00AF2D67"/>
    <w:rsid w:val="00AF577B"/>
    <w:rsid w:val="00B0049B"/>
    <w:rsid w:val="00B007FA"/>
    <w:rsid w:val="00B04BCF"/>
    <w:rsid w:val="00B04EE0"/>
    <w:rsid w:val="00B0515E"/>
    <w:rsid w:val="00B05DAF"/>
    <w:rsid w:val="00B07EF0"/>
    <w:rsid w:val="00B1026F"/>
    <w:rsid w:val="00B115C2"/>
    <w:rsid w:val="00B1539D"/>
    <w:rsid w:val="00B2620F"/>
    <w:rsid w:val="00B3185C"/>
    <w:rsid w:val="00B31FD3"/>
    <w:rsid w:val="00B40539"/>
    <w:rsid w:val="00B405DB"/>
    <w:rsid w:val="00B44189"/>
    <w:rsid w:val="00B44DD1"/>
    <w:rsid w:val="00B454AF"/>
    <w:rsid w:val="00B46B03"/>
    <w:rsid w:val="00B514EF"/>
    <w:rsid w:val="00B51F9A"/>
    <w:rsid w:val="00B52DF7"/>
    <w:rsid w:val="00B538CE"/>
    <w:rsid w:val="00B54189"/>
    <w:rsid w:val="00B570A2"/>
    <w:rsid w:val="00B60491"/>
    <w:rsid w:val="00B61E29"/>
    <w:rsid w:val="00B62156"/>
    <w:rsid w:val="00B6341C"/>
    <w:rsid w:val="00B704D6"/>
    <w:rsid w:val="00B729BC"/>
    <w:rsid w:val="00B73272"/>
    <w:rsid w:val="00B742D5"/>
    <w:rsid w:val="00B758FE"/>
    <w:rsid w:val="00B75E1C"/>
    <w:rsid w:val="00B80505"/>
    <w:rsid w:val="00B80B73"/>
    <w:rsid w:val="00B81348"/>
    <w:rsid w:val="00B82472"/>
    <w:rsid w:val="00B865CD"/>
    <w:rsid w:val="00B90378"/>
    <w:rsid w:val="00B906E1"/>
    <w:rsid w:val="00B9126F"/>
    <w:rsid w:val="00B9331B"/>
    <w:rsid w:val="00B95510"/>
    <w:rsid w:val="00BA232E"/>
    <w:rsid w:val="00BB06BF"/>
    <w:rsid w:val="00BB10C2"/>
    <w:rsid w:val="00BB3890"/>
    <w:rsid w:val="00BB437C"/>
    <w:rsid w:val="00BB71A9"/>
    <w:rsid w:val="00BB7350"/>
    <w:rsid w:val="00BC3E03"/>
    <w:rsid w:val="00BC5EF2"/>
    <w:rsid w:val="00BC7B8D"/>
    <w:rsid w:val="00BD411C"/>
    <w:rsid w:val="00BD4FE2"/>
    <w:rsid w:val="00BD7D16"/>
    <w:rsid w:val="00BE076A"/>
    <w:rsid w:val="00BE0938"/>
    <w:rsid w:val="00BE5E5B"/>
    <w:rsid w:val="00BE7BF4"/>
    <w:rsid w:val="00BF08B1"/>
    <w:rsid w:val="00BF5085"/>
    <w:rsid w:val="00BF7144"/>
    <w:rsid w:val="00C002E3"/>
    <w:rsid w:val="00C04A98"/>
    <w:rsid w:val="00C05C05"/>
    <w:rsid w:val="00C06A19"/>
    <w:rsid w:val="00C0744C"/>
    <w:rsid w:val="00C104D3"/>
    <w:rsid w:val="00C12912"/>
    <w:rsid w:val="00C13B72"/>
    <w:rsid w:val="00C16427"/>
    <w:rsid w:val="00C172A6"/>
    <w:rsid w:val="00C17B68"/>
    <w:rsid w:val="00C21132"/>
    <w:rsid w:val="00C230BB"/>
    <w:rsid w:val="00C23E5A"/>
    <w:rsid w:val="00C2451A"/>
    <w:rsid w:val="00C27D76"/>
    <w:rsid w:val="00C33AF4"/>
    <w:rsid w:val="00C34A23"/>
    <w:rsid w:val="00C36E44"/>
    <w:rsid w:val="00C418AD"/>
    <w:rsid w:val="00C41BF3"/>
    <w:rsid w:val="00C44C0D"/>
    <w:rsid w:val="00C45F48"/>
    <w:rsid w:val="00C460B4"/>
    <w:rsid w:val="00C474E0"/>
    <w:rsid w:val="00C47AC0"/>
    <w:rsid w:val="00C50686"/>
    <w:rsid w:val="00C569B9"/>
    <w:rsid w:val="00C57AE6"/>
    <w:rsid w:val="00C602D6"/>
    <w:rsid w:val="00C61219"/>
    <w:rsid w:val="00C622AB"/>
    <w:rsid w:val="00C6445A"/>
    <w:rsid w:val="00C6538F"/>
    <w:rsid w:val="00C6751F"/>
    <w:rsid w:val="00C6787F"/>
    <w:rsid w:val="00C70323"/>
    <w:rsid w:val="00C71FAA"/>
    <w:rsid w:val="00C72844"/>
    <w:rsid w:val="00C72BBF"/>
    <w:rsid w:val="00C75D4E"/>
    <w:rsid w:val="00C75F46"/>
    <w:rsid w:val="00C7675B"/>
    <w:rsid w:val="00C76D3D"/>
    <w:rsid w:val="00C81573"/>
    <w:rsid w:val="00C828C1"/>
    <w:rsid w:val="00C83184"/>
    <w:rsid w:val="00C84255"/>
    <w:rsid w:val="00C87955"/>
    <w:rsid w:val="00C87C28"/>
    <w:rsid w:val="00C87CFE"/>
    <w:rsid w:val="00C90735"/>
    <w:rsid w:val="00C97A95"/>
    <w:rsid w:val="00CA1A9E"/>
    <w:rsid w:val="00CA1D01"/>
    <w:rsid w:val="00CA21CD"/>
    <w:rsid w:val="00CA31A9"/>
    <w:rsid w:val="00CA55ED"/>
    <w:rsid w:val="00CB44D8"/>
    <w:rsid w:val="00CC27E0"/>
    <w:rsid w:val="00CC34AB"/>
    <w:rsid w:val="00CC38BB"/>
    <w:rsid w:val="00CC40D6"/>
    <w:rsid w:val="00CC4C65"/>
    <w:rsid w:val="00CC63B3"/>
    <w:rsid w:val="00CD16F2"/>
    <w:rsid w:val="00CD28CB"/>
    <w:rsid w:val="00CD378E"/>
    <w:rsid w:val="00CD572F"/>
    <w:rsid w:val="00CD7B01"/>
    <w:rsid w:val="00CE13DD"/>
    <w:rsid w:val="00CE1D90"/>
    <w:rsid w:val="00CE24FB"/>
    <w:rsid w:val="00CE31D5"/>
    <w:rsid w:val="00CE3B4B"/>
    <w:rsid w:val="00CE5042"/>
    <w:rsid w:val="00CF0981"/>
    <w:rsid w:val="00CF0A22"/>
    <w:rsid w:val="00CF1E7B"/>
    <w:rsid w:val="00CF52F3"/>
    <w:rsid w:val="00CF5C07"/>
    <w:rsid w:val="00CF6ABB"/>
    <w:rsid w:val="00CF7C0C"/>
    <w:rsid w:val="00D02A6E"/>
    <w:rsid w:val="00D031E2"/>
    <w:rsid w:val="00D03571"/>
    <w:rsid w:val="00D06631"/>
    <w:rsid w:val="00D067BE"/>
    <w:rsid w:val="00D075C9"/>
    <w:rsid w:val="00D124F6"/>
    <w:rsid w:val="00D12F93"/>
    <w:rsid w:val="00D20203"/>
    <w:rsid w:val="00D22E00"/>
    <w:rsid w:val="00D23C96"/>
    <w:rsid w:val="00D273E0"/>
    <w:rsid w:val="00D30B99"/>
    <w:rsid w:val="00D318E7"/>
    <w:rsid w:val="00D31AA8"/>
    <w:rsid w:val="00D32448"/>
    <w:rsid w:val="00D34808"/>
    <w:rsid w:val="00D34BB0"/>
    <w:rsid w:val="00D36C40"/>
    <w:rsid w:val="00D37721"/>
    <w:rsid w:val="00D4294B"/>
    <w:rsid w:val="00D42A6B"/>
    <w:rsid w:val="00D504EF"/>
    <w:rsid w:val="00D508DE"/>
    <w:rsid w:val="00D53BF8"/>
    <w:rsid w:val="00D540C9"/>
    <w:rsid w:val="00D55867"/>
    <w:rsid w:val="00D602C7"/>
    <w:rsid w:val="00D613FA"/>
    <w:rsid w:val="00D6396D"/>
    <w:rsid w:val="00D63AB2"/>
    <w:rsid w:val="00D64538"/>
    <w:rsid w:val="00D66BF3"/>
    <w:rsid w:val="00D67AF1"/>
    <w:rsid w:val="00D757C2"/>
    <w:rsid w:val="00D76C1D"/>
    <w:rsid w:val="00D77687"/>
    <w:rsid w:val="00D77886"/>
    <w:rsid w:val="00D8140A"/>
    <w:rsid w:val="00D84844"/>
    <w:rsid w:val="00D87C03"/>
    <w:rsid w:val="00D905A3"/>
    <w:rsid w:val="00D92D41"/>
    <w:rsid w:val="00D93402"/>
    <w:rsid w:val="00D95DB2"/>
    <w:rsid w:val="00D95EEB"/>
    <w:rsid w:val="00D96FA5"/>
    <w:rsid w:val="00D970BB"/>
    <w:rsid w:val="00D970D7"/>
    <w:rsid w:val="00DA0CB2"/>
    <w:rsid w:val="00DA1AB0"/>
    <w:rsid w:val="00DA421A"/>
    <w:rsid w:val="00DA51A7"/>
    <w:rsid w:val="00DA60AD"/>
    <w:rsid w:val="00DA617F"/>
    <w:rsid w:val="00DB6FD4"/>
    <w:rsid w:val="00DB7110"/>
    <w:rsid w:val="00DC05E2"/>
    <w:rsid w:val="00DC6B23"/>
    <w:rsid w:val="00DC7E20"/>
    <w:rsid w:val="00DD0982"/>
    <w:rsid w:val="00DD1B82"/>
    <w:rsid w:val="00DD4A5F"/>
    <w:rsid w:val="00DE0AF6"/>
    <w:rsid w:val="00DE2E83"/>
    <w:rsid w:val="00DE44D3"/>
    <w:rsid w:val="00DE68F3"/>
    <w:rsid w:val="00DF119C"/>
    <w:rsid w:val="00DF1594"/>
    <w:rsid w:val="00DF321C"/>
    <w:rsid w:val="00E01ACB"/>
    <w:rsid w:val="00E01B0F"/>
    <w:rsid w:val="00E05B76"/>
    <w:rsid w:val="00E06166"/>
    <w:rsid w:val="00E064DB"/>
    <w:rsid w:val="00E0793C"/>
    <w:rsid w:val="00E07B41"/>
    <w:rsid w:val="00E10161"/>
    <w:rsid w:val="00E1260A"/>
    <w:rsid w:val="00E14969"/>
    <w:rsid w:val="00E14A57"/>
    <w:rsid w:val="00E151BA"/>
    <w:rsid w:val="00E16711"/>
    <w:rsid w:val="00E178E3"/>
    <w:rsid w:val="00E20132"/>
    <w:rsid w:val="00E20DDC"/>
    <w:rsid w:val="00E22084"/>
    <w:rsid w:val="00E23B59"/>
    <w:rsid w:val="00E24EA6"/>
    <w:rsid w:val="00E34192"/>
    <w:rsid w:val="00E34D5F"/>
    <w:rsid w:val="00E35121"/>
    <w:rsid w:val="00E3568C"/>
    <w:rsid w:val="00E35CFA"/>
    <w:rsid w:val="00E377B2"/>
    <w:rsid w:val="00E4339A"/>
    <w:rsid w:val="00E43A72"/>
    <w:rsid w:val="00E44DB5"/>
    <w:rsid w:val="00E4589E"/>
    <w:rsid w:val="00E47A7C"/>
    <w:rsid w:val="00E522A4"/>
    <w:rsid w:val="00E52FDD"/>
    <w:rsid w:val="00E55919"/>
    <w:rsid w:val="00E570AC"/>
    <w:rsid w:val="00E57202"/>
    <w:rsid w:val="00E57A71"/>
    <w:rsid w:val="00E60592"/>
    <w:rsid w:val="00E60C44"/>
    <w:rsid w:val="00E60FF2"/>
    <w:rsid w:val="00E623B3"/>
    <w:rsid w:val="00E62AA6"/>
    <w:rsid w:val="00E638A8"/>
    <w:rsid w:val="00E638E5"/>
    <w:rsid w:val="00E6487B"/>
    <w:rsid w:val="00E65967"/>
    <w:rsid w:val="00E71872"/>
    <w:rsid w:val="00E8539B"/>
    <w:rsid w:val="00E87B2C"/>
    <w:rsid w:val="00E9086A"/>
    <w:rsid w:val="00E96A32"/>
    <w:rsid w:val="00EA5CBD"/>
    <w:rsid w:val="00EB0470"/>
    <w:rsid w:val="00EB1737"/>
    <w:rsid w:val="00EB2188"/>
    <w:rsid w:val="00EB6FC1"/>
    <w:rsid w:val="00EC49FF"/>
    <w:rsid w:val="00EC6A91"/>
    <w:rsid w:val="00EC6C67"/>
    <w:rsid w:val="00ED10AB"/>
    <w:rsid w:val="00ED4E39"/>
    <w:rsid w:val="00ED5F9D"/>
    <w:rsid w:val="00ED6DF3"/>
    <w:rsid w:val="00ED720B"/>
    <w:rsid w:val="00ED7CEA"/>
    <w:rsid w:val="00EE1210"/>
    <w:rsid w:val="00EE1564"/>
    <w:rsid w:val="00EE20DA"/>
    <w:rsid w:val="00EE51B8"/>
    <w:rsid w:val="00EE7D2C"/>
    <w:rsid w:val="00EE7DC3"/>
    <w:rsid w:val="00EF1ECC"/>
    <w:rsid w:val="00EF252D"/>
    <w:rsid w:val="00EF684F"/>
    <w:rsid w:val="00EF6DD0"/>
    <w:rsid w:val="00F01631"/>
    <w:rsid w:val="00F02D82"/>
    <w:rsid w:val="00F050D9"/>
    <w:rsid w:val="00F106E1"/>
    <w:rsid w:val="00F14C95"/>
    <w:rsid w:val="00F15E25"/>
    <w:rsid w:val="00F212B9"/>
    <w:rsid w:val="00F23860"/>
    <w:rsid w:val="00F24B95"/>
    <w:rsid w:val="00F26742"/>
    <w:rsid w:val="00F31B3E"/>
    <w:rsid w:val="00F31E42"/>
    <w:rsid w:val="00F3293A"/>
    <w:rsid w:val="00F33887"/>
    <w:rsid w:val="00F351A5"/>
    <w:rsid w:val="00F351AB"/>
    <w:rsid w:val="00F42416"/>
    <w:rsid w:val="00F4430C"/>
    <w:rsid w:val="00F44D74"/>
    <w:rsid w:val="00F555D7"/>
    <w:rsid w:val="00F57373"/>
    <w:rsid w:val="00F617E1"/>
    <w:rsid w:val="00F63C8D"/>
    <w:rsid w:val="00F64925"/>
    <w:rsid w:val="00F6707C"/>
    <w:rsid w:val="00F70C3E"/>
    <w:rsid w:val="00F71029"/>
    <w:rsid w:val="00F736B1"/>
    <w:rsid w:val="00F7453E"/>
    <w:rsid w:val="00F75ED0"/>
    <w:rsid w:val="00F82E47"/>
    <w:rsid w:val="00F83D7F"/>
    <w:rsid w:val="00F84848"/>
    <w:rsid w:val="00F84FA1"/>
    <w:rsid w:val="00F85015"/>
    <w:rsid w:val="00F871B4"/>
    <w:rsid w:val="00F93AB5"/>
    <w:rsid w:val="00F95CF9"/>
    <w:rsid w:val="00FA1132"/>
    <w:rsid w:val="00FA441F"/>
    <w:rsid w:val="00FA4FE1"/>
    <w:rsid w:val="00FA7513"/>
    <w:rsid w:val="00FB0363"/>
    <w:rsid w:val="00FB0CF0"/>
    <w:rsid w:val="00FB6A96"/>
    <w:rsid w:val="00FB7781"/>
    <w:rsid w:val="00FC3FFE"/>
    <w:rsid w:val="00FD6462"/>
    <w:rsid w:val="00FD7714"/>
    <w:rsid w:val="00FE2BEB"/>
    <w:rsid w:val="00FE4C29"/>
    <w:rsid w:val="00FE4D9D"/>
    <w:rsid w:val="00FE743B"/>
    <w:rsid w:val="00FF4E27"/>
    <w:rsid w:val="00FF7AE5"/>
    <w:rsid w:val="010428C1"/>
    <w:rsid w:val="01BB52A1"/>
    <w:rsid w:val="02274A84"/>
    <w:rsid w:val="02BC3862"/>
    <w:rsid w:val="0650193B"/>
    <w:rsid w:val="06F30B2D"/>
    <w:rsid w:val="07CF4038"/>
    <w:rsid w:val="097529BD"/>
    <w:rsid w:val="09C40BEC"/>
    <w:rsid w:val="0A572F5A"/>
    <w:rsid w:val="0DDE151B"/>
    <w:rsid w:val="0E026509"/>
    <w:rsid w:val="0E2F6079"/>
    <w:rsid w:val="0F754803"/>
    <w:rsid w:val="0FC14BAE"/>
    <w:rsid w:val="12AD31C8"/>
    <w:rsid w:val="12D7190D"/>
    <w:rsid w:val="138E5F4F"/>
    <w:rsid w:val="13E744B7"/>
    <w:rsid w:val="17951197"/>
    <w:rsid w:val="17C87FFA"/>
    <w:rsid w:val="18E70C10"/>
    <w:rsid w:val="1AE23C2A"/>
    <w:rsid w:val="1F200154"/>
    <w:rsid w:val="1F512AEE"/>
    <w:rsid w:val="205B4263"/>
    <w:rsid w:val="211D59BC"/>
    <w:rsid w:val="23F5677C"/>
    <w:rsid w:val="24506200"/>
    <w:rsid w:val="24713520"/>
    <w:rsid w:val="25275E5F"/>
    <w:rsid w:val="25B33CEC"/>
    <w:rsid w:val="275A23D1"/>
    <w:rsid w:val="297E7214"/>
    <w:rsid w:val="29B22746"/>
    <w:rsid w:val="2E6C46E8"/>
    <w:rsid w:val="30015408"/>
    <w:rsid w:val="31992E3D"/>
    <w:rsid w:val="348F1F3A"/>
    <w:rsid w:val="360C1F8B"/>
    <w:rsid w:val="37684573"/>
    <w:rsid w:val="379D7D88"/>
    <w:rsid w:val="379F42B6"/>
    <w:rsid w:val="386F0726"/>
    <w:rsid w:val="38AA5930"/>
    <w:rsid w:val="390E2952"/>
    <w:rsid w:val="3A00657A"/>
    <w:rsid w:val="3A08637A"/>
    <w:rsid w:val="3A687850"/>
    <w:rsid w:val="3A7B3F01"/>
    <w:rsid w:val="3B8A37F6"/>
    <w:rsid w:val="3DAC3EF8"/>
    <w:rsid w:val="43102EFE"/>
    <w:rsid w:val="43E35CF7"/>
    <w:rsid w:val="44512735"/>
    <w:rsid w:val="449961D7"/>
    <w:rsid w:val="45074D59"/>
    <w:rsid w:val="46521A6E"/>
    <w:rsid w:val="495D254A"/>
    <w:rsid w:val="497A39BD"/>
    <w:rsid w:val="4E32358F"/>
    <w:rsid w:val="4E3A5C50"/>
    <w:rsid w:val="4F0B3174"/>
    <w:rsid w:val="505A5A36"/>
    <w:rsid w:val="523968D3"/>
    <w:rsid w:val="53B71F2A"/>
    <w:rsid w:val="558A581C"/>
    <w:rsid w:val="58EA3732"/>
    <w:rsid w:val="59212B20"/>
    <w:rsid w:val="5ACC7530"/>
    <w:rsid w:val="5BEF7144"/>
    <w:rsid w:val="5C3B2BBF"/>
    <w:rsid w:val="5CA97B29"/>
    <w:rsid w:val="5EBD159B"/>
    <w:rsid w:val="6198112C"/>
    <w:rsid w:val="62817E4E"/>
    <w:rsid w:val="62E767B8"/>
    <w:rsid w:val="65BC48E0"/>
    <w:rsid w:val="69362E46"/>
    <w:rsid w:val="69B32931"/>
    <w:rsid w:val="6AE368FC"/>
    <w:rsid w:val="6B632832"/>
    <w:rsid w:val="70473489"/>
    <w:rsid w:val="70DF2E13"/>
    <w:rsid w:val="729608F1"/>
    <w:rsid w:val="736B7A45"/>
    <w:rsid w:val="78494149"/>
    <w:rsid w:val="789855E7"/>
    <w:rsid w:val="7A4822D7"/>
    <w:rsid w:val="7AD45E5F"/>
    <w:rsid w:val="7B65146E"/>
    <w:rsid w:val="7BB87930"/>
    <w:rsid w:val="7D823A75"/>
    <w:rsid w:val="7E337601"/>
    <w:rsid w:val="7FF44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3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8"/>
    <w:unhideWhenUsed/>
    <w:qFormat/>
    <w:uiPriority w:val="9"/>
    <w:pPr>
      <w:keepNext/>
      <w:keepLines/>
      <w:numPr>
        <w:ilvl w:val="1"/>
        <w:numId w:val="1"/>
      </w:numPr>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9"/>
    <w:semiHidden/>
    <w:unhideWhenUsed/>
    <w:qFormat/>
    <w:uiPriority w:val="9"/>
    <w:pPr>
      <w:keepNext/>
      <w:keepLines/>
      <w:numPr>
        <w:ilvl w:val="2"/>
        <w:numId w:val="2"/>
      </w:numPr>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0"/>
    <w:semiHidden/>
    <w:unhideWhenUsed/>
    <w:qFormat/>
    <w:uiPriority w:val="9"/>
    <w:pPr>
      <w:keepNext/>
      <w:keepLines/>
      <w:numPr>
        <w:ilvl w:val="3"/>
        <w:numId w:val="3"/>
      </w:numPr>
      <w:spacing w:before="80" w:after="40"/>
      <w:outlineLvl w:val="3"/>
    </w:pPr>
    <w:rPr>
      <w:rFonts w:cstheme="majorBidi"/>
      <w:color w:val="104862" w:themeColor="accent1" w:themeShade="BF"/>
      <w:sz w:val="28"/>
      <w:szCs w:val="28"/>
    </w:rPr>
  </w:style>
  <w:style w:type="paragraph" w:styleId="6">
    <w:name w:val="heading 5"/>
    <w:basedOn w:val="1"/>
    <w:next w:val="1"/>
    <w:link w:val="4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4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4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1260"/>
      <w:jc w:val="left"/>
    </w:pPr>
    <w:rPr>
      <w:rFonts w:eastAsiaTheme="minorHAnsi"/>
      <w:sz w:val="20"/>
      <w:szCs w:val="20"/>
    </w:r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toc 5"/>
    <w:basedOn w:val="1"/>
    <w:next w:val="1"/>
    <w:autoRedefine/>
    <w:unhideWhenUsed/>
    <w:qFormat/>
    <w:uiPriority w:val="39"/>
    <w:pPr>
      <w:ind w:left="840"/>
      <w:jc w:val="left"/>
    </w:pPr>
    <w:rPr>
      <w:rFonts w:eastAsiaTheme="minorHAnsi"/>
      <w:sz w:val="20"/>
      <w:szCs w:val="20"/>
    </w:rPr>
  </w:style>
  <w:style w:type="paragraph" w:styleId="14">
    <w:name w:val="toc 3"/>
    <w:basedOn w:val="1"/>
    <w:next w:val="1"/>
    <w:autoRedefine/>
    <w:unhideWhenUsed/>
    <w:qFormat/>
    <w:uiPriority w:val="39"/>
    <w:pPr>
      <w:ind w:left="420"/>
      <w:jc w:val="left"/>
    </w:pPr>
    <w:rPr>
      <w:rFonts w:eastAsiaTheme="minorHAnsi"/>
      <w:sz w:val="20"/>
      <w:szCs w:val="20"/>
    </w:rPr>
  </w:style>
  <w:style w:type="paragraph" w:styleId="15">
    <w:name w:val="toc 8"/>
    <w:basedOn w:val="1"/>
    <w:next w:val="1"/>
    <w:autoRedefine/>
    <w:unhideWhenUsed/>
    <w:qFormat/>
    <w:uiPriority w:val="39"/>
    <w:pPr>
      <w:ind w:left="1470"/>
      <w:jc w:val="left"/>
    </w:pPr>
    <w:rPr>
      <w:rFonts w:eastAsiaTheme="minorHAnsi"/>
      <w:sz w:val="20"/>
      <w:szCs w:val="20"/>
    </w:rPr>
  </w:style>
  <w:style w:type="paragraph" w:styleId="16">
    <w:name w:val="Date"/>
    <w:basedOn w:val="1"/>
    <w:next w:val="1"/>
    <w:link w:val="82"/>
    <w:semiHidden/>
    <w:unhideWhenUsed/>
    <w:qFormat/>
    <w:uiPriority w:val="99"/>
    <w:pPr>
      <w:ind w:left="100" w:leftChars="2500"/>
    </w:pPr>
  </w:style>
  <w:style w:type="paragraph" w:styleId="17">
    <w:name w:val="footer"/>
    <w:basedOn w:val="1"/>
    <w:link w:val="75"/>
    <w:unhideWhenUsed/>
    <w:qFormat/>
    <w:uiPriority w:val="99"/>
    <w:pPr>
      <w:tabs>
        <w:tab w:val="center" w:pos="4153"/>
        <w:tab w:val="right" w:pos="8306"/>
      </w:tabs>
      <w:snapToGrid w:val="0"/>
      <w:jc w:val="left"/>
    </w:pPr>
    <w:rPr>
      <w:sz w:val="18"/>
      <w:szCs w:val="18"/>
    </w:rPr>
  </w:style>
  <w:style w:type="paragraph" w:styleId="18">
    <w:name w:val="header"/>
    <w:basedOn w:val="1"/>
    <w:link w:val="76"/>
    <w:unhideWhenUsed/>
    <w:qFormat/>
    <w:uiPriority w:val="99"/>
    <w:pPr>
      <w:tabs>
        <w:tab w:val="center" w:pos="4153"/>
        <w:tab w:val="right" w:pos="8306"/>
      </w:tabs>
      <w:snapToGrid w:val="0"/>
      <w:jc w:val="center"/>
    </w:pPr>
    <w:rPr>
      <w:sz w:val="18"/>
      <w:szCs w:val="18"/>
    </w:rPr>
  </w:style>
  <w:style w:type="paragraph" w:styleId="19">
    <w:name w:val="toc 1"/>
    <w:basedOn w:val="1"/>
    <w:next w:val="1"/>
    <w:autoRedefine/>
    <w:unhideWhenUsed/>
    <w:qFormat/>
    <w:uiPriority w:val="39"/>
    <w:pPr>
      <w:spacing w:before="120"/>
      <w:jc w:val="left"/>
    </w:pPr>
    <w:rPr>
      <w:rFonts w:eastAsiaTheme="minorHAnsi"/>
      <w:b/>
      <w:bCs/>
      <w:i/>
      <w:iCs/>
      <w:sz w:val="24"/>
    </w:rPr>
  </w:style>
  <w:style w:type="paragraph" w:styleId="20">
    <w:name w:val="toc 4"/>
    <w:basedOn w:val="1"/>
    <w:next w:val="1"/>
    <w:autoRedefine/>
    <w:unhideWhenUsed/>
    <w:qFormat/>
    <w:uiPriority w:val="39"/>
    <w:pPr>
      <w:ind w:left="630"/>
      <w:jc w:val="left"/>
    </w:pPr>
    <w:rPr>
      <w:rFonts w:eastAsiaTheme="minorHAnsi"/>
      <w:sz w:val="20"/>
      <w:szCs w:val="20"/>
    </w:rPr>
  </w:style>
  <w:style w:type="paragraph" w:styleId="21">
    <w:name w:val="Subtitle"/>
    <w:basedOn w:val="1"/>
    <w:next w:val="1"/>
    <w:link w:val="4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footnote text"/>
    <w:basedOn w:val="1"/>
    <w:link w:val="80"/>
    <w:semiHidden/>
    <w:unhideWhenUsed/>
    <w:qFormat/>
    <w:uiPriority w:val="99"/>
    <w:pPr>
      <w:widowControl/>
      <w:snapToGrid w:val="0"/>
      <w:jc w:val="left"/>
    </w:pPr>
    <w:rPr>
      <w:rFonts w:ascii="宋体" w:hAnsi="宋体" w:eastAsia="宋体" w:cs="宋体"/>
      <w:kern w:val="0"/>
      <w:sz w:val="18"/>
      <w:szCs w:val="18"/>
      <w14:ligatures w14:val="none"/>
    </w:rPr>
  </w:style>
  <w:style w:type="paragraph" w:styleId="23">
    <w:name w:val="toc 6"/>
    <w:basedOn w:val="1"/>
    <w:next w:val="1"/>
    <w:autoRedefine/>
    <w:unhideWhenUsed/>
    <w:qFormat/>
    <w:uiPriority w:val="39"/>
    <w:pPr>
      <w:ind w:left="1050"/>
      <w:jc w:val="left"/>
    </w:pPr>
    <w:rPr>
      <w:rFonts w:eastAsiaTheme="minorHAnsi"/>
      <w:sz w:val="20"/>
      <w:szCs w:val="20"/>
    </w:rPr>
  </w:style>
  <w:style w:type="paragraph" w:styleId="24">
    <w:name w:val="table of figures"/>
    <w:basedOn w:val="1"/>
    <w:next w:val="1"/>
    <w:autoRedefine/>
    <w:unhideWhenUsed/>
    <w:qFormat/>
    <w:uiPriority w:val="99"/>
    <w:pPr>
      <w:tabs>
        <w:tab w:val="left" w:pos="1760"/>
        <w:tab w:val="right" w:leader="dot" w:pos="7926"/>
      </w:tabs>
      <w:spacing w:before="156" w:beforeLines="50" w:after="156" w:afterLines="50" w:line="280" w:lineRule="exact"/>
      <w:ind w:left="1440" w:hanging="1440" w:hangingChars="600"/>
    </w:pPr>
    <w:rPr>
      <w:rFonts w:ascii="Times" w:hAnsi="Times" w:eastAsia="Times New Roman" w:cs="Times New Roman (正文 CS 字体)"/>
      <w:sz w:val="24"/>
    </w:rPr>
  </w:style>
  <w:style w:type="paragraph" w:styleId="25">
    <w:name w:val="toc 2"/>
    <w:basedOn w:val="1"/>
    <w:next w:val="1"/>
    <w:autoRedefine/>
    <w:unhideWhenUsed/>
    <w:qFormat/>
    <w:uiPriority w:val="39"/>
    <w:pPr>
      <w:spacing w:before="120"/>
      <w:ind w:left="210"/>
      <w:jc w:val="left"/>
    </w:pPr>
    <w:rPr>
      <w:rFonts w:eastAsiaTheme="minorHAnsi"/>
      <w:b/>
      <w:bCs/>
      <w:sz w:val="22"/>
      <w:szCs w:val="22"/>
    </w:rPr>
  </w:style>
  <w:style w:type="paragraph" w:styleId="26">
    <w:name w:val="toc 9"/>
    <w:basedOn w:val="1"/>
    <w:next w:val="1"/>
    <w:autoRedefine/>
    <w:unhideWhenUsed/>
    <w:qFormat/>
    <w:uiPriority w:val="39"/>
    <w:pPr>
      <w:ind w:left="1680"/>
      <w:jc w:val="left"/>
    </w:pPr>
    <w:rPr>
      <w:rFonts w:eastAsiaTheme="minorHAnsi"/>
      <w:sz w:val="20"/>
      <w:szCs w:val="20"/>
    </w:rPr>
  </w:style>
  <w:style w:type="paragraph" w:styleId="27">
    <w:name w:val="HTML Preformatted"/>
    <w:basedOn w:val="1"/>
    <w:link w:val="87"/>
    <w:semiHidden/>
    <w:unhideWhenUsed/>
    <w:qFormat/>
    <w:uiPriority w:val="99"/>
    <w:pPr>
      <w:widowControl/>
      <w:jc w:val="left"/>
    </w:pPr>
    <w:rPr>
      <w:rFonts w:ascii="Courier New" w:hAnsi="Courier New" w:eastAsia="宋体" w:cs="Courier New"/>
      <w:kern w:val="0"/>
      <w:sz w:val="20"/>
      <w:szCs w:val="20"/>
      <w14:ligatures w14:val="none"/>
    </w:rPr>
  </w:style>
  <w:style w:type="paragraph" w:styleId="28">
    <w:name w:val="Normal (Web)"/>
    <w:basedOn w:val="1"/>
    <w:semiHidden/>
    <w:unhideWhenUsed/>
    <w:qFormat/>
    <w:uiPriority w:val="99"/>
    <w:rPr>
      <w:rFonts w:ascii="Times New Roman" w:hAnsi="Times New Roman" w:cs="Times New Roman"/>
      <w:sz w:val="24"/>
    </w:rPr>
  </w:style>
  <w:style w:type="paragraph" w:styleId="29">
    <w:name w:val="Title"/>
    <w:basedOn w:val="1"/>
    <w:next w:val="1"/>
    <w:link w:val="46"/>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semiHidden/>
    <w:unhideWhenUsed/>
    <w:qFormat/>
    <w:uiPriority w:val="99"/>
  </w:style>
  <w:style w:type="character" w:styleId="34">
    <w:name w:val="FollowedHyperlink"/>
    <w:basedOn w:val="32"/>
    <w:semiHidden/>
    <w:unhideWhenUsed/>
    <w:qFormat/>
    <w:uiPriority w:val="99"/>
    <w:rPr>
      <w:color w:val="96607D" w:themeColor="followedHyperlink"/>
      <w:u w:val="single"/>
      <w14:textFill>
        <w14:solidFill>
          <w14:schemeClr w14:val="folHlink"/>
        </w14:solidFill>
      </w14:textFill>
    </w:rPr>
  </w:style>
  <w:style w:type="character" w:styleId="35">
    <w:name w:val="Hyperlink"/>
    <w:basedOn w:val="32"/>
    <w:unhideWhenUsed/>
    <w:qFormat/>
    <w:uiPriority w:val="99"/>
    <w:rPr>
      <w:rFonts w:ascii="Times New Roman" w:hAnsi="Times New Roman" w:eastAsia="Times New Roman"/>
      <w:color w:val="000000" w:themeColor="text1"/>
      <w:sz w:val="24"/>
      <w:u w:val="single"/>
      <w14:textFill>
        <w14:solidFill>
          <w14:schemeClr w14:val="tx1"/>
        </w14:solidFill>
      </w14:textFill>
    </w:rPr>
  </w:style>
  <w:style w:type="character" w:styleId="36">
    <w:name w:val="footnote reference"/>
    <w:basedOn w:val="32"/>
    <w:semiHidden/>
    <w:unhideWhenUsed/>
    <w:qFormat/>
    <w:uiPriority w:val="99"/>
    <w:rPr>
      <w:vertAlign w:val="superscript"/>
    </w:rPr>
  </w:style>
  <w:style w:type="character" w:customStyle="1" w:styleId="37">
    <w:name w:val="标题 1 字符"/>
    <w:basedOn w:val="32"/>
    <w:link w:val="2"/>
    <w:qFormat/>
    <w:uiPriority w:val="9"/>
    <w:rPr>
      <w:rFonts w:asciiTheme="majorHAnsi" w:hAnsiTheme="majorHAnsi" w:eastAsiaTheme="majorEastAsia" w:cstheme="majorBidi"/>
      <w:color w:val="104862" w:themeColor="accent1" w:themeShade="BF"/>
      <w:sz w:val="48"/>
      <w:szCs w:val="48"/>
    </w:rPr>
  </w:style>
  <w:style w:type="character" w:customStyle="1" w:styleId="38">
    <w:name w:val="标题 2 字符"/>
    <w:basedOn w:val="32"/>
    <w:link w:val="3"/>
    <w:qFormat/>
    <w:uiPriority w:val="9"/>
    <w:rPr>
      <w:rFonts w:asciiTheme="majorHAnsi" w:hAnsiTheme="majorHAnsi" w:eastAsiaTheme="majorEastAsia" w:cstheme="majorBidi"/>
      <w:color w:val="104862" w:themeColor="accent1" w:themeShade="BF"/>
      <w:sz w:val="40"/>
      <w:szCs w:val="40"/>
    </w:rPr>
  </w:style>
  <w:style w:type="character" w:customStyle="1" w:styleId="39">
    <w:name w:val="标题 3 字符"/>
    <w:basedOn w:val="3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40">
    <w:name w:val="标题 4 字符"/>
    <w:basedOn w:val="32"/>
    <w:link w:val="5"/>
    <w:semiHidden/>
    <w:qFormat/>
    <w:uiPriority w:val="9"/>
    <w:rPr>
      <w:rFonts w:cstheme="majorBidi"/>
      <w:color w:val="104862" w:themeColor="accent1" w:themeShade="BF"/>
      <w:sz w:val="28"/>
      <w:szCs w:val="28"/>
    </w:rPr>
  </w:style>
  <w:style w:type="character" w:customStyle="1" w:styleId="41">
    <w:name w:val="标题 5 字符"/>
    <w:basedOn w:val="32"/>
    <w:link w:val="6"/>
    <w:semiHidden/>
    <w:qFormat/>
    <w:uiPriority w:val="9"/>
    <w:rPr>
      <w:rFonts w:cstheme="majorBidi"/>
      <w:color w:val="104862" w:themeColor="accent1" w:themeShade="BF"/>
      <w:sz w:val="24"/>
    </w:rPr>
  </w:style>
  <w:style w:type="character" w:customStyle="1" w:styleId="42">
    <w:name w:val="标题 6 字符"/>
    <w:basedOn w:val="32"/>
    <w:link w:val="7"/>
    <w:semiHidden/>
    <w:qFormat/>
    <w:uiPriority w:val="9"/>
    <w:rPr>
      <w:rFonts w:cstheme="majorBidi"/>
      <w:b/>
      <w:bCs/>
      <w:color w:val="104862" w:themeColor="accent1" w:themeShade="BF"/>
    </w:rPr>
  </w:style>
  <w:style w:type="character" w:customStyle="1" w:styleId="43">
    <w:name w:val="标题 7 字符"/>
    <w:basedOn w:val="3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4">
    <w:name w:val="标题 8 字符"/>
    <w:basedOn w:val="3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5">
    <w:name w:val="标题 9 字符"/>
    <w:basedOn w:val="3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标题 字符"/>
    <w:basedOn w:val="32"/>
    <w:link w:val="29"/>
    <w:qFormat/>
    <w:uiPriority w:val="10"/>
    <w:rPr>
      <w:rFonts w:asciiTheme="majorHAnsi" w:hAnsiTheme="majorHAnsi" w:eastAsiaTheme="majorEastAsia" w:cstheme="majorBidi"/>
      <w:spacing w:val="-10"/>
      <w:kern w:val="28"/>
      <w:sz w:val="56"/>
      <w:szCs w:val="56"/>
    </w:rPr>
  </w:style>
  <w:style w:type="character" w:customStyle="1" w:styleId="47">
    <w:name w:val="副标题 字符"/>
    <w:basedOn w:val="32"/>
    <w:link w:val="2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8">
    <w:name w:val="Quote"/>
    <w:basedOn w:val="1"/>
    <w:next w:val="1"/>
    <w:link w:val="4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9">
    <w:name w:val="引用 字符"/>
    <w:basedOn w:val="32"/>
    <w:link w:val="48"/>
    <w:qFormat/>
    <w:uiPriority w:val="29"/>
    <w:rPr>
      <w:i/>
      <w:iCs/>
      <w:color w:val="404040" w:themeColor="text1" w:themeTint="BF"/>
      <w14:textFill>
        <w14:solidFill>
          <w14:schemeClr w14:val="tx1">
            <w14:lumMod w14:val="75000"/>
            <w14:lumOff w14:val="25000"/>
          </w14:schemeClr>
        </w14:solidFill>
      </w14:textFill>
    </w:rPr>
  </w:style>
  <w:style w:type="paragraph" w:styleId="50">
    <w:name w:val="List Paragraph"/>
    <w:basedOn w:val="1"/>
    <w:link w:val="79"/>
    <w:qFormat/>
    <w:uiPriority w:val="34"/>
    <w:pPr>
      <w:ind w:left="720"/>
      <w:contextualSpacing/>
    </w:pPr>
  </w:style>
  <w:style w:type="character" w:customStyle="1" w:styleId="51">
    <w:name w:val="Intense Emphasis"/>
    <w:basedOn w:val="32"/>
    <w:qFormat/>
    <w:uiPriority w:val="21"/>
    <w:rPr>
      <w:i/>
      <w:iCs/>
      <w:color w:val="104862" w:themeColor="accent1" w:themeShade="BF"/>
    </w:rPr>
  </w:style>
  <w:style w:type="paragraph" w:styleId="52">
    <w:name w:val="Intense Quote"/>
    <w:basedOn w:val="1"/>
    <w:next w:val="1"/>
    <w:link w:val="5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3">
    <w:name w:val="明显引用 字符"/>
    <w:basedOn w:val="32"/>
    <w:link w:val="52"/>
    <w:qFormat/>
    <w:uiPriority w:val="30"/>
    <w:rPr>
      <w:i/>
      <w:iCs/>
      <w:color w:val="104862" w:themeColor="accent1" w:themeShade="BF"/>
    </w:rPr>
  </w:style>
  <w:style w:type="character" w:customStyle="1" w:styleId="54">
    <w:name w:val="Intense Reference"/>
    <w:basedOn w:val="32"/>
    <w:qFormat/>
    <w:uiPriority w:val="32"/>
    <w:rPr>
      <w:b/>
      <w:bCs/>
      <w:smallCaps/>
      <w:color w:val="104862" w:themeColor="accent1" w:themeShade="BF"/>
      <w:spacing w:val="5"/>
    </w:rPr>
  </w:style>
  <w:style w:type="paragraph" w:customStyle="1" w:styleId="55">
    <w:name w:val="CHAPTER TITLE"/>
    <w:basedOn w:val="2"/>
    <w:next w:val="1"/>
    <w:autoRedefine/>
    <w:qFormat/>
    <w:uiPriority w:val="0"/>
    <w:pPr>
      <w:widowControl/>
      <w:numPr>
        <w:ilvl w:val="0"/>
        <w:numId w:val="4"/>
      </w:numPr>
      <w:spacing w:before="1600" w:after="800" w:line="480" w:lineRule="auto"/>
      <w:jc w:val="right"/>
    </w:pPr>
    <w:rPr>
      <w:rFonts w:ascii="Times New Roman" w:hAnsi="Times New Roman" w:eastAsia="Times New Roman" w:cs="Times New Roman (标题 CS)"/>
      <w:b/>
      <w:smallCaps/>
      <w:color w:val="000000" w:themeColor="text1"/>
      <w:spacing w:val="-10"/>
      <w:kern w:val="28"/>
      <w:sz w:val="60"/>
      <w:szCs w:val="56"/>
      <w:u w:val="single"/>
      <w14:textFill>
        <w14:solidFill>
          <w14:schemeClr w14:val="tx1"/>
        </w14:solidFill>
      </w14:textFill>
      <w14:ligatures w14:val="none"/>
    </w:rPr>
  </w:style>
  <w:style w:type="paragraph" w:customStyle="1" w:styleId="56">
    <w:name w:val="HEADING - L1"/>
    <w:basedOn w:val="3"/>
    <w:next w:val="1"/>
    <w:qFormat/>
    <w:uiPriority w:val="0"/>
    <w:pPr>
      <w:widowControl/>
      <w:numPr>
        <w:numId w:val="4"/>
      </w:numPr>
      <w:spacing w:before="600" w:after="200"/>
      <w:jc w:val="left"/>
    </w:pPr>
    <w:rPr>
      <w:rFonts w:ascii="Times New Roman" w:hAnsi="Times New Roman" w:eastAsia="Times New Roman" w:cs="Times New Roman"/>
      <w:b/>
      <w:color w:val="000000" w:themeColor="text1"/>
      <w:kern w:val="0"/>
      <w:sz w:val="32"/>
      <w:szCs w:val="32"/>
      <w14:textFill>
        <w14:solidFill>
          <w14:schemeClr w14:val="tx1"/>
        </w14:solidFill>
      </w14:textFill>
      <w14:ligatures w14:val="none"/>
    </w:rPr>
  </w:style>
  <w:style w:type="paragraph" w:customStyle="1" w:styleId="57">
    <w:name w:val="Heading - L2"/>
    <w:basedOn w:val="4"/>
    <w:next w:val="1"/>
    <w:qFormat/>
    <w:uiPriority w:val="0"/>
    <w:pPr>
      <w:widowControl/>
      <w:numPr>
        <w:numId w:val="4"/>
      </w:numPr>
      <w:spacing w:before="400" w:after="100"/>
      <w:ind w:right="100" w:rightChars="100"/>
      <w:jc w:val="left"/>
    </w:pPr>
    <w:rPr>
      <w:rFonts w:ascii="Times New Roman" w:hAnsi="Times New Roman" w:eastAsia="Times New Roman"/>
      <w:b/>
      <w:color w:val="000000" w:themeColor="text1"/>
      <w:kern w:val="0"/>
      <w:sz w:val="28"/>
      <w14:textFill>
        <w14:solidFill>
          <w14:schemeClr w14:val="tx1"/>
        </w14:solidFill>
      </w14:textFill>
      <w14:ligatures w14:val="none"/>
    </w:rPr>
  </w:style>
  <w:style w:type="paragraph" w:customStyle="1" w:styleId="58">
    <w:name w:val="Heading - L3"/>
    <w:basedOn w:val="5"/>
    <w:next w:val="1"/>
    <w:qFormat/>
    <w:uiPriority w:val="0"/>
    <w:pPr>
      <w:widowControl/>
      <w:numPr>
        <w:numId w:val="4"/>
      </w:numPr>
      <w:jc w:val="left"/>
    </w:pPr>
    <w:rPr>
      <w:rFonts w:ascii="Times New Roman" w:hAnsi="Times New Roman" w:eastAsia="Times New Roman" w:cs="Times New Roman (标题 CS)"/>
      <w:b/>
      <w:color w:val="000000" w:themeColor="text1"/>
      <w:kern w:val="0"/>
      <w14:textFill>
        <w14:solidFill>
          <w14:schemeClr w14:val="tx1"/>
        </w14:solidFill>
      </w14:textFill>
      <w14:ligatures w14:val="none"/>
    </w:rPr>
  </w:style>
  <w:style w:type="paragraph" w:customStyle="1" w:styleId="59">
    <w:name w:val="Heading - L4"/>
    <w:basedOn w:val="6"/>
    <w:next w:val="1"/>
    <w:qFormat/>
    <w:uiPriority w:val="0"/>
    <w:pPr>
      <w:widowControl/>
      <w:numPr>
        <w:ilvl w:val="4"/>
        <w:numId w:val="4"/>
      </w:numPr>
      <w:jc w:val="left"/>
    </w:pPr>
    <w:rPr>
      <w:rFonts w:ascii="Times New Roman" w:hAnsi="Times New Roman" w:eastAsia="Times New Roman" w:cs="Times New Roman (标题 CS)"/>
      <w:i/>
      <w:color w:val="000000" w:themeColor="text1"/>
      <w:kern w:val="0"/>
      <w:sz w:val="26"/>
      <w14:textFill>
        <w14:solidFill>
          <w14:schemeClr w14:val="tx1"/>
        </w14:solidFill>
      </w14:textFill>
      <w14:ligatures w14:val="none"/>
    </w:rPr>
  </w:style>
  <w:style w:type="paragraph" w:customStyle="1" w:styleId="60">
    <w:name w:val="正文文本1"/>
    <w:basedOn w:val="1"/>
    <w:qFormat/>
    <w:uiPriority w:val="0"/>
    <w:pPr>
      <w:ind w:left="100" w:leftChars="100" w:right="100" w:rightChars="100"/>
    </w:pPr>
    <w:rPr>
      <w:rFonts w:ascii="Times New Roman" w:hAnsi="Times New Roman" w:eastAsia="Times New Roman"/>
      <w:color w:val="000000" w:themeColor="text1"/>
      <w:sz w:val="20"/>
      <w14:textFill>
        <w14:solidFill>
          <w14:schemeClr w14:val="tx1"/>
        </w14:solidFill>
      </w14:textFill>
    </w:rPr>
  </w:style>
  <w:style w:type="paragraph" w:customStyle="1" w:styleId="61">
    <w:name w:val="BodyText"/>
    <w:basedOn w:val="1"/>
    <w:link w:val="69"/>
    <w:qFormat/>
    <w:uiPriority w:val="0"/>
    <w:pPr>
      <w:widowControl/>
      <w:snapToGrid w:val="0"/>
      <w:spacing w:before="100" w:beforeLines="100" w:after="100" w:afterLines="100"/>
      <w:ind w:firstLine="200" w:firstLineChars="200"/>
      <w:textAlignment w:val="center"/>
    </w:pPr>
    <w:rPr>
      <w:rFonts w:ascii="Times New Roman" w:hAnsi="Times New Roman" w:eastAsia="Times New Roman" w:cs="Times New Roman (正文 CS 字体)"/>
      <w:kern w:val="0"/>
      <w:sz w:val="24"/>
      <w14:ligatures w14:val="none"/>
    </w:rPr>
  </w:style>
  <w:style w:type="paragraph" w:customStyle="1" w:styleId="62">
    <w:name w:val="Figures"/>
    <w:basedOn w:val="1"/>
    <w:next w:val="61"/>
    <w:link w:val="70"/>
    <w:qFormat/>
    <w:uiPriority w:val="0"/>
    <w:pPr>
      <w:widowControl/>
      <w:numPr>
        <w:ilvl w:val="5"/>
        <w:numId w:val="4"/>
      </w:numPr>
      <w:spacing w:before="100" w:beforeLines="100" w:after="200" w:afterLines="200" w:line="264" w:lineRule="auto"/>
    </w:pPr>
    <w:rPr>
      <w:rFonts w:ascii="Times New Roman" w:hAnsi="Times New Roman" w:eastAsia="Times New Roman" w:cs="Times New Roman (正文 CS 字体)"/>
      <w:b/>
      <w:kern w:val="0"/>
      <w:sz w:val="24"/>
      <w:lang w:val="en-GB"/>
      <w14:ligatures w14:val="none"/>
    </w:rPr>
  </w:style>
  <w:style w:type="paragraph" w:customStyle="1" w:styleId="63">
    <w:name w:val="Tables"/>
    <w:basedOn w:val="1"/>
    <w:next w:val="64"/>
    <w:autoRedefine/>
    <w:qFormat/>
    <w:uiPriority w:val="0"/>
    <w:pPr>
      <w:keepNext/>
      <w:widowControl/>
      <w:numPr>
        <w:ilvl w:val="6"/>
        <w:numId w:val="4"/>
      </w:numPr>
      <w:spacing w:before="200" w:beforeLines="200" w:after="100" w:afterLines="100" w:line="264" w:lineRule="auto"/>
    </w:pPr>
    <w:rPr>
      <w:rFonts w:ascii="Times New Roman" w:hAnsi="Times New Roman" w:eastAsia="Times New Roman" w:cs="Times New Roman (正文 CS 字体)"/>
      <w:b/>
      <w:kern w:val="0"/>
      <w:sz w:val="24"/>
      <w:lang w:val="en-GB"/>
      <w14:ligatures w14:val="none"/>
    </w:rPr>
  </w:style>
  <w:style w:type="paragraph" w:customStyle="1" w:styleId="64">
    <w:name w:val="Middle"/>
    <w:basedOn w:val="61"/>
    <w:link w:val="85"/>
    <w:qFormat/>
    <w:uiPriority w:val="0"/>
    <w:pPr>
      <w:keepNext/>
      <w:spacing w:line="264" w:lineRule="auto"/>
      <w:ind w:firstLine="0" w:firstLineChars="0"/>
      <w:jc w:val="center"/>
    </w:pPr>
  </w:style>
  <w:style w:type="character" w:styleId="65">
    <w:name w:val="Placeholder Text"/>
    <w:basedOn w:val="32"/>
    <w:semiHidden/>
    <w:qFormat/>
    <w:uiPriority w:val="99"/>
    <w:rPr>
      <w:color w:val="666666"/>
    </w:rPr>
  </w:style>
  <w:style w:type="paragraph" w:customStyle="1" w:styleId="66">
    <w:name w:val="Equation"/>
    <w:basedOn w:val="61"/>
    <w:autoRedefine/>
    <w:qFormat/>
    <w:uiPriority w:val="0"/>
    <w:pPr>
      <w:numPr>
        <w:ilvl w:val="7"/>
        <w:numId w:val="4"/>
      </w:numPr>
      <w:wordWrap w:val="0"/>
      <w:spacing w:before="312" w:after="312" w:line="264" w:lineRule="auto"/>
      <w:ind w:right="120" w:firstLineChars="0"/>
      <w:jc w:val="right"/>
    </w:pPr>
    <w:rPr>
      <w:szCs w:val="20"/>
      <w:lang w:val="en-GB"/>
    </w:rPr>
  </w:style>
  <w:style w:type="character" w:customStyle="1" w:styleId="67">
    <w:name w:val="Unresolved Mention"/>
    <w:basedOn w:val="32"/>
    <w:semiHidden/>
    <w:unhideWhenUsed/>
    <w:qFormat/>
    <w:uiPriority w:val="99"/>
    <w:rPr>
      <w:color w:val="605E5C"/>
      <w:shd w:val="clear" w:color="auto" w:fill="E1DFDD"/>
    </w:rPr>
  </w:style>
  <w:style w:type="paragraph" w:customStyle="1" w:styleId="68">
    <w:name w:val="EndNote Bibliography Title"/>
    <w:basedOn w:val="1"/>
    <w:link w:val="71"/>
    <w:qFormat/>
    <w:uiPriority w:val="0"/>
    <w:pPr>
      <w:widowControl/>
      <w:jc w:val="center"/>
    </w:pPr>
    <w:rPr>
      <w:rFonts w:ascii="Times New Roman" w:hAnsi="Times New Roman" w:eastAsia="等线" w:cs="Times New Roman"/>
      <w:kern w:val="0"/>
      <w:sz w:val="24"/>
      <w14:ligatures w14:val="none"/>
    </w:rPr>
  </w:style>
  <w:style w:type="character" w:customStyle="1" w:styleId="69">
    <w:name w:val="BodyText 字符"/>
    <w:basedOn w:val="32"/>
    <w:link w:val="61"/>
    <w:qFormat/>
    <w:uiPriority w:val="0"/>
    <w:rPr>
      <w:rFonts w:ascii="Times New Roman" w:hAnsi="Times New Roman" w:eastAsia="Times New Roman" w:cs="Times New Roman (正文 CS 字体)"/>
      <w:kern w:val="0"/>
      <w:sz w:val="24"/>
      <w14:ligatures w14:val="none"/>
    </w:rPr>
  </w:style>
  <w:style w:type="character" w:customStyle="1" w:styleId="70">
    <w:name w:val="Figures 字符"/>
    <w:basedOn w:val="69"/>
    <w:link w:val="62"/>
    <w:qFormat/>
    <w:uiPriority w:val="0"/>
    <w:rPr>
      <w:rFonts w:ascii="Times New Roman" w:hAnsi="Times New Roman" w:eastAsia="Times New Roman" w:cs="Times New Roman (正文 CS 字体)"/>
      <w:b/>
      <w:kern w:val="0"/>
      <w:sz w:val="24"/>
      <w:lang w:val="en-GB"/>
      <w14:ligatures w14:val="none"/>
    </w:rPr>
  </w:style>
  <w:style w:type="character" w:customStyle="1" w:styleId="71">
    <w:name w:val="EndNote Bibliography Title 字符"/>
    <w:basedOn w:val="32"/>
    <w:link w:val="68"/>
    <w:qFormat/>
    <w:uiPriority w:val="0"/>
    <w:rPr>
      <w:rFonts w:ascii="Times New Roman" w:hAnsi="Times New Roman" w:eastAsia="等线" w:cs="Times New Roman"/>
      <w:kern w:val="0"/>
      <w:sz w:val="24"/>
      <w14:ligatures w14:val="none"/>
    </w:rPr>
  </w:style>
  <w:style w:type="paragraph" w:customStyle="1" w:styleId="72">
    <w:name w:val="EndNote Bibliography"/>
    <w:basedOn w:val="1"/>
    <w:link w:val="73"/>
    <w:autoRedefine/>
    <w:qFormat/>
    <w:uiPriority w:val="0"/>
    <w:pPr>
      <w:spacing w:before="312" w:beforeLines="100" w:after="312" w:afterLines="100" w:line="240" w:lineRule="exact"/>
      <w:ind w:left="851" w:hanging="851"/>
    </w:pPr>
    <w:rPr>
      <w:rFonts w:ascii="Times New Roman" w:hAnsi="Times New Roman" w:eastAsia="等线" w:cs="Times New Roman"/>
      <w:kern w:val="0"/>
      <w:sz w:val="24"/>
      <w:lang w:val="en-GB"/>
      <w14:ligatures w14:val="none"/>
    </w:rPr>
  </w:style>
  <w:style w:type="character" w:customStyle="1" w:styleId="73">
    <w:name w:val="EndNote Bibliography 字符"/>
    <w:basedOn w:val="32"/>
    <w:link w:val="72"/>
    <w:qFormat/>
    <w:uiPriority w:val="0"/>
    <w:rPr>
      <w:rFonts w:ascii="Times New Roman" w:hAnsi="Times New Roman" w:eastAsia="等线" w:cs="Times New Roman"/>
      <w:kern w:val="0"/>
      <w:sz w:val="24"/>
      <w:lang w:val="en-GB"/>
      <w14:ligatures w14:val="none"/>
    </w:rPr>
  </w:style>
  <w:style w:type="paragraph" w:customStyle="1" w:styleId="74">
    <w:name w:val="Bib"/>
    <w:basedOn w:val="61"/>
    <w:qFormat/>
    <w:uiPriority w:val="0"/>
    <w:pPr>
      <w:spacing w:before="312" w:after="312"/>
      <w:ind w:firstLine="0" w:firstLineChars="0"/>
    </w:pPr>
    <w:rPr>
      <w:b/>
      <w:smallCaps/>
      <w:sz w:val="28"/>
    </w:rPr>
  </w:style>
  <w:style w:type="character" w:customStyle="1" w:styleId="75">
    <w:name w:val="页脚 字符"/>
    <w:basedOn w:val="32"/>
    <w:link w:val="17"/>
    <w:qFormat/>
    <w:uiPriority w:val="99"/>
    <w:rPr>
      <w:sz w:val="18"/>
      <w:szCs w:val="18"/>
    </w:rPr>
  </w:style>
  <w:style w:type="character" w:customStyle="1" w:styleId="76">
    <w:name w:val="页眉 字符"/>
    <w:basedOn w:val="32"/>
    <w:link w:val="18"/>
    <w:qFormat/>
    <w:uiPriority w:val="99"/>
    <w:rPr>
      <w:sz w:val="18"/>
      <w:szCs w:val="18"/>
    </w:rPr>
  </w:style>
  <w:style w:type="paragraph" w:customStyle="1" w:styleId="77">
    <w:name w:val="公式样式"/>
    <w:basedOn w:val="28"/>
    <w:link w:val="78"/>
    <w:qFormat/>
    <w:uiPriority w:val="0"/>
    <w:pPr>
      <w:widowControl/>
      <w:tabs>
        <w:tab w:val="center" w:pos="4410"/>
        <w:tab w:val="right" w:pos="8190"/>
      </w:tabs>
      <w:jc w:val="left"/>
      <w:textAlignment w:val="center"/>
    </w:pPr>
    <w:rPr>
      <w:rFonts w:eastAsia="Times New Roman"/>
      <w:kern w:val="0"/>
      <w:lang w:val="en-GB"/>
      <w14:ligatures w14:val="none"/>
    </w:rPr>
  </w:style>
  <w:style w:type="character" w:customStyle="1" w:styleId="78">
    <w:name w:val="公式样式 字符"/>
    <w:basedOn w:val="32"/>
    <w:link w:val="77"/>
    <w:qFormat/>
    <w:uiPriority w:val="0"/>
    <w:rPr>
      <w:rFonts w:ascii="Times New Roman" w:hAnsi="Times New Roman" w:eastAsia="Times New Roman" w:cs="Times New Roman"/>
      <w:kern w:val="0"/>
      <w:sz w:val="24"/>
      <w:lang w:val="en-GB"/>
      <w14:ligatures w14:val="none"/>
    </w:rPr>
  </w:style>
  <w:style w:type="character" w:customStyle="1" w:styleId="79">
    <w:name w:val="列表段落 字符"/>
    <w:basedOn w:val="32"/>
    <w:link w:val="50"/>
    <w:qFormat/>
    <w:uiPriority w:val="34"/>
  </w:style>
  <w:style w:type="character" w:customStyle="1" w:styleId="80">
    <w:name w:val="脚注文本 字符"/>
    <w:basedOn w:val="32"/>
    <w:link w:val="22"/>
    <w:semiHidden/>
    <w:qFormat/>
    <w:uiPriority w:val="99"/>
    <w:rPr>
      <w:rFonts w:ascii="宋体" w:hAnsi="宋体" w:eastAsia="宋体" w:cs="宋体"/>
      <w:kern w:val="0"/>
      <w:sz w:val="18"/>
      <w:szCs w:val="18"/>
      <w14:ligatures w14:val="none"/>
    </w:rPr>
  </w:style>
  <w:style w:type="paragraph" w:customStyle="1" w:styleId="81">
    <w:name w:val="Prelist"/>
    <w:basedOn w:val="56"/>
    <w:qFormat/>
    <w:uiPriority w:val="0"/>
    <w:pPr>
      <w:numPr>
        <w:ilvl w:val="0"/>
        <w:numId w:val="5"/>
      </w:numPr>
    </w:pPr>
    <w:rPr>
      <w:smallCaps/>
      <w:sz w:val="48"/>
    </w:rPr>
  </w:style>
  <w:style w:type="character" w:customStyle="1" w:styleId="82">
    <w:name w:val="日期 字符"/>
    <w:basedOn w:val="32"/>
    <w:link w:val="16"/>
    <w:semiHidden/>
    <w:qFormat/>
    <w:uiPriority w:val="99"/>
  </w:style>
  <w:style w:type="paragraph" w:customStyle="1" w:styleId="83">
    <w:name w:val="TOC Heading"/>
    <w:basedOn w:val="2"/>
    <w:next w:val="1"/>
    <w:unhideWhenUsed/>
    <w:qFormat/>
    <w:uiPriority w:val="39"/>
    <w:pPr>
      <w:widowControl/>
      <w:spacing w:before="120" w:after="0"/>
      <w:jc w:val="left"/>
      <w:outlineLvl w:val="9"/>
    </w:pPr>
    <w:rPr>
      <w:b/>
      <w:bCs/>
      <w:color w:val="000000" w:themeColor="text1"/>
      <w:kern w:val="0"/>
      <w:sz w:val="28"/>
      <w:szCs w:val="28"/>
      <w14:textFill>
        <w14:solidFill>
          <w14:schemeClr w14:val="tx1"/>
        </w14:solidFill>
      </w14:textFill>
      <w14:ligatures w14:val="none"/>
    </w:rPr>
  </w:style>
  <w:style w:type="paragraph" w:customStyle="1" w:styleId="84">
    <w:name w:val="Abstract"/>
    <w:basedOn w:val="64"/>
    <w:link w:val="86"/>
    <w:qFormat/>
    <w:uiPriority w:val="0"/>
    <w:pPr>
      <w:numPr>
        <w:ilvl w:val="0"/>
        <w:numId w:val="6"/>
      </w:numPr>
    </w:pPr>
  </w:style>
  <w:style w:type="character" w:customStyle="1" w:styleId="85">
    <w:name w:val="Middle 字符"/>
    <w:basedOn w:val="69"/>
    <w:link w:val="64"/>
    <w:qFormat/>
    <w:uiPriority w:val="0"/>
    <w:rPr>
      <w:rFonts w:ascii="Times New Roman" w:hAnsi="Times New Roman" w:eastAsia="Times New Roman" w:cs="Times New Roman (正文 CS 字体)"/>
      <w:kern w:val="0"/>
      <w:sz w:val="24"/>
      <w14:ligatures w14:val="none"/>
    </w:rPr>
  </w:style>
  <w:style w:type="character" w:customStyle="1" w:styleId="86">
    <w:name w:val="Abstract 字符"/>
    <w:basedOn w:val="85"/>
    <w:link w:val="84"/>
    <w:qFormat/>
    <w:uiPriority w:val="0"/>
    <w:rPr>
      <w:rFonts w:ascii="Times New Roman" w:hAnsi="Times New Roman" w:eastAsia="Times New Roman" w:cs="Times New Roman (正文 CS 字体)"/>
      <w:kern w:val="0"/>
      <w:sz w:val="26"/>
      <w14:ligatures w14:val="none"/>
    </w:rPr>
  </w:style>
  <w:style w:type="character" w:customStyle="1" w:styleId="87">
    <w:name w:val="HTML 预设格式 字符"/>
    <w:basedOn w:val="32"/>
    <w:link w:val="27"/>
    <w:semiHidden/>
    <w:qFormat/>
    <w:uiPriority w:val="99"/>
    <w:rPr>
      <w:rFonts w:ascii="Courier New" w:hAnsi="Courier New" w:eastAsia="宋体" w:cs="Courier New"/>
      <w:kern w:val="0"/>
      <w:sz w:val="20"/>
      <w:szCs w:val="20"/>
      <w14:ligatures w14:val="none"/>
    </w:rPr>
  </w:style>
  <w:style w:type="paragraph" w:customStyle="1" w:styleId="88">
    <w:name w:val="Revision"/>
    <w:hidden/>
    <w:semiHidden/>
    <w:qFormat/>
    <w:uiPriority w:val="99"/>
    <w:rPr>
      <w:rFonts w:ascii="宋体" w:hAnsi="宋体" w:eastAsia="宋体" w:cs="宋体"/>
      <w:kern w:val="0"/>
      <w:sz w:val="24"/>
      <w:szCs w:val="24"/>
      <w:lang w:val="en-US" w:eastAsia="zh-CN"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er" Target="foot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sv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4.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838F2C-F86B-0947-BE61-B57800F34226}">
  <ds:schemaRefs/>
</ds:datastoreItem>
</file>

<file path=docProps/app.xml><?xml version="1.0" encoding="utf-8"?>
<Properties xmlns="http://schemas.openxmlformats.org/officeDocument/2006/extended-properties" xmlns:vt="http://schemas.openxmlformats.org/officeDocument/2006/docPropsVTypes">
  <Template>Normal.dotm</Template>
  <Pages>76</Pages>
  <Words>425</Words>
  <Characters>2065</Characters>
  <Lines>118</Lines>
  <Paragraphs>33</Paragraphs>
  <TotalTime>4</TotalTime>
  <ScaleCrop>false</ScaleCrop>
  <LinksUpToDate>false</LinksUpToDate>
  <CharactersWithSpaces>2391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2025-06-17T08:45:00Z</dcterms:created>
  <dc:creator>u3008371@connect.hku.hk</dc:creator>
  <cp:lastModifiedBy>Jungle</cp:lastModifiedBy>
  <cp:lastPrinted>2025-06-01T18:57:00Z</cp:lastPrinted>
  <dcterms:modified xsi:type="dcterms:W3CDTF">2026-03-02T05:07:37Z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0680F2B32EF04D29A5FD482EAFCDA662_13</vt:lpwstr>
  </property>
  <property fmtid="{D5CDD505-2E9C-101B-9397-08002B2CF9AE}" pid="4" name="KSOTemplateDocerSaveRecord">
    <vt:lpwstr>eyJoZGlkIjoiYzZkNzQ4ZWFiZmQ4NTRhOWRkZTk3YTMwMjlmMmZhYmUiLCJ1c2VySWQiOiIxMzM2OTM2NTI4In0=</vt:lpwstr>
  </property>
</Properties>
</file>