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>连续血糖监测预测模型学术汇报全流程指导与中英双语讲稿</w:t>
      </w:r>
    </w:p>
    <w:p w14:paraId="00000006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>PPT 制作全流程详尽指导</w:t>
      </w:r>
    </w:p>
    <w:p w14:paraId="000000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15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 xml:space="preserve">PPT的视觉逻辑必须严格遵循原论文的学术递进关系：研究背景、数据预处理、基线与深度学习模型构建、个性化迁移学习、小样本元学习，以及最终结论 </w:t>
      </w:r>
      <w:r>
        <w:rPr>
          <w:rFonts w:hint="eastAsia" w:ascii="微软雅黑" w:hAnsi="微软雅黑" w:eastAsia="微软雅黑" w:cs="微软雅黑"/>
          <w:color w:val="444746"/>
          <w:sz w:val="24"/>
          <w:szCs w:val="24"/>
          <w:vertAlign w:val="superscript"/>
          <w:rtl w:val="0"/>
        </w:rPr>
        <w:t>9</w:t>
      </w:r>
      <w:r>
        <w:rPr>
          <w:rFonts w:hint="eastAsia" w:ascii="微软雅黑" w:hAnsi="微软雅黑" w:eastAsia="微软雅黑" w:cs="微软雅黑"/>
          <w:color w:val="1F1F1F"/>
          <w:rtl w:val="0"/>
        </w:rPr>
        <w:t>。下表详细规定了每页PPT的核心主题、必须嵌入的论文素材及其视觉呈现方式。请务必确保不跳过任何逻辑节点。</w:t>
      </w:r>
    </w:p>
    <w:p w14:paraId="0000000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>第一部分：研究背景与文献综述 (Slides 1-6)</w:t>
      </w:r>
    </w:p>
    <w:p w14:paraId="000000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line="275" w:lineRule="auto"/>
        <w:rPr>
          <w:rFonts w:hint="eastAsia" w:ascii="微软雅黑" w:hAnsi="微软雅黑" w:eastAsia="微软雅黑" w:cs="微软雅黑"/>
          <w:color w:val="1F1F1F"/>
        </w:rPr>
      </w:pPr>
    </w:p>
    <w:tbl>
      <w:tblPr>
        <w:tblStyle w:val="13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51E4AB3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幻灯片编号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核心主题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必放内容与素材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视觉布局与呈现方式</w:t>
            </w:r>
          </w:p>
        </w:tc>
      </w:tr>
      <w:tr w14:paraId="321B24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首页与基本信息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论文中英文标题、汇报人姓名、导师姓名、日期及大学Logo。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居中排版。标题使用大字号加粗，确保视觉冲击力。底部放置校徽及机构信息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10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4CDF573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4342594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553620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引入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E0343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通过问题引入论文主题：假如CGM普遍应用，那么我们希望为CGM设备比如iwatch设计一个怎么样的预测系统？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33EA9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iwatch图片，和我的问题</w:t>
            </w:r>
          </w:p>
          <w:p w14:paraId="0DEF93B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下面罗列需要的功能</w:t>
            </w:r>
          </w:p>
        </w:tc>
      </w:tr>
      <w:tr w14:paraId="71BA05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BA457DC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汇报大纲 (Outline)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1. Background, 2. Data Processing, 3. General Models, 4. Transfer Learning, 5. Meta-Transfer Learning, 6. Conclusion。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文本列表，利用视觉引导线展示从数据到元学习的递进关系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12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2AC80E7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6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糖尿病背景与CGM技术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核心概念：糖尿病危害、HbA1c指标的局限性、连续血糖监测（CGM）的价值。插入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1.1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(CGM设备工作原理图)。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左右分栏布局。左侧提取3个关键词（如：High Temporal Resolution, Masked Fluctuations）；右侧居中放置Figure 1.1，说明其5分钟的高频采样特性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74D86ED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A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CGM数据面临的挑战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指出三大挑战：1. 生理延迟 (5-10 min)；2. 传感器噪声与漂移；3. 数据缺失。明确预测目标：提前30-60分钟预测。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三栏并排布局。使用三个不同的图标代表延迟、噪声和缺失。底部用醒目的颜色标注“From After-event to Pre-prediction”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5D9FE20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文献综述与演进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模型演进路线：Physiological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161290" cy="191770"/>
                  <wp:effectExtent l="0" t="0" r="0" b="0"/>
                  <wp:docPr id="11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.pn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30" cy="19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Statistical (ARIMA)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161290" cy="191770"/>
                  <wp:effectExtent l="0" t="0" r="0" b="0"/>
                  <wp:docPr id="13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1.pn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30" cy="19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Deep Learning (LSTM, Transformer)。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水平演进图（Timeline）。</w:t>
            </w:r>
          </w:p>
          <w:p w14:paraId="41458EA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辅以一些文献标题和年份</w:t>
            </w:r>
          </w:p>
        </w:tc>
      </w:tr>
      <w:tr w14:paraId="0E9E1B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2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研究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动机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与核心目标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现有的深度学习模型泛化能力不足，且在商业应用中难以获取多模态数据，亟需一种在有限数据下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原位数据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有效的预测手段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居中大字号引语框。提炼为一句话的Research Gap，并辅以靶心图标，强调本研究的核心价值在于“有限数据下的极致预测”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</w:tbl>
    <w:p w14:paraId="0000002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>第二部分：数据清洗、标准化与滤波处理 (Slides 7-11)</w:t>
      </w:r>
    </w:p>
    <w:p w14:paraId="000000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line="275" w:lineRule="auto"/>
        <w:rPr>
          <w:rFonts w:hint="eastAsia" w:ascii="微软雅黑" w:hAnsi="微软雅黑" w:eastAsia="微软雅黑" w:cs="微软雅黑"/>
          <w:color w:val="1F1F1F"/>
        </w:rPr>
      </w:pPr>
    </w:p>
    <w:tbl>
      <w:tblPr>
        <w:tblStyle w:val="14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51028A6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幻灯片编号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核心主题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必放内容与素材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视觉布局与呈现方式</w:t>
            </w:r>
          </w:p>
        </w:tc>
      </w:tr>
      <w:tr w14:paraId="608C90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C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异构数据集融合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介绍三个数据集：Colas (T2D), Hall, OhioT1DM (T1D)。</w:t>
            </w:r>
          </w:p>
          <w:p w14:paraId="441F65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放置三个数据集的图标（代表健康到T1D的全图谱）</w:t>
            </w:r>
          </w:p>
          <w:p w14:paraId="63769E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以及简单介绍三个数据集</w:t>
            </w:r>
          </w:p>
        </w:tc>
      </w:tr>
      <w:tr w14:paraId="74AF48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0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数据标准化与缺失值插补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43B115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数据标准化，和处理时间间隔</w:t>
            </w:r>
          </w:p>
          <w:p w14:paraId="0000003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解释15分钟的阈值设定。1.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331470" cy="192405"/>
                  <wp:effectExtent l="0" t="0" r="0" b="0"/>
                  <wp:docPr id="12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5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708" cy="192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min: 三次样条插值 (Cubic Spline)；2.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331470" cy="192405"/>
                  <wp:effectExtent l="0" t="0" r="0" b="0"/>
                  <wp:docPr id="15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2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708" cy="192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min: 序列分段 (丢弃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250825" cy="195580"/>
                  <wp:effectExtent l="0" t="0" r="0" b="0"/>
                  <wp:docPr id="14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03" cy="196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小时片段)。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B632EC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标准化后的数据格式</w:t>
            </w:r>
          </w:p>
          <w:p w14:paraId="000000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决策树/流程图布局。从“缺失数据”节点出发，分叉为两条路径。配以简单的曲线对比图说明三次样条插值如何保持一阶/二阶导数平滑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18183B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4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信号噪声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来源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噪声来源说明。电化学传感器固有噪声、生理延迟与动态误差、运动伪影（如PISA现象）以及电子系统热噪声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eastAsia="zh-CN"/>
              </w:rPr>
              <w:t>。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Table 3.1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（噪声评估阈值）与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3.1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（SNR、噪声水平分布四联图）。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6B7CB8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说明4种噪声来源</w:t>
            </w:r>
          </w:p>
          <w:p w14:paraId="000000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lang w:val="en-US" w:eastAsia="zh-CN"/>
              </w:rPr>
              <w:t>卡片式</w:t>
            </w:r>
          </w:p>
        </w:tc>
      </w:tr>
      <w:tr w14:paraId="692D98E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95E27AA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E6302F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噪声评估标准，与评估结果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4BB95F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Table 3.1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（噪声评估阈值）与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3.1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（SNR、噪声水平分布四联图）。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74B302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构建了基于噪声标准差、信噪比（SNR）和异常跳变比例（&gt; 10%）的评估指标，证实90.8%的受试者数据需要滤波干预</w:t>
            </w:r>
          </w:p>
        </w:tc>
      </w:tr>
      <w:tr w14:paraId="092BEF5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5BC1ED66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滤波理论：三种算法对比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简述Kalman、Savitzky-Golay (S-G)、Butterworth三种滤波器的原理（状态空间 vs 局部多项式 vs 频域）。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</w:tr>
      <w:tr w14:paraId="3BC241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C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滤波效果评估与最终选择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20079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插入三种滤波后的图片</w:t>
            </w:r>
          </w:p>
          <w:p w14:paraId="000000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Table 3.2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（滤波结果对比：NRR, SNR, PPR, Phase Lag）。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强调表格展示。用红色方框圈出S-G滤波器的PPR（0.987）和Phase Lag（0）。在底部给出最终结论：选择S-G滤波以无延迟地保留极值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</w:tbl>
    <w:p w14:paraId="0000004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>第三部分：通用预测模型构建与深度学习 (Slides 12-19)</w:t>
      </w:r>
    </w:p>
    <w:p w14:paraId="000000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line="275" w:lineRule="auto"/>
        <w:rPr>
          <w:rFonts w:hint="eastAsia" w:ascii="微软雅黑" w:hAnsi="微软雅黑" w:eastAsia="微软雅黑" w:cs="微软雅黑"/>
          <w:color w:val="1F1F1F"/>
        </w:rPr>
      </w:pPr>
    </w:p>
    <w:tbl>
      <w:tblPr>
        <w:tblStyle w:val="15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43A883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幻灯片编号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核心主题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必放内容与素材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视觉布局与呈现方式</w:t>
            </w:r>
          </w:p>
        </w:tc>
      </w:tr>
      <w:tr w14:paraId="63DAA56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6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问题定义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清楚，所有模型统一输入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回归方程：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352425" cy="207010"/>
                  <wp:effectExtent l="0" t="0" r="0" b="0"/>
                  <wp:docPr id="17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18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782" cy="20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。设定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506095" cy="237490"/>
                  <wp:effectExtent l="0" t="0" r="0" b="0"/>
                  <wp:docPr id="1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373" cy="237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(30分钟),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723900" cy="205740"/>
                  <wp:effectExtent l="0" t="0" r="0" b="0"/>
                  <wp:docPr id="21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10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4495" cy="205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(60分钟)。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输入是什么。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评价指标：RMSE, MAE, CEGA。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克拉克误差网格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左侧用清晰的数学公式（LaTeX格式）展示输入输出向量，右侧列出三大评价指标。</w:t>
            </w:r>
            <w:bookmarkStart w:id="0" w:name="_GoBack"/>
            <w:bookmarkEnd w:id="0"/>
          </w:p>
        </w:tc>
      </w:tr>
      <w:tr w14:paraId="34C4D4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A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传统与机器学习基线模型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罗列ARIMA, Linear Regression, KNN, Random Forest, XGBoost。讨论线性回归在有限特征下的稳健性。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环形或并排的模块图。指明传统模型的缺陷：难以捕捉非线性动态，且存在严重的预测延迟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7AF23DA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4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深度学习序列模型 (RNN &amp; LSTM)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3F5B170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两种模型的预测图</w:t>
            </w:r>
          </w:p>
          <w:p w14:paraId="0000005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简述RNN的梯度消失问题及LSTM的门控机制（Forget, Input, Output gates）。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左右对比图。左侧RNN结构简图，右侧LSTM的Cell内部细节图。</w:t>
            </w:r>
          </w:p>
          <w:p w14:paraId="1ED9E00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以及预测结果图</w:t>
            </w:r>
          </w:p>
        </w:tc>
      </w:tr>
      <w:tr w14:paraId="0B60A69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2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Transformer模型架构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C5563D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default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  <w:lang w:val="en-US" w:eastAsia="zh-CN"/>
              </w:rPr>
              <w:t>模型架构图</w:t>
            </w:r>
          </w:p>
          <w:p w14:paraId="0000005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Encoder-only Transformer，多头自注意力机制（Multi-Head Self-Attention），位置编码。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核心占位。展示Transformer的自注意力矩阵计算公式（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365125" cy="209550"/>
                  <wp:effectExtent l="0" t="0" r="0" b="0"/>
                  <wp:docPr id="19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641" cy="210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），强调其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381635" cy="236220"/>
                  <wp:effectExtent l="0" t="0" r="0" b="0"/>
                  <wp:docPr id="26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14" cy="236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的长程依赖建模能力和并行计算优势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4882AAD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6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预测性能全面对比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Table 4.1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（九种模型的预测误差对比）。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整页表格居中。用高亮背景色标出LSTM（RMSE 8.18）和Transformer（RMSE 9.13）的优异表现。对比KNN的糟糕结果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0DFC1C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A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临床安全性评估 (CEGA)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4.10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（克拉克误差网格分析图）。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提取LSTM和Transformer的CEGA散点图放大展示。标明关键数据：$&gt;99%$的预测落入安全的A区和B区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6D77F71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波形分析与相位延迟 (Phase Lag)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4.11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（受试者306的连续时间片段预测曲线对比图）。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占据全幅图。用虚线圆圈圈出“餐后血糖急剧上升期”，视觉对比ARIMA/Linear的“滞后”与LSTM/Transformer的“紧密贴合”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2D3CAE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2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通用模型的局限性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总结前述模型的优缺点，抛出问题：为何在某些剧烈波动的受试者上通用模型依然失效？引出个体异质性。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过渡页。使用半透明背景的患者剪影，列出个体差异：胰岛素敏感度、胃排空率等。指出“冷启动”痛点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</w:tbl>
    <w:p w14:paraId="0000006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>第四部分：个性化迁移学习 (Slides 20-22)</w:t>
      </w:r>
    </w:p>
    <w:p w14:paraId="000000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line="275" w:lineRule="auto"/>
        <w:rPr>
          <w:rFonts w:hint="eastAsia" w:ascii="微软雅黑" w:hAnsi="微软雅黑" w:eastAsia="微软雅黑" w:cs="微软雅黑"/>
          <w:color w:val="1F1F1F"/>
        </w:rPr>
      </w:pPr>
    </w:p>
    <w:tbl>
      <w:tblPr>
        <w:tblStyle w:val="1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4E2874A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幻灯片编号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核心主题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必放内容与素材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视觉布局与呈现方式</w:t>
            </w:r>
          </w:p>
        </w:tc>
      </w:tr>
      <w:tr w14:paraId="6089193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C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迁移学习策略：冻结编码器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策略图解：Pre-train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161290" cy="191770"/>
                  <wp:effectExtent l="0" t="0" r="0" b="0"/>
                  <wp:docPr id="22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11.pn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30" cy="19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Fine-tune。“Freeze Encoder” + 更新回归头（Regression Head）。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上下分层神经网络结构图。对底层的Encoder画上“锁”的图标，对顶层的全连接层标为“可训练”。说明仅使用30%数据校准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434AFE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0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迁移学习预测结果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Table 5.2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与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Table 5.3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（迁移学习在10位受试者上的性能提升）。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左侧放受试者306的提升数据，右侧放10人的平均数据（RMSE降低20.35%）。使用向上绿色的箭头表示Improvement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26146D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4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个体微调波形改善分析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5.2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或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5.3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（基线模型与微调模型的波形对比）。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用局部放大的视图展示微调后如何修正“基线偏移 (Baseline Shift)”和“峰值超调 (Peak Overshooting)”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</w:tbl>
    <w:p w14:paraId="0000007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>第五部分：元迁移学习框架解决极小样本挑战 (Slides 23-27)</w:t>
      </w:r>
    </w:p>
    <w:p w14:paraId="000000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line="275" w:lineRule="auto"/>
        <w:rPr>
          <w:rFonts w:hint="eastAsia" w:ascii="微软雅黑" w:hAnsi="微软雅黑" w:eastAsia="微软雅黑" w:cs="微软雅黑"/>
          <w:color w:val="1F1F1F"/>
        </w:rPr>
      </w:pP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5AF033A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幻灯片编号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核心主题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必放内容与素材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视觉布局与呈现方式</w:t>
            </w:r>
          </w:p>
        </w:tc>
      </w:tr>
      <w:tr w14:paraId="3BB1C4C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临床困境：极端小样本场景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抛出问题：如果只有佩戴第一天的数据（30-50个样本，约2.5小时），标准微调会失败。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时间轴图表，标示出“Day 1 Data Scarcity”。用红字强调常规梯度下降在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331470" cy="192405"/>
                  <wp:effectExtent l="0" t="0" r="0" b="0"/>
                  <wp:docPr id="24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708" cy="192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个样本时的灾难性过拟合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7903536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2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元学习理论与FOMAML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解释“Learning to learn”的核心思想，寻找对梯度最敏感的初始化参数点，而非平均最优解。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展示多任务优化空间的山峰谷底示意图。标明FOMAML公式（内循环与外循环），强调丢弃二阶导数降低算力消耗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2586514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6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元迁移学习框架的实现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6.1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（FOMAML算法框架流程图）。任务定义：每个受试者为一个独立的Task。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流程图全屏展示。分步高亮“Warm Start”（加载Transformer权重）、“Support Set”与“Query Set”的划分评估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0D9F265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A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极端小样本下的学习曲线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6.2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（Basic Transfer与Meta Transfer的学习曲线对比）和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Table 6.2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图表居中。用阴影区域标出 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  <w:drawing>
                <wp:inline distT="19050" distB="19050" distL="19050" distR="19050">
                  <wp:extent cx="598170" cy="237490"/>
                  <wp:effectExtent l="0" t="0" r="0" b="0"/>
                  <wp:docPr id="27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17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408" cy="237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 的区间，标注Meta Transfer在该区间使MAE大幅下降了31.58%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5E5BC2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8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小样本波形一致性分析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插入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Figure 6.3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（仅30个样本微调后的预测波形对比）。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聚焦于血糖上升段，展示Meta Transfer响应更快、方差更小，而Basic Transfer严重超调的现象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</w:tbl>
    <w:p w14:paraId="0000009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20" w:line="275" w:lineRule="auto"/>
        <w:rPr>
          <w:rFonts w:hint="eastAsia" w:ascii="微软雅黑" w:hAnsi="微软雅黑" w:eastAsia="微软雅黑" w:cs="微软雅黑"/>
          <w:color w:val="1F1F1F"/>
        </w:rPr>
      </w:pPr>
      <w:r>
        <w:rPr>
          <w:rFonts w:hint="eastAsia" w:ascii="微软雅黑" w:hAnsi="微软雅黑" w:eastAsia="微软雅黑" w:cs="微软雅黑"/>
          <w:color w:val="1F1F1F"/>
          <w:rtl w:val="0"/>
        </w:rPr>
        <w:t>第六部分：结论与致谢 (Slides 28-29)</w:t>
      </w:r>
    </w:p>
    <w:p w14:paraId="000000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line="275" w:lineRule="auto"/>
        <w:rPr>
          <w:rFonts w:hint="eastAsia" w:ascii="微软雅黑" w:hAnsi="微软雅黑" w:eastAsia="微软雅黑" w:cs="微软雅黑"/>
          <w:color w:val="1F1F1F"/>
        </w:rPr>
      </w:pPr>
    </w:p>
    <w:tbl>
      <w:tblPr>
        <w:tblStyle w:val="18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0F70F54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幻灯片编号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核心主题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必放内容与素材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F1F1F"/>
                <w:shd w:val="clear" w:fill="auto"/>
                <w:rtl w:val="0"/>
              </w:rPr>
              <w:t>视觉布局与呈现方式</w:t>
            </w:r>
          </w:p>
        </w:tc>
      </w:tr>
      <w:tr w14:paraId="611FE8F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8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核心科学贡献总结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1. S-G滤波去噪流水线；2. Transformer长程建模克服相位延迟；3. FOMAML解决极小样本冷启动个性化。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三个结构化的模块框，每个模块配以对应的图标。强调“边缘设备上的即时个性化”工程价值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9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  <w:tr w14:paraId="1F7FC77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C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ind w:left="425" w:leftChars="0" w:hanging="425" w:firstLineChars="0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致谢与问答 (Q&amp;A)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"Thank You", "Questions &amp; Answers"。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9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line="275" w:lineRule="auto"/>
              <w:rPr>
                <w:rFonts w:hint="eastAsia" w:ascii="微软雅黑" w:hAnsi="微软雅黑" w:eastAsia="微软雅黑" w:cs="微软雅黑"/>
                <w:color w:val="1F1F1F"/>
                <w:shd w:val="clear" w:fill="auto"/>
              </w:rPr>
            </w:pP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 xml:space="preserve">极简排版，包含汇报人联系方式，留白以示专业与自信 </w:t>
            </w:r>
            <w:r>
              <w:rPr>
                <w:rFonts w:hint="eastAsia" w:ascii="微软雅黑" w:hAnsi="微软雅黑" w:eastAsia="微软雅黑" w:cs="微软雅黑"/>
                <w:color w:val="444746"/>
                <w:sz w:val="24"/>
                <w:szCs w:val="24"/>
                <w:vertAlign w:val="superscript"/>
                <w:rtl w:val="0"/>
              </w:rPr>
              <w:t>15</w:t>
            </w:r>
            <w:r>
              <w:rPr>
                <w:rFonts w:hint="eastAsia" w:ascii="微软雅黑" w:hAnsi="微软雅黑" w:eastAsia="微软雅黑" w:cs="微软雅黑"/>
                <w:color w:val="1F1F1F"/>
                <w:shd w:val="clear" w:fill="auto"/>
                <w:rtl w:val="0"/>
              </w:rPr>
              <w:t>。</w:t>
            </w:r>
          </w:p>
        </w:tc>
      </w:tr>
    </w:tbl>
    <w:p w14:paraId="000001A0">
      <w:pPr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eastAsia" w:ascii="微软雅黑" w:hAnsi="微软雅黑" w:eastAsia="微软雅黑" w:cs="微软雅黑"/>
          <w:lang w:eastAsia="zh-CN"/>
        </w:rPr>
      </w:pPr>
    </w:p>
    <w:sectPr>
      <w:pgSz w:w="12240" w:h="15840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F0B6544C-2FA1-43CC-9F1D-AF974A5AC943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9B37C345-8A0E-42BC-AD77-3851D3BB336F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3F289471-B4AA-49F5-95C9-A898B4673FEE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644A4C02-CE30-4879-B8F0-95CC0F730670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E21EC72B-2C4E-469F-881E-C4CD4A9F5617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C1B69BE9-D4D6-4035-B175-E19811A7795A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7" w:fontKey="{6DC6E412-7DE6-4D42-B3E1-44C9CA51711F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8743B2"/>
    <w:multiLevelType w:val="singleLevel"/>
    <w:tmpl w:val="C18743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09736C1"/>
    <w:rsid w:val="0F8B2F3A"/>
    <w:rsid w:val="126857B5"/>
    <w:rsid w:val="13ED0F97"/>
    <w:rsid w:val="14691370"/>
    <w:rsid w:val="15F72F08"/>
    <w:rsid w:val="2071793F"/>
    <w:rsid w:val="25302162"/>
    <w:rsid w:val="2A874754"/>
    <w:rsid w:val="2AE369FC"/>
    <w:rsid w:val="2D4D2C91"/>
    <w:rsid w:val="357C03C2"/>
    <w:rsid w:val="4CDD232E"/>
    <w:rsid w:val="5B5341FE"/>
    <w:rsid w:val="5C5107FA"/>
    <w:rsid w:val="631548AB"/>
    <w:rsid w:val="6A374E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9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</w:style>
  <w:style w:type="table" w:customStyle="1" w:styleId="16">
    <w:name w:val="_Style 13"/>
    <w:basedOn w:val="12"/>
    <w:qFormat/>
    <w:uiPriority w:val="0"/>
  </w:style>
  <w:style w:type="table" w:customStyle="1" w:styleId="17">
    <w:name w:val="_Style 14"/>
    <w:basedOn w:val="12"/>
    <w:qFormat/>
    <w:uiPriority w:val="0"/>
  </w:style>
  <w:style w:type="table" w:customStyle="1" w:styleId="18">
    <w:name w:val="_Style 15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2865</Words>
  <Characters>3991</Characters>
  <TotalTime>6</TotalTime>
  <ScaleCrop>false</ScaleCrop>
  <LinksUpToDate>false</LinksUpToDate>
  <CharactersWithSpaces>4173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2026-04-13T05:31:00Z</dcterms:created>
  <dc:creator>江一骏</dc:creator>
  <cp:lastModifiedBy>Jungle</cp:lastModifiedBy>
  <dcterms:modified xsi:type="dcterms:W3CDTF">2026-05-02T18:29:16Z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eyJoZGlkIjoiYzZkNzQ4ZWFiZmQ4NTRhOWRkZTk3YTMwMjlmMmZhYmUiLCJ1c2VySWQiOiIxMzM2OTM2NTI4In0=</vt:lpwstr>
  </property>
  <property fmtid="{D5CDD505-2E9C-101B-9397-08002B2CF9AE}" pid="3" name="KSOProductBuildVer">
    <vt:lpwstr>2052-12.1.0.25865</vt:lpwstr>
  </property>
  <property fmtid="{D5CDD505-2E9C-101B-9397-08002B2CF9AE}" pid="4" name="ICV">
    <vt:lpwstr>AA30F00553F343679F6EE52BE1123A27_12</vt:lpwstr>
  </property>
</Properties>
</file>