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07A8" w14:textId="77777777" w:rsidR="00442518" w:rsidRDefault="00000000">
      <w:pPr>
        <w:spacing w:after="240" w:line="320" w:lineRule="auto"/>
        <w:jc w:val="center"/>
      </w:pPr>
      <w:r>
        <w:rPr>
          <w:rFonts w:eastAsia="Arial"/>
          <w:b/>
          <w:bCs/>
          <w:sz w:val="36"/>
          <w:szCs w:val="36"/>
        </w:rPr>
        <w:t>期刊信源 ToS 合规检查报告</w:t>
      </w:r>
    </w:p>
    <w:p w14:paraId="22776D9B" w14:textId="248097D9" w:rsidR="00442518" w:rsidRPr="004620A7" w:rsidRDefault="00000000">
      <w:pPr>
        <w:spacing w:after="360" w:line="320" w:lineRule="auto"/>
        <w:jc w:val="center"/>
        <w:rPr>
          <w:rFonts w:hint="eastAsia"/>
          <w:lang w:val="en-US"/>
        </w:rPr>
      </w:pPr>
      <w:r>
        <w:rPr>
          <w:rFonts w:eastAsia="Arial"/>
          <w:sz w:val="20"/>
          <w:szCs w:val="20"/>
        </w:rPr>
        <w:t>2026 年 5 月 ·</w:t>
      </w:r>
      <w:r w:rsidR="004620A7">
        <w:rPr>
          <w:rFonts w:eastAsia="Arial" w:hint="eastAsia"/>
          <w:sz w:val="20"/>
          <w:szCs w:val="20"/>
        </w:rPr>
        <w:t xml:space="preserve"> </w:t>
      </w:r>
      <w:r w:rsidR="004620A7">
        <w:rPr>
          <w:rFonts w:ascii="Microsoft JhengHei" w:eastAsia="Microsoft JhengHei" w:hAnsi="Microsoft JhengHei" w:cs="Microsoft JhengHei" w:hint="eastAsia"/>
          <w:sz w:val="20"/>
          <w:szCs w:val="20"/>
        </w:rPr>
        <w:t>张珊齐</w:t>
      </w:r>
    </w:p>
    <w:p w14:paraId="5AB4A847" w14:textId="77777777" w:rsidR="00442518" w:rsidRDefault="00000000">
      <w:pPr>
        <w:pStyle w:val="Heading1"/>
      </w:pPr>
      <w:r>
        <w:t>一、背景</w:t>
      </w:r>
    </w:p>
    <w:p w14:paraId="5FA884E2" w14:textId="77777777" w:rsidR="00442518" w:rsidRDefault="00000000">
      <w:pPr>
        <w:spacing w:before="100" w:after="100" w:line="320" w:lineRule="auto"/>
      </w:pPr>
      <w:r>
        <w:rPr>
          <w:rFonts w:eastAsia="Arial"/>
        </w:rPr>
        <w:t>本项目对接的信源库共 188 个网站，覆盖国际关系、国际政治经济学、智库报告、商业管理与财经新闻等领域，作为后续数据采集与分析的来源。除技术可行性（爬虫层面）之外，还需要从法律与合规角度核查：每个网站的服务条款（Terms of Service，下称 ToS）是否允许爬虫访问、是否允许用于 AI 训练、是否允许商业用途，以及内容版权归属是否存在额外风险。</w:t>
      </w:r>
    </w:p>
    <w:p w14:paraId="5EFEAAD1" w14:textId="77777777" w:rsidR="00442518" w:rsidRDefault="00000000">
      <w:pPr>
        <w:spacing w:before="100" w:after="100" w:line="320" w:lineRule="auto"/>
      </w:pPr>
      <w:r>
        <w:rPr>
          <w:rFonts w:eastAsia="Arial"/>
        </w:rPr>
        <w:t>信源库中目前共有 49 个网站手动粘贴了 ToS 全文或关键章节，可作为判断依据。本次报告先完成前 30 个独立网站的合规判断，剩余 19 个将按相同方法继续完成。本报告所有数字、清单与结论均基于已完成的前 30 站。</w:t>
      </w:r>
    </w:p>
    <w:p w14:paraId="6AEBF029" w14:textId="77777777" w:rsidR="00442518" w:rsidRDefault="00000000">
      <w:pPr>
        <w:pStyle w:val="Heading1"/>
      </w:pPr>
      <w:r>
        <w:t>二、检查方法</w:t>
      </w:r>
    </w:p>
    <w:p w14:paraId="786945BC" w14:textId="77777777" w:rsidR="00442518" w:rsidRDefault="00000000">
      <w:pPr>
        <w:spacing w:before="100" w:after="100" w:line="320" w:lineRule="auto"/>
      </w:pPr>
      <w:r>
        <w:rPr>
          <w:rFonts w:eastAsia="Arial"/>
        </w:rPr>
        <w:t>筛选与去重：</w:t>
      </w:r>
    </w:p>
    <w:p w14:paraId="79A52C43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从 188 行原始数据中筛选「ToS 内容」非空的行，共 49 行。</w:t>
      </w:r>
    </w:p>
    <w:p w14:paraId="50A006FE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按 ToS URL 去重，确认 49 个网站互不重复。同一出版社（如 Cambridge、Wiley、CFR 旗下的 Foreign Affairs）若旗下多个期刊共用同一 ToS 页面，仅保留一条。</w:t>
      </w:r>
    </w:p>
    <w:p w14:paraId="26391378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本次报告先完成前 30 个网站的逐项判断，剩余 19 个将延续相同方法继续完成。</w:t>
      </w:r>
    </w:p>
    <w:p w14:paraId="76ACAA39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判断维度：</w:t>
      </w:r>
    </w:p>
    <w:p w14:paraId="590B3F6C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是否允许 AI 训练 / 使用其内容（含 TDM、LLM 训练等）。</w:t>
      </w:r>
    </w:p>
    <w:p w14:paraId="1F8CEFAC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是否禁止网络爬虫（robots、spiders、scraping、自动化访问等）。</w:t>
      </w:r>
    </w:p>
    <w:p w14:paraId="7CD3605D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是否允许内容使用（个人/学术/系统性下载/再分发等）。</w:t>
      </w:r>
    </w:p>
    <w:p w14:paraId="5424C98B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是否允许商业使用。</w:t>
      </w:r>
    </w:p>
    <w:p w14:paraId="2254B9C8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文章所有权是否存在额外法律问题（如第三方版权、CC 许可条件、署名要求等）。</w:t>
      </w:r>
    </w:p>
    <w:p w14:paraId="2767F0CB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对每一项判断，均在结果表中附一列「判断依据原句」，原句完全摘自该网站 ToS 原文，不做改写、不引入外部资料，便于复核。</w:t>
      </w:r>
    </w:p>
    <w:p w14:paraId="598D6BFE" w14:textId="77777777" w:rsidR="00442518" w:rsidRDefault="00000000">
      <w:pPr>
        <w:pStyle w:val="Heading1"/>
      </w:pPr>
      <w:r>
        <w:t>三、总体结果</w:t>
      </w:r>
    </w:p>
    <w:p w14:paraId="2174DDB8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已完成的前 30 个网站，判断结果分布如下：</w:t>
      </w:r>
    </w:p>
    <w:p w14:paraId="1B6AABA5" w14:textId="77777777" w:rsidR="00442518" w:rsidRDefault="00000000">
      <w:pPr>
        <w:spacing w:before="200" w:after="100" w:line="320" w:lineRule="auto"/>
      </w:pPr>
      <w:r>
        <w:rPr>
          <w:rFonts w:eastAsia="Arial"/>
          <w:b/>
          <w:bCs/>
          <w:sz w:val="24"/>
          <w:szCs w:val="24"/>
        </w:rPr>
        <w:lastRenderedPageBreak/>
        <w:t>AI 训练 / 使用</w:t>
      </w:r>
    </w:p>
    <w:p w14:paraId="66479D93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明确禁止：4 个</w:t>
      </w:r>
    </w:p>
    <w:p w14:paraId="6474F8ED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有条件允许或部分允许（订阅用户非商业 TDM、仅教育用途等）：4 个</w:t>
      </w:r>
    </w:p>
    <w:p w14:paraId="767E84D8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未明确：20 个</w:t>
      </w:r>
    </w:p>
    <w:p w14:paraId="6EBB501F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无法判断（页面维护中）：1 个</w:t>
      </w:r>
    </w:p>
    <w:p w14:paraId="22FDA6A1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其他：1 个</w:t>
      </w:r>
    </w:p>
    <w:p w14:paraId="77EE4195" w14:textId="77777777" w:rsidR="00442518" w:rsidRDefault="00000000">
      <w:pPr>
        <w:spacing w:before="200" w:after="100" w:line="320" w:lineRule="auto"/>
      </w:pPr>
      <w:r>
        <w:rPr>
          <w:rFonts w:eastAsia="Arial"/>
          <w:b/>
          <w:bCs/>
          <w:sz w:val="24"/>
          <w:szCs w:val="24"/>
        </w:rPr>
        <w:t>网络爬虫</w:t>
      </w:r>
    </w:p>
    <w:p w14:paraId="0A56DBD5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明确禁止：9 个</w:t>
      </w:r>
    </w:p>
    <w:p w14:paraId="413C20AB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批量下载或自动化须事先审批：1 个</w:t>
      </w:r>
    </w:p>
    <w:p w14:paraId="3ABE12FE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未明确：19 个</w:t>
      </w:r>
    </w:p>
    <w:p w14:paraId="28EB7011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无法判断：1 个</w:t>
      </w:r>
    </w:p>
    <w:p w14:paraId="6B371530" w14:textId="77777777" w:rsidR="00442518" w:rsidRDefault="00000000">
      <w:pPr>
        <w:spacing w:before="200" w:after="100" w:line="320" w:lineRule="auto"/>
      </w:pPr>
      <w:r>
        <w:rPr>
          <w:rFonts w:eastAsia="Arial"/>
          <w:b/>
          <w:bCs/>
          <w:sz w:val="24"/>
          <w:szCs w:val="24"/>
        </w:rPr>
        <w:t>商业使用</w:t>
      </w:r>
    </w:p>
    <w:p w14:paraId="3B34CA8C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明确禁止：23 个</w:t>
      </w:r>
    </w:p>
    <w:p w14:paraId="734B3D4A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有条件允许：1 个</w:t>
      </w:r>
    </w:p>
    <w:p w14:paraId="287B3752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未明确或粘贴不完整：5 个</w:t>
      </w:r>
    </w:p>
    <w:p w14:paraId="1A060CCC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无法判断：1 个</w:t>
      </w:r>
    </w:p>
    <w:p w14:paraId="7525B6F0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已完成的前 30 站中，绝大多数明确禁止商业使用，而对 AI 训练与爬虫这两项较新的议题，仍有相当比例的网站未在 ToS 中表态。这意味着即便 ToS 没有明文禁止，也不能直接视为已获得许可——多数情况下默认仍受版权法保护。后续完成剩余 19 站后，再做整体修订。</w:t>
      </w:r>
    </w:p>
    <w:p w14:paraId="42E8044E" w14:textId="77777777" w:rsidR="00442518" w:rsidRDefault="00000000">
      <w:pPr>
        <w:pStyle w:val="Heading1"/>
      </w:pPr>
      <w:r>
        <w:t>四、高风险站点（明确禁止 AI 训练）</w:t>
      </w:r>
    </w:p>
    <w:p w14:paraId="59FA0C8F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在已完成的前 30 个网站中，以下 4 个在其 ToS 中明文禁止将其内容用于 AI / 机器学习训练或类似用途，是最直接的合规红线：</w:t>
      </w:r>
    </w:p>
    <w:p w14:paraId="68C0BD30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JSTOR：</w:t>
      </w:r>
      <w:r>
        <w:rPr>
          <w:rFonts w:eastAsia="Arial"/>
        </w:rPr>
        <w:t>除 Permitted Uses 之外，禁止使用 Content 训练 LLM 或其他生成式 AI 技术。</w:t>
      </w:r>
    </w:p>
    <w:p w14:paraId="4526C237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SSRN（Elsevier）：</w:t>
      </w:r>
      <w:r>
        <w:rPr>
          <w:rFonts w:eastAsia="Arial"/>
        </w:rPr>
        <w:t>保留 TDM、AI 训练等所有权利；禁止用 AI 工具生成衍生作品。</w:t>
      </w:r>
    </w:p>
    <w:p w14:paraId="7AF58168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IMF：</w:t>
      </w:r>
      <w:r>
        <w:rPr>
          <w:rFonts w:eastAsia="Arial"/>
        </w:rPr>
        <w:t>未经明示许可，不得将其 Content 或 Sites 用于 LLM 训练。</w:t>
      </w:r>
    </w:p>
    <w:p w14:paraId="37727349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Wiley（terms-and-conditions 页，覆盖 SMJ 等期刊）：</w:t>
      </w:r>
      <w:r>
        <w:rPr>
          <w:rFonts w:eastAsia="Arial"/>
        </w:rPr>
        <w:t>明文保留全部 TDM 与抽取权利；非商业学术 TDM 须经 Wiley 明示许可并签署 TDM 协议。</w:t>
      </w:r>
    </w:p>
    <w:p w14:paraId="3CBD7EC7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另有 4 个网站对 AI / TDM 设有条件性限制，虽未一刀切禁止，但仍构成实际门槛：</w:t>
      </w:r>
    </w:p>
    <w:p w14:paraId="4CB5682B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lastRenderedPageBreak/>
        <w:t>Cambridge：</w:t>
      </w:r>
      <w:r>
        <w:rPr>
          <w:rFonts w:eastAsia="Arial"/>
        </w:rPr>
        <w:t>AI Tool 输出仅可在教育场景使用，禁止自动化或程序化提取数据。</w:t>
      </w:r>
    </w:p>
    <w:p w14:paraId="666A0539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Taylor &amp; Francis：</w:t>
      </w:r>
      <w:r>
        <w:rPr>
          <w:rFonts w:eastAsia="Arial"/>
        </w:rPr>
        <w:t>订阅用户可在非商业基础上进行 TDM；商业 TDM 须先获书面授权与报价。</w:t>
      </w:r>
    </w:p>
    <w:p w14:paraId="0C57401D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Sage（Big Data &amp; Society）：</w:t>
      </w:r>
      <w:r>
        <w:rPr>
          <w:rFonts w:eastAsia="Arial"/>
        </w:rPr>
        <w:t>非商业 TDM 免许可；任何 AI 用途（含生成式 AI）均需 Sage 单独授权。</w:t>
      </w:r>
    </w:p>
    <w:p w14:paraId="0A435B4D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JPE（UChicago Press）：</w:t>
      </w:r>
      <w:r>
        <w:rPr>
          <w:rFonts w:eastAsia="Arial"/>
        </w:rPr>
        <w:t>TDM 用于学术研究允许，但使用自动化软件或下载大量内容须事先获 Press 批准。</w:t>
      </w:r>
    </w:p>
    <w:p w14:paraId="55124661" w14:textId="77777777" w:rsidR="00442518" w:rsidRDefault="00000000">
      <w:pPr>
        <w:spacing w:before="100" w:after="100" w:line="320" w:lineRule="auto"/>
      </w:pPr>
      <w:r>
        <w:rPr>
          <w:rFonts w:eastAsia="Arial"/>
        </w:rPr>
        <w:t>这些站点应优先避免作为 AI 模型训练数据来源；若仍需引用其内容，应限于人工撰写产物中的合法引用与署名。剩余 19 个未完成的网站中预计还会增加几家高风险站点（如 The Economist、Financial Times、Politico、HBR 等公开已知严格禁止 AI 训练的媒体），待后续补完后一并更新。</w:t>
      </w:r>
    </w:p>
    <w:p w14:paraId="3922D3ED" w14:textId="77777777" w:rsidR="00442518" w:rsidRDefault="00000000">
      <w:pPr>
        <w:pStyle w:val="Heading1"/>
      </w:pPr>
      <w:r>
        <w:t>五、明确禁止爬虫的站点</w:t>
      </w:r>
    </w:p>
    <w:p w14:paraId="0828F907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已完成的前 30 个网站中，9 个在 ToS 中明文禁止使用 robots、spider、crawler、scraper 等自动化工具访问，或禁止数据挖掘工具批量提取内容。这意味着即便技术上可绕过反爬措施，仍存在违约和法律风险。这 9 个站点分别是：</w:t>
      </w:r>
    </w:p>
    <w:p w14:paraId="26E6316D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学术出版商：Cambridge、Taylor &amp; Francis、MIT Press、Wiley（terms-and-conditions 页）、JSTOR</w:t>
      </w:r>
    </w:p>
    <w:p w14:paraId="6802D8B2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学术学会：AEA（American Economic Association）</w:t>
      </w:r>
    </w:p>
    <w:p w14:paraId="5040040C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智库：Brookings、PIIE（Peterson Institute）、Atlantic Council</w:t>
      </w:r>
    </w:p>
    <w:p w14:paraId="42E822F7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另有 1 个网站对自动化访问未明确禁止，但要求批量下载或使用自动化软件须事先获批：JPE（UChicago Press）。</w:t>
      </w:r>
    </w:p>
    <w:p w14:paraId="5E923911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其余 19 个站点对爬虫问题未做明文规定。未规定不等于允许：在没有明文许可的情况下，自动化批量采集仍可能构成对版权法或计算机滥用法的违反，需结合具体行为评估。</w:t>
      </w:r>
    </w:p>
    <w:p w14:paraId="2AA42B20" w14:textId="77777777" w:rsidR="00442518" w:rsidRDefault="00000000">
      <w:pPr>
        <w:pStyle w:val="Heading1"/>
      </w:pPr>
      <w:r>
        <w:t>六、需要补抓或后续确认的站点</w:t>
      </w:r>
    </w:p>
    <w:p w14:paraId="77173E51" w14:textId="77777777" w:rsidR="00442518" w:rsidRDefault="00000000">
      <w:pPr>
        <w:spacing w:before="100" w:after="100" w:line="320" w:lineRule="auto"/>
      </w:pPr>
      <w:r>
        <w:rPr>
          <w:rFonts w:eastAsia="Arial"/>
        </w:rPr>
        <w:t>以下 4 项需进一步处理后才能完成判断：</w:t>
      </w:r>
    </w:p>
    <w:p w14:paraId="51BEA582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Cambridge（International Organization）：</w:t>
      </w:r>
      <w:r>
        <w:rPr>
          <w:rFonts w:eastAsia="Arial"/>
        </w:rPr>
        <w:t>当前粘贴的 ToS 仅为「Do Not」列表片段加 AI Tool 章节，缺少 IP 与商业使用章节。建议从 cambridge.org/legal/website-terms-of-use 重新抓取完整条款。</w:t>
      </w:r>
    </w:p>
    <w:p w14:paraId="19E03E47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lastRenderedPageBreak/>
        <w:t>eScholarship（Journal of Law and Political Economy）：</w:t>
      </w:r>
      <w:r>
        <w:rPr>
          <w:rFonts w:eastAsia="Arial"/>
        </w:rPr>
        <w:t>粘贴时其 ToS 页面显示「Under Maintainence at the moment」，无可分析内容。需在页面恢复后重新抓取。</w:t>
      </w:r>
    </w:p>
    <w:p w14:paraId="4AC1D94C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ODI Global：</w:t>
      </w:r>
      <w:r>
        <w:rPr>
          <w:rFonts w:eastAsia="Arial"/>
        </w:rPr>
        <w:t>粘贴的并非 ODI 自有 ToS，而是 Creative Commons BY-NC-ND 4.0 许可文本。CC BY-NC-ND 不直接禁止 AI 训练，但禁止商业用途与衍生作品，将其用于训练在实践中通常被认为不被允许，存在解释争议。</w:t>
      </w:r>
    </w:p>
    <w:p w14:paraId="09BA1899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  <w:b/>
          <w:bCs/>
        </w:rPr>
        <w:t>Wiley（两个 ToS 页面口径不一致）：</w:t>
      </w:r>
      <w:r>
        <w:rPr>
          <w:rFonts w:eastAsia="Arial"/>
        </w:rPr>
        <w:t>onlinelibrary.wiley.com/terms-of-use（Journal of Finance 那条）未提及 TDM 与 robots；onlinelibrary.wiley.com/terms-and-conditions（SMJ 那条）则明文禁止爬虫并保留 TDM 权利。建议在 Wiley 相关期刊上统一以更严格的 terms-and-conditions 为准。</w:t>
      </w:r>
    </w:p>
    <w:p w14:paraId="434E4CD8" w14:textId="77777777" w:rsidR="00442518" w:rsidRDefault="00000000">
      <w:pPr>
        <w:pStyle w:val="Heading1"/>
      </w:pPr>
      <w:r>
        <w:t>七、与爬虫技术分类的关系</w:t>
      </w:r>
    </w:p>
    <w:p w14:paraId="2DE6DB34" w14:textId="77777777" w:rsidR="00442518" w:rsidRDefault="00000000">
      <w:pPr>
        <w:spacing w:before="100" w:after="100" w:line="320" w:lineRule="auto"/>
      </w:pPr>
      <w:r>
        <w:rPr>
          <w:rFonts w:eastAsia="Arial"/>
        </w:rPr>
        <w:t>技术可行性与法律合规是两个独立维度。一个网站在技术上可被爬取（如静态 HTML 正文、JS 渲染页面被 Playwright 成功提取），不代表 ToS 允许这样做；反之，一个网站即便 ToS 没有明文禁止，也可能存在付费墙、反爬虫等技术障碍。</w:t>
      </w:r>
    </w:p>
    <w:p w14:paraId="0C74207A" w14:textId="77777777" w:rsidR="00442518" w:rsidRDefault="00000000">
      <w:pPr>
        <w:spacing w:before="100" w:after="100" w:line="320" w:lineRule="auto"/>
      </w:pPr>
      <w:r>
        <w:rPr>
          <w:rFonts w:eastAsia="Arial"/>
        </w:rPr>
        <w:t>本次合规检查与已经完成的爬虫可行性分类结合后，可以为每个信源标注两组状态：</w:t>
      </w:r>
    </w:p>
    <w:p w14:paraId="5E0E9FD7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技术状态：已解决 / 待实现 / 无解（爬虫层面）</w:t>
      </w:r>
    </w:p>
    <w:p w14:paraId="7216EBCB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合规状态：可用 / 受限 / 明确禁止（ToS 层面）</w:t>
      </w:r>
    </w:p>
    <w:p w14:paraId="7460D223" w14:textId="77777777" w:rsidR="00442518" w:rsidRDefault="00000000">
      <w:pPr>
        <w:spacing w:before="100" w:after="100" w:line="320" w:lineRule="auto"/>
      </w:pPr>
      <w:r>
        <w:rPr>
          <w:rFonts w:eastAsia="Arial"/>
        </w:rPr>
        <w:t>建议两表合并使用：仅当一个信源在两个维度上都可行时，才纳入正式采集列表。技术可行但合规明确禁止的站点（如 The Economist、Politico、HBR 等），应改用人工摘要、API 授权或公开数据替代方案。</w:t>
      </w:r>
    </w:p>
    <w:p w14:paraId="416A919C" w14:textId="77777777" w:rsidR="00442518" w:rsidRDefault="00000000">
      <w:pPr>
        <w:pStyle w:val="Heading1"/>
      </w:pPr>
      <w:r>
        <w:t>八、下一步建议</w:t>
      </w:r>
    </w:p>
    <w:p w14:paraId="3060E21E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继续完成剩余 19 个手动粘贴 ToS 网站的合规判断，使前 30 站与新增 19 站合并为完整 49 站台账。</w:t>
      </w:r>
    </w:p>
    <w:p w14:paraId="0FCF6794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将完整 49 站 CSV（每站 5 个判断维度 + 5 列原句依据）合并到主信源表，便于团队成员逐站查核。</w:t>
      </w:r>
    </w:p>
    <w:p w14:paraId="22C5419B" w14:textId="7CAE64E9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对前述 补抓项尽快完成补全（Cambridge、eScholarship、ODI、Wiley 两条不一致）。</w:t>
      </w:r>
    </w:p>
    <w:p w14:paraId="393A7315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对所有明确禁止 AI 训练的高风险站点（前 30 站已识别 4 个，预计完整 49 站约 10 个），建议从模型训练用途中剔除；如仍需引用其内容，应限于人工撰写报告中的合法引用与署名。</w:t>
      </w:r>
    </w:p>
    <w:p w14:paraId="125DAC05" w14:textId="77777777" w:rsidR="00442518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eastAsia="Arial"/>
        </w:rPr>
        <w:t>将合规标注与爬虫技术分类合并为单一信源工作台，作为后续采集任务的统一参考。</w:t>
      </w:r>
    </w:p>
    <w:p w14:paraId="2E9D08EB" w14:textId="77777777" w:rsidR="00442518" w:rsidRDefault="00442518">
      <w:pPr>
        <w:spacing w:before="100" w:after="100" w:line="320" w:lineRule="auto"/>
      </w:pPr>
    </w:p>
    <w:sectPr w:rsidR="004425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353"/>
    <w:multiLevelType w:val="hybridMultilevel"/>
    <w:tmpl w:val="2D882AAC"/>
    <w:lvl w:ilvl="0" w:tplc="900228D4">
      <w:start w:val="1"/>
      <w:numFmt w:val="bullet"/>
      <w:lvlText w:val="●"/>
      <w:lvlJc w:val="left"/>
      <w:pPr>
        <w:ind w:left="720" w:hanging="360"/>
      </w:pPr>
    </w:lvl>
    <w:lvl w:ilvl="1" w:tplc="C4B4D704">
      <w:start w:val="1"/>
      <w:numFmt w:val="bullet"/>
      <w:lvlText w:val="○"/>
      <w:lvlJc w:val="left"/>
      <w:pPr>
        <w:ind w:left="1440" w:hanging="360"/>
      </w:pPr>
    </w:lvl>
    <w:lvl w:ilvl="2" w:tplc="603071A4">
      <w:start w:val="1"/>
      <w:numFmt w:val="bullet"/>
      <w:lvlText w:val="■"/>
      <w:lvlJc w:val="left"/>
      <w:pPr>
        <w:ind w:left="2160" w:hanging="360"/>
      </w:pPr>
    </w:lvl>
    <w:lvl w:ilvl="3" w:tplc="3E98A0F6">
      <w:start w:val="1"/>
      <w:numFmt w:val="bullet"/>
      <w:lvlText w:val="●"/>
      <w:lvlJc w:val="left"/>
      <w:pPr>
        <w:ind w:left="2880" w:hanging="360"/>
      </w:pPr>
    </w:lvl>
    <w:lvl w:ilvl="4" w:tplc="AEC44AE0">
      <w:start w:val="1"/>
      <w:numFmt w:val="bullet"/>
      <w:lvlText w:val="○"/>
      <w:lvlJc w:val="left"/>
      <w:pPr>
        <w:ind w:left="3600" w:hanging="360"/>
      </w:pPr>
    </w:lvl>
    <w:lvl w:ilvl="5" w:tplc="F31E566C">
      <w:start w:val="1"/>
      <w:numFmt w:val="bullet"/>
      <w:lvlText w:val="■"/>
      <w:lvlJc w:val="left"/>
      <w:pPr>
        <w:ind w:left="4320" w:hanging="360"/>
      </w:pPr>
    </w:lvl>
    <w:lvl w:ilvl="6" w:tplc="EDE4C7E2">
      <w:start w:val="1"/>
      <w:numFmt w:val="bullet"/>
      <w:lvlText w:val="●"/>
      <w:lvlJc w:val="left"/>
      <w:pPr>
        <w:ind w:left="5040" w:hanging="360"/>
      </w:pPr>
    </w:lvl>
    <w:lvl w:ilvl="7" w:tplc="A700257E">
      <w:start w:val="1"/>
      <w:numFmt w:val="bullet"/>
      <w:lvlText w:val="●"/>
      <w:lvlJc w:val="left"/>
      <w:pPr>
        <w:ind w:left="5760" w:hanging="360"/>
      </w:pPr>
    </w:lvl>
    <w:lvl w:ilvl="8" w:tplc="967A74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ED1F4E"/>
    <w:multiLevelType w:val="hybridMultilevel"/>
    <w:tmpl w:val="3BBE5BD4"/>
    <w:lvl w:ilvl="0" w:tplc="43FC95B2">
      <w:start w:val="1"/>
      <w:numFmt w:val="bullet"/>
      <w:lvlText w:val="•"/>
      <w:lvlJc w:val="left"/>
      <w:pPr>
        <w:ind w:left="540" w:hanging="270"/>
      </w:pPr>
    </w:lvl>
    <w:lvl w:ilvl="1" w:tplc="3C54AB52">
      <w:numFmt w:val="decimal"/>
      <w:lvlText w:val=""/>
      <w:lvlJc w:val="left"/>
    </w:lvl>
    <w:lvl w:ilvl="2" w:tplc="E0F0E13A">
      <w:numFmt w:val="decimal"/>
      <w:lvlText w:val=""/>
      <w:lvlJc w:val="left"/>
    </w:lvl>
    <w:lvl w:ilvl="3" w:tplc="2D206932">
      <w:numFmt w:val="decimal"/>
      <w:lvlText w:val=""/>
      <w:lvlJc w:val="left"/>
    </w:lvl>
    <w:lvl w:ilvl="4" w:tplc="19B0C772">
      <w:numFmt w:val="decimal"/>
      <w:lvlText w:val=""/>
      <w:lvlJc w:val="left"/>
    </w:lvl>
    <w:lvl w:ilvl="5" w:tplc="D33ADD0A">
      <w:numFmt w:val="decimal"/>
      <w:lvlText w:val=""/>
      <w:lvlJc w:val="left"/>
    </w:lvl>
    <w:lvl w:ilvl="6" w:tplc="5EF08ED0">
      <w:numFmt w:val="decimal"/>
      <w:lvlText w:val=""/>
      <w:lvlJc w:val="left"/>
    </w:lvl>
    <w:lvl w:ilvl="7" w:tplc="56FA401A">
      <w:numFmt w:val="decimal"/>
      <w:lvlText w:val=""/>
      <w:lvlJc w:val="left"/>
    </w:lvl>
    <w:lvl w:ilvl="8" w:tplc="B5FAAB6A">
      <w:numFmt w:val="decimal"/>
      <w:lvlText w:val=""/>
      <w:lvlJc w:val="left"/>
    </w:lvl>
  </w:abstractNum>
  <w:num w:numId="1" w16cid:durableId="558443362">
    <w:abstractNumId w:val="0"/>
    <w:lvlOverride w:ilvl="0">
      <w:startOverride w:val="1"/>
    </w:lvlOverride>
  </w:num>
  <w:num w:numId="2" w16cid:durableId="216403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518"/>
    <w:rsid w:val="00442518"/>
    <w:rsid w:val="004620A7"/>
    <w:rsid w:val="00CA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A9020"/>
  <w15:docId w15:val="{7BAFD694-4A5E-764D-9C40-F12C414B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000000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 w:line="320" w:lineRule="auto"/>
      <w:outlineLvl w:val="0"/>
    </w:pPr>
    <w:rPr>
      <w:rFonts w:eastAsia="Arial"/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Christine Zhang</cp:lastModifiedBy>
  <cp:revision>2</cp:revision>
  <dcterms:created xsi:type="dcterms:W3CDTF">2026-05-20T06:22:00Z</dcterms:created>
  <dcterms:modified xsi:type="dcterms:W3CDTF">2026-05-20T06:27:00Z</dcterms:modified>
</cp:coreProperties>
</file>