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center"/>
      </w:pPr>
      <w:r>
        <w:rPr>
          <w:b/>
          <w:bCs/>
          <w:color w:val="0F4F50"/>
          <w:sz w:val="72"/>
          <w:szCs w:val="72"/>
        </w:rPr>
        <w:t xml:space="preserve">Docmee</w:t>
      </w:r>
    </w:p>
    <w:p>
      <w:pPr>
        <w:spacing w:after="80"/>
        <w:jc w:val="center"/>
      </w:pPr>
      <w:r>
        <w:rPr>
          <w:color w:val="3A3F45"/>
          <w:sz w:val="36"/>
          <w:szCs w:val="36"/>
        </w:rPr>
        <w:t xml:space="preserve">Architecture &amp; Technical Documentation</w:t>
      </w:r>
    </w:p>
    <w:p>
      <w:pPr>
        <w:spacing w:after="60"/>
        <w:jc w:val="center"/>
      </w:pPr>
      <w:r>
        <w:rPr>
          <w:i/>
          <w:iCs/>
          <w:color w:val="6B7178"/>
          <w:sz w:val="22"/>
          <w:szCs w:val="22"/>
        </w:rPr>
        <w:t xml:space="preserve">AI chatbot platform for medical clinics — central multi-tenant SaaS</w:t>
      </w:r>
    </w:p>
    <w:p>
      <w:pPr>
        <w:spacing w:before="2400"/>
        <w:jc w:val="center"/>
      </w:pPr>
      <w:r>
        <w:rPr>
          <w:color w:val="8A9099"/>
          <w:sz w:val="20"/>
          <w:szCs w:val="20"/>
        </w:rPr>
        <w:t xml:space="preserve">Harmonized across the architecture spec and design document (A1–A24)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Each clinic gets an AI bot that answers patient questions from a clinic-specific knowledge base, books appointments via Google Calendar, and hands off to human secretaries when needed. Docmee runs as one central, multi-tenant platform with an IA Studio admin layer; a self-hosted, license-controlled deployment is reserved as a future commercial mode.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model: central SaaS, multi-tenant, strict per-clinic isolation.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Channels: WhatsApp at launch; Messenger + Instagram in Rollout 2B.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Control: three runtime gates — platform flag → plan → clinic toggle.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Guiding rule: soft enforcement — limits block new growth, never a live clinic.</w:t>
      </w:r>
    </w:p>
    <w:p>
      <w:pPr>
        <w:pStyle w:val="Heading1"/>
      </w:pPr>
      <w:r>
        <w:t xml:space="preserve">2. System architecture</w:t>
      </w:r>
    </w:p>
    <w:p>
      <w:pPr>
        <w:spacing w:after="120"/>
      </w:pPr>
      <w:r>
        <w:t xml:space="preserve">A layered architecture: people at the edge, a thin API/edge tier, an asynchronous processing core, the intelligence (agent) layer, and the data + integrations tier.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178"/>
          <w:sz w:val="18"/>
          <w:szCs w:val="18"/>
        </w:rPr>
        <w:t xml:space="preserve">Figure 1 — Layered system architecture</w:t>
      </w:r>
    </w:p>
    <w:p>
      <w:pPr>
        <w:spacing w:after="120"/>
      </w:pPr>
      <w:r>
        <w:t xml:space="preserve">The whole stack ships together (pnpm monorepo) behind one Caddy front door. The load-bearing separation is at the data tier: patient-facing generation routes to Claude, intent classification to DeepSeek only, embeddings to OpenAI.</w:t>
      </w:r>
    </w:p>
    <w:p>
      <w:pPr>
        <w:pStyle w:val="Heading1"/>
      </w:pPr>
      <w:r>
        <w:t xml:space="preserve">3. Runtime data flow</w:t>
      </w:r>
    </w:p>
    <w:p>
      <w:pPr>
        <w:spacing w:after="120"/>
      </w:pPr>
      <w:r>
        <w:t xml:space="preserve">How a patient message travels in and out. The 200 OK to Meta is returned before any processing; the bot-interruption check is the first operation in the conversation processor.</w:t>
      </w:r>
    </w:p>
    <w:p>
      <w:pPr>
        <w:spacing w:after="60" w:before="120"/>
        <w:jc w:val="center"/>
      </w:pPr>
      <w:r>
        <w:drawing>
          <wp:inline distT="0" distB="0" distL="0" distR="0">
            <wp:extent cx="40290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178"/>
          <w:sz w:val="18"/>
          <w:szCs w:val="18"/>
        </w:rPr>
        <w:t xml:space="preserve">Figure 2 — Runtime message data flow (inbound to outbound)</w:t>
      </w:r>
    </w:p>
    <w:p>
      <w:pPr>
        <w:pStyle w:val="Heading1"/>
      </w:pPr>
      <w:r>
        <w:t xml:space="preserve">4. Agent layer</w:t>
      </w:r>
    </w:p>
    <w:p>
      <w:pPr>
        <w:spacing w:after="120"/>
      </w:pPr>
      <w:r>
        <w:t xml:space="preserve">The intent classifier routes each message; the clinic bot answers from the knowledge base, the scheduling agent books appointments, or the conversation escalates to a human. Escalation is terminal — a secretary takes over and the bot stops auto-replying.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178"/>
          <w:sz w:val="18"/>
          <w:szCs w:val="18"/>
        </w:rPr>
        <w:t xml:space="preserve">Figure 3 — Agent orchestration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KB grounding only: below similarity 0.70 the bot does not fall back to general LLM knowledge — it acknowledges the gap and offers handoff. The “rules” KB category is injected into every system prompt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Intake state machine: stored in the DB, survives mode switches; multi-doctor aware (routing by doctor/specialty, per-doctor KB and optional tone).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is the source of truth for appointment datetime; Docmee DB is the source of truth for everything else.</w:t>
      </w:r>
    </w:p>
    <w:p>
      <w:pPr>
        <w:pStyle w:val="Heading1"/>
      </w:pPr>
      <w:r>
        <w:t xml:space="preserve">5. Data model</w:t>
      </w:r>
    </w:p>
    <w:p>
      <w:pPr>
        <w:spacing w:after="120"/>
      </w:pPr>
      <w:r>
        <w:t xml:space="preserve">Forward-only, additive migrations. Every clinic-scoped table carries clinic_id with RLS: USING (clinic_id = current_setting('app.clinic_id')::UUID).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Tenancy &amp; people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clinics · clinic_users · doctors · user_sessions · auth_events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patients · patient_intake · patient_notes · patient_tags · patient_consent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conversations · messages · conversation_notes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appointments · appointment_status_log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 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kb_entries (vector) · kb_entry_versions · kb_embedding_jobs · kb_improvement_suggestions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Channels &amp; templates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meta_templates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automation_rules · automation_queue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Metrics &amp; quality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clinic_metrics · error_log · report_schedules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notification_preferences · push_subscriptions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clinic_integrations · integration_events · document_uploads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&amp; 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plans · plan_addons · clinic_subscriptions · subscription_usage · invoices · platform_feature_flags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Governance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audit_log (append-only) · retention_policies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Encrypted fields (pgcrypto): patients.phone, patients.channel_id, patient_intake.reason, patient_intake.special_notes, messages.content (inbound), and clinic tokens (Meta, Google). Access is via the Data Access Layer (DAL) — no ORM; agents never hold DB credentials; agent writes are field-level, validated, logged before execution, and never deletes.</w:t>
      </w:r>
    </w:p>
    <w:p>
      <w:pPr>
        <w:pStyle w:val="Heading1"/>
      </w:pPr>
      <w:r>
        <w:t xml:space="preserve">6.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300"/>
        <w:gridCol w:w="1500"/>
        <w:gridCol w:w="1400"/>
        <w:gridCol w:w="1100"/>
        <w:gridCol w:w="17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Resource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IA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Clinic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Secretary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Assistant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 (no reply)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Appointments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Internal notes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 base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 settings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Reports/metrics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 mode control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</w:pPr>
      <w:r>
        <w:t xml:space="preserve">7. Control model &amp; soft enforcement</w:t>
      </w:r>
    </w:p>
    <w:p>
      <w:pPr>
        <w:spacing w:after="120"/>
      </w:pPr>
      <w:r>
        <w:t xml:space="preserve">A feature is available only if all three runtime gates pass. A fourth license gate is reserved for the future commercial mode and is not in the active path.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178"/>
          <w:sz w:val="18"/>
          <w:szCs w:val="18"/>
        </w:rPr>
        <w:t xml:space="preserve">Figure 4 — Feature gating (three active gates; license gate reserved)</w:t>
      </w:r>
    </w:p>
    <w:p>
      <w:pPr>
        <w:spacing w:after="120"/>
      </w:pPr>
      <w:r>
        <w:t xml:space="preserve">Soft enforcement (absolute): quotas, limits, and flags block only new growth (new clinics, seats, feature activation). They must never interrupt a live clinic's messaging. The patient never sees a system error; every error has a defined outcome; security errors are never retried.</w:t>
      </w:r>
    </w:p>
    <w:p>
      <w:pPr>
        <w:pStyle w:val="Heading1"/>
      </w:pPr>
      <w:r>
        <w:t xml:space="preserve">8. Channels</w:t>
      </w:r>
    </w:p>
    <w:p>
      <w:pPr>
        <w:spacing w:after="120"/>
      </w:pPr>
      <w:r>
        <w:t xml:space="preserve">WhatsApp at launch; Facebook Messenger and Instagram Direct in Rollout 2B. One WABA + phone number per clinic (clinics cannot share a number). HMAC validation is timing-safe; System User tokens for production. All channels normalize to one internal message schema with: clinic_id, channel (whatsapp|messenger|instagram), patient_identifier, message_type (text|audio|image|template), content, timestamp, and raw_payload.</w:t>
      </w:r>
    </w:p>
    <w:p>
      <w:pPr>
        <w:pStyle w:val="Heading1"/>
      </w:pPr>
      <w:r>
        <w:t xml:space="preserve">9. Automation &amp; follow-up engine</w:t>
      </w:r>
    </w:p>
    <w:p>
      <w:pPr>
        <w:spacing w:after="120"/>
      </w:pPr>
      <w:r>
        <w:t xml:space="preserve">A fixed catalog of automations (booking confirmation, 1-day and same-day reminders, post-consultation, 7-day follow-up, 3-month check-in, review request, no-response, abandoned-booking recovery, clinic-no-reply). Every automation passes six gates before it fires.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178"/>
          <w:sz w:val="18"/>
          <w:szCs w:val="18"/>
        </w:rPr>
        <w:t xml:space="preserve">Figure 5 — The six gates before any automation fires</w:t>
      </w:r>
    </w:p>
    <w:p>
      <w:pPr>
        <w:spacing w:after="120"/>
      </w:pPr>
      <w:r>
        <w:t xml:space="preserve">Cancellation cascades to all pending automations for an appointment. An auto-completion job runs every 30 minutes, marking appointments complete 30+ minutes after end time and triggering post-visit automations.</w:t>
      </w:r>
    </w:p>
    <w:p>
      <w:pPr>
        <w:pStyle w:val="Heading1"/>
      </w:pPr>
      <w:r>
        <w:t xml:space="preserve">10. Integrations &amp; n8n bridge</w:t>
      </w:r>
    </w:p>
    <w:p>
      <w:pPr>
        <w:spacing w:after="120"/>
      </w:pPr>
      <w:r>
        <w:t xml:space="preserve">Philosophy: Docmee is the source of communication data; external tools are the destination. Data flows outward; no inbound sync.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Sheets export (lead/appointment fields on trigger events) — via the integrations Google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 webhook — POST to a configured URL, HMAC-SHA256 signed, 3 retries with backoff.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 bridge (workflow customization) — clinics build arbitrary workflows visually in n8n. Docmee exposes event triggers (the CRM webhook surface) and a small gated action API (send-templated-message, add-note, tag-patient, schedule). n8n orchestrates but cannot bypass the six automation gates, the Meta-approved-template rule, clinic isolation, or opt-out. It is a bridge, not a native in-panel builder.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platform — link-only; the review-request automation sends the configured URL.</w:t>
      </w:r>
    </w:p>
    <w:p>
      <w:pPr>
        <w:spacing w:after="120"/>
      </w:pPr>
      <w:r>
        <w:t xml:space="preserve">All integration credentials are write-only after initial save.</w:t>
      </w:r>
    </w:p>
    <w:p>
      <w:pPr>
        <w:pStyle w:val="Heading1"/>
      </w:pPr>
      <w:r>
        <w:t xml:space="preserve">11.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60"/>
        <w:gridCol w:w="26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Channels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Emergency, human requested, patient upset — cannot be disabled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panel + email + push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 failed, appointment needed, no-response; high-intent leads upgrade P3→P2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panel + email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lead, confirmation, audio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panel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Daily digest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Escalation chain for unacknowledged urgent alerts: 10 min → assigned secretary · 20 → all secretaries · 30 → clinic admin · 60 → IA Studio admin. Deduplication: same type + same conversation within 5 minutes is suppressed. Quiet hours apply to P3/P4 only. Email via Resend.</w:t>
      </w:r>
    </w:p>
    <w:p>
      <w:pPr>
        <w:pStyle w:val="Heading1"/>
      </w:pPr>
      <w:r>
        <w:t xml:space="preserve">12. Queues &amp; workers</w:t>
      </w:r>
    </w:p>
    <w:p>
      <w:pPr>
        <w:spacing w:after="120"/>
      </w:pPr>
      <w:r>
        <w:t xml:space="preserve">Six queues: inbound, outbound, transcription, followup, notification, dead-letter.</w:t>
      </w:r>
    </w:p>
    <w:p>
      <w:pPr>
        <w:spacing w:after="120"/>
      </w:pPr>
      <w:r>
        <w:t xml:space="preserve">Workers: one consumer per active queue (inbound/conversation processor, outbound sender, transcription, followup/automation, notification, DLQ drain).</w:t>
      </w:r>
    </w:p>
    <w:p>
      <w:pPr>
        <w:spacing w:after="120"/>
      </w:pPr>
      <w:r>
        <w:t xml:space="preserve">Scheduled jobs: appointment auto-completion (every 30 min), metrics pre-aggregation, report schedules. Retry policies per queue; failures route to the dead-letter queue.</w:t>
      </w:r>
    </w:p>
    <w:p>
      <w:pPr>
        <w:pStyle w:val="Heading1"/>
      </w:pPr>
      <w:r>
        <w:t xml:space="preserve">13. Billing &amp; IA Studio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300"/>
        <w:gridCol w:w="1900"/>
        <w:gridCol w:w="1500"/>
        <w:gridCol w:w="1300"/>
        <w:gridCol w:w="1500"/>
      </w:tblGrid>
      <w:tr>
        <w:trPr>
          <w:tblHeader/>
        </w:trP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Channels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Doctors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$99/mo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Growth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$199/mo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$349/mo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 Plus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$549/mo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Unlimited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Add-ons: channel +$29 · doctor +$19 · priority support +$49 · 500 conversations +$45. Trial: 14 days on Growth. Usage: one conversation per period at creation; alert at 80%; overage per plan rate. Invoicing: manual by IA Studio → Stripe later.</w:t>
      </w:r>
    </w:p>
    <w:p>
      <w:pPr>
        <w:spacing w:after="120"/>
      </w:pPr>
      <w:r>
        <w:t xml:space="preserve">IA Studio: platform feature flags (all clinics / by plan / by clinic ID, runtime); impersonation (read-only default, 30-min max, fully logged). Clinic deactivation: pause bot → cancel pending automations → revoke sessions → status inactive → subscription cancelled → alert admin → audit log.</w:t>
      </w:r>
    </w:p>
    <w:p>
      <w:pPr>
        <w:pStyle w:val="Heading1"/>
      </w:pPr>
      <w:r>
        <w:t xml:space="preserve">14. Deployment &amp; operating model</w:t>
      </w:r>
    </w:p>
    <w:p>
      <w:pPr>
        <w:spacing w:after="120"/>
      </w:pPr>
      <w:r>
        <w:t xml:space="preserve">Central, multi-tenant SaaS. Many clinic tenants share one Docmee platform; per-clinic isolation is enforced by RLS in the database. A self-hosted, licensed install is a documented future mode.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178"/>
          <w:sz w:val="18"/>
          <w:szCs w:val="18"/>
        </w:rPr>
        <w:t xml:space="preserve">Figure 6 — Central multi-tenant SaaS topology</w:t>
      </w:r>
    </w:p>
    <w:p>
      <w:pPr>
        <w:pStyle w:val="Heading1"/>
      </w:pPr>
      <w:r>
        <w:t xml:space="preserve">15. Technology stack (locked decisions)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Package manager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pnpm workspaces (monorepo)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Fastify 4+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(PostgreSQL + pgvector), us-east-1, no ORM (DAL)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Queue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BullMQ on Redis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LLM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 Sonnet 4.6 (claude-sonnet-4-6)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Intent classifier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DeepSeek V4 Flash — intent only, no fallback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KB embeddings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OpenAI text-embedding-3-small (1536 dims)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Transcription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Deepgram Nova-3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Resend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Calendar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Calendar API (calendar.events scope)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Next.js 14 App Router · shadcn/ui · Tailwind · Zustand · TanStack Query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Real-time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Realtime + WebSocket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i18n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next-intl (Spanish default, English toggle)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Caddy (auto-SSL)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License signing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Ed25519 (future commercial mode)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 validation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Language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TypeScript everywhere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Migrations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Forward-only, numbered 001–011+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Module boundary rule (ESLint-enforced): one external SDK per owning module. @supabase/supabase-js→db client; bullmq→queue provider; @anthropic-ai/sdk→llm claude provider; openai/deepseek→llm providers; resend→notifications email channel; googleapis→integrations Google client (calendar.ts + sheets.ts submodules); deepgram→channels transcription provider.</w:t>
      </w:r>
    </w:p>
    <w:p>
      <w:pPr>
        <w:pStyle w:val="Heading1"/>
      </w:pPr>
      <w:r>
        <w:t xml:space="preserve">16. Core principles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Soft enforcement — limits block new growth only, never a live clinic; the patient never sees an error.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Clinic isolation is absolute — every query/LLM call/vector search scoped to clinic_id; RLS is the final layer; clinic_id comes from the JWT and never enters a prompt.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residency drives LLM selection — DeepSeek intent-only (no fallback); Claude conversation; OpenAI embeddings.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LLM is swappable — nothing calls a provider directly; all via the gateway.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ORM — DAL only — explicit allowlist of agent operations; field-level, logged writes; no deletes.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Module boundaries enforced — one external SDK per owning module.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Migrations forward-only and additive.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KB grounding only — no general-LLM fallback below threshold; rules KB injected in full.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Communication records, never medical records.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log append-only; appointments/patients never hard-deleted; duplicates merged.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UTC storage, clinic-local at display; Calendar is source of truth for appointment datetime.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Crash recovery by design — stateless app; state in DB/cache; resumable.</w:t>
      </w:r>
    </w:p>
    <w:p>
      <w:pPr>
        <w:pStyle w:val="Heading1"/>
      </w:pPr>
      <w:r>
        <w:t xml:space="preserve">17. Future modes (placeholders — not imposed)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Commercial license control — Ed25519-signed licenses, standalone license server, heartbeat worker, and a fourth “license grants” gate. Soft-enforcement contract still applies if enabled.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Self-hosted deployment — Tauri installer + Caddy automation for per-VPS installs, and a control plane for managing many installs.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Self-hosted LLM — Claude now; a RunPod-hosted model is a Rollout-3 cost-optimization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 — only if the PWA proves insufficient.</w:t>
      </w:r>
    </w:p>
    <w:p>
      <w:pPr>
        <w:pStyle w:val="Heading1"/>
      </w:pPr>
      <w:r>
        <w:t xml:space="preserve">18. Phase plan (rollout backbone)</w:t>
      </w:r>
    </w:p>
    <w:p>
      <w:pPr>
        <w:spacing w:after="120"/>
      </w:pPr>
      <w:r>
        <w:t xml:space="preserve">Rollout phases are the canonical plan; engineering build order is nested as the construction sequence within each phase (concentrated in Phases 0–1). Each phase has an acceptance gate before the next begins.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Focus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 items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— Foundation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Multi-tenant data model, auth, WhatsApp connection, Meta compliance baseline, receive/send loop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1A — Core Inbox + Bot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Working bot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Per-clinic KB, unified inbox, bot mode, handoff rule, audio transcription, medical-safety rules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1B — Human Inbox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Secretaries + data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Secretary inbox, patient data capture, tags/statuses, internal notes, basic notifications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1C — Scheduling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Calendar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Calendar integration, appointment flow, status in inbox, fallback to secretary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2A — Multi-User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 operation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Assignment, alerts, quick replies, IA Studio admin panel, role-based panel, manual invoicing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2B — Channel Expansion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Messenger + Instagram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 integration, unified inbox display, channel filtering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2C — History + Follow-up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 + automation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history, follow-up automations, review requests, approved templates, consent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2D — Metrics + Errors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Visibility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Metrics dashboard, error review, quality monitoring, automatic reports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3A — Multi-Doctor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Multi-doctor model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Doctor profiles + calendars, doctor/specialty routing, per-doctor KB and tone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3B — Advanced Bot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Tone control, clinic rules engine, custom flows, internal secretary assistant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3C — Integrations + Docs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Extensibility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training, Sheets / CRM / n8n, advanced analytics, scheduled reports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3D — Mobile + Notifications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PWA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PWA install + push, multi-channel notifications (native only if PWA insufficient)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F4F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A9D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f7cbef5a7c157b1971e8d4fcbc9f29b42fdcf7.png"/><Relationship Id="rId8" Type="http://schemas.openxmlformats.org/officeDocument/2006/relationships/image" Target="media/83a961c11c6744265fa6c83f7ff50fe4a676fd87.png"/><Relationship Id="rId9" Type="http://schemas.openxmlformats.org/officeDocument/2006/relationships/image" Target="media/c567af812f3b2c085959650e58cba5050101f8b1.png"/><Relationship Id="rId10" Type="http://schemas.openxmlformats.org/officeDocument/2006/relationships/image" Target="media/507dc4ac8d9961d88fc9411fd41522256cd7714e.png"/><Relationship Id="rId11" Type="http://schemas.openxmlformats.org/officeDocument/2006/relationships/image" Target="media/c0ed760fc627a8670a8005eebe22b8351fbe06be.png"/><Relationship Id="rId12" Type="http://schemas.openxmlformats.org/officeDocument/2006/relationships/image" Target="media/dc79cefb6a06b8fb6b0f0d0a96a1ac2be32045d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2026-06-13T19:23:16.560Z</dcterms:created>
  <dcterms:modified xsi:type="dcterms:W3CDTF">2026-06-13T19:23:16.560Z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