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F4E79"/>
          <w:sz w:val="48"/>
          <w:szCs w:val="48"/>
        </w:rPr>
        <w:t xml:space="preserve">M-LIGHT CP-3</w:t>
      </w:r>
    </w:p>
    <w:p>
      <w:pPr>
        <w:spacing w:after="200"/>
        <w:jc w:val="center"/>
      </w:pPr>
      <w:r>
        <w:rPr>
          <w:rFonts w:ascii="Arial" w:cs="Arial" w:eastAsia="Arial" w:hAnsi="Arial"/>
          <w:color w:val="1F4E79"/>
          <w:sz w:val="36"/>
          <w:szCs w:val="36"/>
        </w:rPr>
        <w:t xml:space="preserve">Mendelian Randomization Study</w:t>
      </w:r>
    </w:p>
    <w:p>
      <w:pPr>
        <w:spacing w:after="80"/>
        <w:jc w:val="center"/>
      </w:pPr>
      <w:r>
        <w:rPr>
          <w:rFonts w:ascii="Arial" w:cs="Arial" w:eastAsia="Arial" w:hAnsi="Arial"/>
          <w:i/>
          <w:iCs/>
          <w:color w:val="666666"/>
          <w:sz w:val="24"/>
          <w:szCs w:val="24"/>
        </w:rPr>
        <w:t xml:space="preserve">Causal Pathway Validation for OPN5-Dopamine-Hippo-YAP-Sclera Cascade</w:t>
      </w:r>
    </w:p>
    <w:p>
      <w:pPr>
        <w:spacing w:after="400"/>
      </w:pPr>
    </w:p>
    <w:p>
      <w:pPr>
        <w:pBdr>
          <w:top w:val="single" w:color="1F4E79" w:sz="2" w:space="8"/>
          <w:bottom w:val="single" w:color="1F4E79" w:sz="2" w:space="8"/>
        </w:pBdr>
        <w:spacing w:after="200" w:before="200"/>
        <w:jc w:val="center"/>
      </w:pPr>
      <w:r>
        <w:rPr>
          <w:rFonts w:ascii="Arial" w:cs="Arial" w:eastAsia="Arial" w:hAnsi="Arial"/>
          <w:b/>
          <w:bCs/>
          <w:color w:val="333333"/>
          <w:sz w:val="28"/>
          <w:szCs w:val="28"/>
        </w:rPr>
        <w:t xml:space="preserve">Product Requirements Document (PRD)</w:t>
      </w:r>
    </w:p>
    <w:p>
      <w:pPr>
        <w:spacing w:after="300"/>
      </w:pPr>
    </w:p>
    <w:p>
      <w:pPr>
        <w:spacing w:after="120" w:before="0" w:line="276"/>
        <w:jc w:val="center"/>
      </w:pPr>
      <w:r>
        <w:rPr>
          <w:rFonts w:ascii="Arial" w:cs="Arial" w:eastAsia="Arial" w:hAnsi="Arial"/>
          <w:color w:val="888888"/>
          <w:sz w:val="22"/>
          <w:szCs w:val="22"/>
        </w:rPr>
        <w:t xml:space="preserve">Version 1.0  |  April 2026</w:t>
      </w:r>
    </w:p>
    <w:p>
      <w:pPr>
        <w:spacing w:after="100"/>
      </w:pPr>
    </w:p>
    <w:p>
      <w:pPr>
        <w:spacing w:after="120" w:before="0" w:line="276"/>
        <w:jc w:val="center"/>
      </w:pPr>
      <w:r>
        <w:rPr>
          <w:rFonts w:ascii="Arial" w:cs="Arial" w:eastAsia="Arial" w:hAnsi="Arial"/>
          <w:b/>
          <w:bCs/>
          <w:color w:val="333333"/>
          <w:sz w:val="24"/>
          <w:szCs w:val="24"/>
        </w:rPr>
        <w:t xml:space="preserve">Park Jungyul, MD, PhD</w:t>
      </w:r>
    </w:p>
    <w:p>
      <w:pPr>
        <w:spacing w:after="120" w:before="0" w:line="276"/>
        <w:jc w:val="center"/>
      </w:pPr>
      <w:r>
        <w:rPr>
          <w:rFonts w:ascii="Arial" w:cs="Arial" w:eastAsia="Arial" w:hAnsi="Arial"/>
          <w:color w:val="666666"/>
          <w:sz w:val="21"/>
          <w:szCs w:val="21"/>
        </w:rPr>
        <w:t xml:space="preserve">Department of Ophthalmology, Seoul St. Mary’s Hospital</w:t>
      </w:r>
    </w:p>
    <w:p>
      <w:pPr>
        <w:spacing w:after="120" w:before="0" w:line="276"/>
        <w:jc w:val="center"/>
      </w:pPr>
      <w:r>
        <w:rPr>
          <w:rFonts w:ascii="Arial" w:cs="Arial" w:eastAsia="Arial" w:hAnsi="Arial"/>
          <w:color w:val="666666"/>
          <w:sz w:val="21"/>
          <w:szCs w:val="21"/>
        </w:rPr>
        <w:t xml:space="preserve">Catholic University of Korea</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Document ID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MLIGHT-CP3-PRD-v1.0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Status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Draft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Classification</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 / Confidential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Last Updated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2026-04-10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Prepared by</w:t>
            </w:r>
          </w:p>
        </w:tc>
        <w:tc>
          <w:tcPr>
            <w:tcW w:type="dxa" w:w="6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Park Jungyul (PI) + Claude AI (Research Assistant)</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before="0" w:line="276"/>
        <w:jc w:val="left"/>
      </w:pPr>
      <w:r>
        <w:rPr>
          <w:rFonts w:ascii="Arial" w:cs="Arial" w:eastAsia="Arial" w:hAnsi="Arial"/>
          <w:color w:val="333333"/>
          <w:sz w:val="22"/>
          <w:szCs w:val="22"/>
        </w:rPr>
        <w:t xml:space="preserve">CP-3는 M-LIGHT 중앙 가설의 인과관계(causality)를 유전역학적으로 검증하는 Mendelian Randomization(MR) 연구이다. 관찰연구로는 확립할 수 없는 인과적 방향성을 GWAS summary statistics 기반의 Two-Sample MR로 증명하여, NRF/KHIDI grant 신청의 핵심 preliminary data를 확보한다.</w:t>
      </w:r>
    </w:p>
    <w:p>
      <w:pPr>
        <w:spacing w:after="80" w:before="160"/>
      </w:pPr>
      <w:r>
        <w:rPr>
          <w:rFonts w:ascii="Arial" w:cs="Arial" w:eastAsia="Arial" w:hAnsi="Arial"/>
          <w:b/>
          <w:bCs/>
          <w:color w:val="1F4E79"/>
          <w:sz w:val="23"/>
          <w:szCs w:val="23"/>
        </w:rPr>
        <w:t xml:space="preserve">1.1 핵심 검증 대상</w:t>
      </w:r>
    </w:p>
    <w:p>
      <w:pPr>
        <w:spacing w:after="120" w:before="0" w:line="276"/>
        <w:jc w:val="left"/>
      </w:pPr>
      <w:r>
        <w:rPr>
          <w:rFonts w:ascii="Arial" w:cs="Arial" w:eastAsia="Arial" w:hAnsi="Arial"/>
          <w:color w:val="333333"/>
          <w:sz w:val="22"/>
          <w:szCs w:val="22"/>
        </w:rPr>
        <w:t xml:space="preserve">M-LIGHT cascade의 각 단계별 인과관계를 독립적으로 검증한다:</w:t>
      </w:r>
    </w:p>
    <w:p>
      <w:pPr>
        <w:pStyle w:val="ListParagraph"/>
        <w:numPr>
          <w:ilvl w:val="0"/>
          <w:numId w:val="2"/>
        </w:numPr>
        <w:spacing w:after="60" w:line="276"/>
      </w:pPr>
      <w:r>
        <w:rPr>
          <w:rFonts w:ascii="Arial" w:cs="Arial" w:eastAsia="Arial" w:hAnsi="Arial"/>
          <w:color w:val="333333"/>
          <w:sz w:val="21"/>
          <w:szCs w:val="21"/>
        </w:rPr>
        <w:t xml:space="preserve">빛/OPN5 → 도파민 경로: TH, DDC, DRD1, DRD2, COMT 유전변이 → 근시/안축장</w:t>
      </w:r>
    </w:p>
    <w:p>
      <w:pPr>
        <w:pStyle w:val="ListParagraph"/>
        <w:numPr>
          <w:ilvl w:val="0"/>
          <w:numId w:val="2"/>
        </w:numPr>
        <w:spacing w:after="60" w:line="276"/>
      </w:pPr>
      <w:r>
        <w:rPr>
          <w:rFonts w:ascii="Arial" w:cs="Arial" w:eastAsia="Arial" w:hAnsi="Arial"/>
          <w:color w:val="333333"/>
          <w:sz w:val="21"/>
          <w:szCs w:val="21"/>
        </w:rPr>
        <w:t xml:space="preserve">도파민 → Hippo-YAP 축: LATS1/2, YAP1, TEAD1, WWTR1 유전변이 → 근시</w:t>
      </w:r>
    </w:p>
    <w:p>
      <w:pPr>
        <w:pStyle w:val="ListParagraph"/>
        <w:numPr>
          <w:ilvl w:val="0"/>
          <w:numId w:val="2"/>
        </w:numPr>
        <w:spacing w:after="60" w:line="276"/>
      </w:pPr>
      <w:r>
        <w:rPr>
          <w:rFonts w:ascii="Arial" w:cs="Arial" w:eastAsia="Arial" w:hAnsi="Arial"/>
          <w:color w:val="333333"/>
          <w:sz w:val="21"/>
          <w:szCs w:val="21"/>
        </w:rPr>
        <w:t xml:space="preserve">Muscarinic receptor: CHRM1-5 유전변이 → 근시 (아트로핀 기전 규명)</w:t>
      </w:r>
    </w:p>
    <w:p>
      <w:pPr>
        <w:pStyle w:val="ListParagraph"/>
        <w:numPr>
          <w:ilvl w:val="0"/>
          <w:numId w:val="2"/>
        </w:numPr>
        <w:spacing w:after="60" w:line="276"/>
      </w:pPr>
      <w:r>
        <w:rPr>
          <w:rFonts w:ascii="Arial" w:cs="Arial" w:eastAsia="Arial" w:hAnsi="Arial"/>
          <w:color w:val="333333"/>
          <w:sz w:val="21"/>
          <w:szCs w:val="21"/>
        </w:rPr>
        <w:t xml:space="preserve">Adrenergic receptor: ADRA2A 유전변이 → 근시 (대안 타겟 검증)</w:t>
      </w:r>
    </w:p>
    <w:p>
      <w:pPr>
        <w:pStyle w:val="ListParagraph"/>
        <w:numPr>
          <w:ilvl w:val="0"/>
          <w:numId w:val="2"/>
        </w:numPr>
        <w:spacing w:after="60" w:line="276"/>
      </w:pPr>
      <w:r>
        <w:rPr>
          <w:rFonts w:ascii="Arial" w:cs="Arial" w:eastAsia="Arial" w:hAnsi="Arial"/>
          <w:color w:val="333333"/>
          <w:sz w:val="21"/>
          <w:szCs w:val="21"/>
        </w:rPr>
        <w:t xml:space="preserve">HIF-1α/TGFβ/공막: HIF1A, TGFB1, LOX 유전변이 → 근시</w:t>
      </w:r>
    </w:p>
    <w:p>
      <w:pPr>
        <w:spacing w:after="80" w:before="160"/>
      </w:pPr>
      <w:r>
        <w:rPr>
          <w:rFonts w:ascii="Arial" w:cs="Arial" w:eastAsia="Arial" w:hAnsi="Arial"/>
          <w:b/>
          <w:bCs/>
          <w:color w:val="1F4E79"/>
          <w:sz w:val="23"/>
          <w:szCs w:val="23"/>
        </w:rPr>
        <w:t xml:space="preserve">1.2 예상 산출물</w:t>
      </w:r>
    </w:p>
    <w:p>
      <w:pPr>
        <w:pStyle w:val="ListParagraph"/>
        <w:numPr>
          <w:ilvl w:val="0"/>
          <w:numId w:val="2"/>
        </w:numPr>
        <w:spacing w:after="60" w:line="276"/>
      </w:pPr>
      <w:r>
        <w:rPr>
          <w:rFonts w:ascii="Arial" w:cs="Arial" w:eastAsia="Arial" w:hAnsi="Arial"/>
          <w:color w:val="333333"/>
          <w:sz w:val="21"/>
          <w:szCs w:val="21"/>
        </w:rPr>
        <w:t xml:space="preserve">SCI 논문 1편: Ophthalmology 또는 British Journal of Ophthalmology (IF 5-14)</w:t>
      </w:r>
    </w:p>
    <w:p>
      <w:pPr>
        <w:pStyle w:val="ListParagraph"/>
        <w:numPr>
          <w:ilvl w:val="0"/>
          <w:numId w:val="2"/>
        </w:numPr>
        <w:spacing w:after="60" w:line="276"/>
      </w:pPr>
      <w:r>
        <w:rPr>
          <w:rFonts w:ascii="Arial" w:cs="Arial" w:eastAsia="Arial" w:hAnsi="Arial"/>
          <w:color w:val="333333"/>
          <w:sz w:val="21"/>
          <w:szCs w:val="21"/>
        </w:rPr>
        <w:t xml:space="preserve">Grant preliminary data: M-LIGHT cascade 전체의 유전적 인과관계 증거</w:t>
      </w:r>
    </w:p>
    <w:p>
      <w:pPr>
        <w:pStyle w:val="ListParagraph"/>
        <w:numPr>
          <w:ilvl w:val="0"/>
          <w:numId w:val="2"/>
        </w:numPr>
        <w:spacing w:after="60" w:line="276"/>
      </w:pPr>
      <w:r>
        <w:rPr>
          <w:rFonts w:ascii="Arial" w:cs="Arial" w:eastAsia="Arial" w:hAnsi="Arial"/>
          <w:color w:val="333333"/>
          <w:sz w:val="21"/>
          <w:szCs w:val="21"/>
        </w:rPr>
        <w:t xml:space="preserve">CP-1/CP-2와의 삼각검증(triangulation) 데이터</w:t>
      </w:r>
    </w:p>
    <w:p>
      <w:pPr>
        <w:spacing w:after="80" w:before="160"/>
      </w:pPr>
      <w:r>
        <w:rPr>
          <w:rFonts w:ascii="Arial" w:cs="Arial" w:eastAsia="Arial" w:hAnsi="Arial"/>
          <w:b/>
          <w:bCs/>
          <w:color w:val="1F4E79"/>
          <w:sz w:val="23"/>
          <w:szCs w:val="23"/>
        </w:rPr>
        <w:t xml:space="preserve">1.3 핵심 차별화</w:t>
      </w:r>
    </w:p>
    <w:p>
      <w:pPr>
        <w:spacing w:after="120" w:before="0" w:line="276"/>
        <w:jc w:val="left"/>
      </w:pPr>
      <w:r>
        <w:rPr>
          <w:rFonts w:ascii="Arial" w:cs="Arial" w:eastAsia="Arial" w:hAnsi="Arial"/>
          <w:color w:val="333333"/>
          <w:sz w:val="22"/>
          <w:szCs w:val="22"/>
        </w:rPr>
        <w:t xml:space="preserve">기존 MR 연구들은 단일 노출(예: 도파민만, 또는 야외활동만)을 검증했다. CP-3는 M-LIGHT cascade의 모든 구성 요소(도파민, Hippo-YAP, muscarinic, adrenergic, HIF-1α/TGFβ)를 하나의 framework 안에서 체계적으로 검증하는 최초의 연구이다.</w:t>
      </w:r>
    </w:p>
    <w:p>
      <w:r>
        <w:br w:type="page"/>
      </w:r>
    </w:p>
    <w:p>
      <w:pPr>
        <w:pStyle w:val="Heading1"/>
      </w:pPr>
      <w:r>
        <w:t xml:space="preserve">2. Background &amp; Scientific Rationale</w:t>
      </w:r>
    </w:p>
    <w:p>
      <w:pPr>
        <w:spacing w:after="80" w:before="160"/>
      </w:pPr>
      <w:r>
        <w:rPr>
          <w:rFonts w:ascii="Arial" w:cs="Arial" w:eastAsia="Arial" w:hAnsi="Arial"/>
          <w:b/>
          <w:bCs/>
          <w:color w:val="1F4E79"/>
          <w:sz w:val="23"/>
          <w:szCs w:val="23"/>
        </w:rPr>
        <w:t xml:space="preserve">2.1 Mendelian Randomization 원리</w:t>
      </w:r>
    </w:p>
    <w:p>
      <w:pPr>
        <w:spacing w:after="120" w:before="0" w:line="276"/>
        <w:jc w:val="left"/>
      </w:pPr>
      <w:r>
        <w:rPr>
          <w:rFonts w:ascii="Arial" w:cs="Arial" w:eastAsia="Arial" w:hAnsi="Arial"/>
          <w:color w:val="333333"/>
          <w:sz w:val="22"/>
          <w:szCs w:val="22"/>
        </w:rPr>
        <w:t xml:space="preserve">MR은 유전변이를 도구변수(instrumental variable, IV)로 활용하여 노출(exposure)과 결과(outcome) 간의 인과관계를 추론하는 역학적 방법이다. 유전변이는 수정 시 무작위로 배정되므로(Mendel’s second law), 환경적 교란변수(confounding)와 역인과(reverse causation)로부터 자유롭다.</w:t>
      </w:r>
    </w:p>
    <w:p>
      <w:pPr>
        <w:spacing w:after="80" w:before="160"/>
      </w:pPr>
      <w:r>
        <w:rPr>
          <w:rFonts w:ascii="Arial" w:cs="Arial" w:eastAsia="Arial" w:hAnsi="Arial"/>
          <w:b/>
          <w:bCs/>
          <w:color w:val="1F4E79"/>
          <w:sz w:val="23"/>
          <w:szCs w:val="23"/>
        </w:rPr>
        <w:t xml:space="preserve">2.2 MR의 3가지 핵심 가정 (IV Assumptions)</w:t>
      </w:r>
    </w:p>
    <w:p>
      <w:pPr>
        <w:pStyle w:val="ListParagraph"/>
        <w:numPr>
          <w:ilvl w:val="0"/>
          <w:numId w:val="3"/>
        </w:numPr>
        <w:spacing w:after="60" w:line="276"/>
      </w:pPr>
      <w:r>
        <w:rPr>
          <w:rFonts w:ascii="Arial" w:cs="Arial" w:eastAsia="Arial" w:hAnsi="Arial"/>
          <w:color w:val="333333"/>
          <w:sz w:val="21"/>
          <w:szCs w:val="21"/>
        </w:rPr>
        <w:t xml:space="preserve">Relevance: 도구변수(SNP)가 노출과 유의하게 연관되어야 한다 (F-statistic &gt; 10)</w:t>
      </w:r>
    </w:p>
    <w:p>
      <w:pPr>
        <w:pStyle w:val="ListParagraph"/>
        <w:numPr>
          <w:ilvl w:val="0"/>
          <w:numId w:val="3"/>
        </w:numPr>
        <w:spacing w:after="60" w:line="276"/>
      </w:pPr>
      <w:r>
        <w:rPr>
          <w:rFonts w:ascii="Arial" w:cs="Arial" w:eastAsia="Arial" w:hAnsi="Arial"/>
          <w:color w:val="333333"/>
          <w:sz w:val="21"/>
          <w:szCs w:val="21"/>
        </w:rPr>
        <w:t xml:space="preserve">Independence: 도구변수가 교란변수와 독립이어야 한다</w:t>
      </w:r>
    </w:p>
    <w:p>
      <w:pPr>
        <w:pStyle w:val="ListParagraph"/>
        <w:numPr>
          <w:ilvl w:val="0"/>
          <w:numId w:val="3"/>
        </w:numPr>
        <w:spacing w:after="60" w:line="276"/>
      </w:pPr>
      <w:r>
        <w:rPr>
          <w:rFonts w:ascii="Arial" w:cs="Arial" w:eastAsia="Arial" w:hAnsi="Arial"/>
          <w:color w:val="333333"/>
          <w:sz w:val="21"/>
          <w:szCs w:val="21"/>
        </w:rPr>
        <w:t xml:space="preserve">Exclusion restriction: 도구변수가 노출을 통해서만 결과에 영향을 미쳐야 한다 (no horizontal pleiotropy)</w:t>
      </w:r>
    </w:p>
    <w:p>
      <w:pPr>
        <w:spacing w:after="80" w:before="160"/>
      </w:pPr>
      <w:r>
        <w:rPr>
          <w:rFonts w:ascii="Arial" w:cs="Arial" w:eastAsia="Arial" w:hAnsi="Arial"/>
          <w:b/>
          <w:bCs/>
          <w:color w:val="1F4E79"/>
          <w:sz w:val="23"/>
          <w:szCs w:val="23"/>
        </w:rPr>
        <w:t xml:space="preserve">2.3 Two-Sample MR</w:t>
      </w:r>
    </w:p>
    <w:p>
      <w:pPr>
        <w:spacing w:after="120" w:before="0" w:line="276"/>
        <w:jc w:val="left"/>
      </w:pPr>
      <w:r>
        <w:rPr>
          <w:rFonts w:ascii="Arial" w:cs="Arial" w:eastAsia="Arial" w:hAnsi="Arial"/>
          <w:color w:val="333333"/>
          <w:sz w:val="22"/>
          <w:szCs w:val="22"/>
        </w:rPr>
        <w:t xml:space="preserve">노출 GWAS와 결과 GWAS가 서로 다른 코호트에서 수행된 경우, summary statistics만으로 MR 분석이 가능하다. 이를 Two-Sample MR이라 하며, 개인 수준 데이터 없이 공개된 GWAS 요약 통계만으로 실행할 수 있어 CP-3의 핵심 방법론이다.</w:t>
      </w:r>
    </w:p>
    <w:p>
      <w:pPr>
        <w:spacing w:after="80" w:before="160"/>
      </w:pPr>
      <w:r>
        <w:rPr>
          <w:rFonts w:ascii="Arial" w:cs="Arial" w:eastAsia="Arial" w:hAnsi="Arial"/>
          <w:b/>
          <w:bCs/>
          <w:color w:val="1F4E79"/>
          <w:sz w:val="23"/>
          <w:szCs w:val="23"/>
        </w:rPr>
        <w:t xml:space="preserve">2.4 M-LIGHT Cascade와 MR 검증 로직</w:t>
      </w:r>
    </w:p>
    <w:p>
      <w:pPr>
        <w:spacing w:after="120" w:before="0" w:line="276"/>
        <w:jc w:val="left"/>
      </w:pPr>
      <w:r>
        <w:rPr>
          <w:rFonts w:ascii="Arial" w:cs="Arial" w:eastAsia="Arial" w:hAnsi="Arial"/>
          <w:color w:val="333333"/>
          <w:sz w:val="22"/>
          <w:szCs w:val="22"/>
        </w:rPr>
        <w:t xml:space="preserve">M-LIGHT 중앙 가설의 각 단계를 개별 MR 분석으로 검증한다. 만약 특정 경로의 유전변이가 근시와 인과적으로 연관되면, 해당 경로가 근시 발생에 causal role을 한다는 유전적 증거가 된다. 모든 경로가 양성이면 전체 cascade의 인과적 타당성이 강력하게 지지된다.</w:t>
      </w:r>
    </w:p>
    <w:p>
      <w:r>
        <w:br w:type="page"/>
      </w:r>
    </w:p>
    <w:p>
      <w:pPr>
        <w:pStyle w:val="Heading1"/>
      </w:pPr>
      <w:r>
        <w:t xml:space="preserve">3. Data Sources</w:t>
      </w:r>
    </w:p>
    <w:p>
      <w:pPr>
        <w:spacing w:after="80" w:before="160"/>
      </w:pPr>
      <w:r>
        <w:rPr>
          <w:rFonts w:ascii="Arial" w:cs="Arial" w:eastAsia="Arial" w:hAnsi="Arial"/>
          <w:b/>
          <w:bCs/>
          <w:color w:val="1F4E79"/>
          <w:sz w:val="23"/>
          <w:szCs w:val="23"/>
        </w:rPr>
        <w:t xml:space="preserve">3.1 Outcome GWAS (결과 변수)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200"/>
        <w:gridCol w:w="29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Outcome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Sample Size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Ancestry</w:t>
            </w:r>
          </w:p>
        </w:tc>
        <w:tc>
          <w:tcPr>
            <w:tcW w:type="dxa" w:w="2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Access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Myopia (binary)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CREAM Consortium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~160,000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European</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OpenGWAS (ieu-a-1116)</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Refractive error (SER)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UK Biobank + CREAM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~540,000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European</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OpenGWAS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Axial length</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UK Biobank + CREAM</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~80,000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European</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OpenGWAS</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Myopia (binary)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FinnGen r10</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~400,000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Finnish</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FinnGen portal</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Refractive error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BioBank Japan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~170,000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East Asian</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GWAS Catalog</w:t>
            </w:r>
          </w:p>
        </w:tc>
      </w:tr>
    </w:tbl>
    <w:p>
      <w:pPr>
        <w:spacing w:after="80"/>
      </w:pPr>
    </w:p>
    <w:p>
      <w:pPr>
        <w:spacing w:after="120" w:before="0" w:line="276"/>
        <w:jc w:val="left"/>
      </w:pPr>
      <w:r>
        <w:rPr>
          <w:rFonts w:ascii="Arial" w:cs="Arial" w:eastAsia="Arial" w:hAnsi="Arial"/>
          <w:i/>
          <w:iCs/>
          <w:color w:val="333333"/>
          <w:sz w:val="20"/>
          <w:szCs w:val="20"/>
        </w:rPr>
        <w:t xml:space="preserve">참고: 동아시아 데이터(BioBank Japan)를 포함함으로써 한국인 적용 가능성을 강화한다. 다민족 MR은 결과의 일반화 가능성(generalizability)을 높인다.</w:t>
      </w:r>
    </w:p>
    <w:p>
      <w:pPr>
        <w:spacing w:after="80" w:before="160"/>
      </w:pPr>
      <w:r>
        <w:rPr>
          <w:rFonts w:ascii="Arial" w:cs="Arial" w:eastAsia="Arial" w:hAnsi="Arial"/>
          <w:b/>
          <w:bCs/>
          <w:color w:val="1F4E79"/>
          <w:sz w:val="23"/>
          <w:szCs w:val="23"/>
        </w:rPr>
        <w:t xml:space="preserve">3.2 Exposure GWAS (노출 변수)</w:t>
      </w:r>
    </w:p>
    <w:p>
      <w:pPr>
        <w:spacing w:after="80" w:before="0" w:line="276"/>
        <w:jc w:val="left"/>
      </w:pPr>
      <w:r>
        <w:rPr>
          <w:rFonts w:ascii="Arial" w:cs="Arial" w:eastAsia="Arial" w:hAnsi="Arial"/>
          <w:color w:val="333333"/>
          <w:sz w:val="22"/>
          <w:szCs w:val="22"/>
        </w:rPr>
        <w:t xml:space="preserve">각 exposure에 대해 eQTL(expression quantitative trait loci) 또는 pQTL(protein QTL) 데이터를 도구변수로 활용한다.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Pathway</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Exposure Gene(s)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IV Source</w:t>
            </w:r>
          </w:p>
        </w:tc>
        <w:tc>
          <w:tcPr>
            <w:tcW w:type="dxa" w:w="3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Tissue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Dopamine synthesis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 DDC</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(substantia nigra, retina proxy)</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Dopamine receptor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DRD1, DRD2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Dopamine metabolism</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 + pQTL (deCODE)</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blood</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Hippo-YAP</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LATS1, LATS2, YAP1, TEAD1, WWTR1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Fibroblast, connective tissue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Muscarinic (M1)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Muscarinic (M2)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Muscarinic (M4)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Adrenergic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ADRA2A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Hypoxia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HIF1A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 + pQTL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Fibroblast, connective tissue</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TGFβ signaling</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TGFB1, TGFB2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 + pQTL (UKBB-PPP)</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Fibroblast, blood</w:t>
            </w:r>
          </w:p>
        </w:tc>
      </w:tr>
      <w:tr>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Scleral ECM</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LOX, MMP2, MMP9, COL1A1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 eQTL</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Fibroblast, connective tissue</w:t>
            </w:r>
          </w:p>
        </w:tc>
      </w:tr>
    </w:tbl>
    <w:p>
      <w:pPr>
        <w:spacing w:after="80" w:before="160"/>
      </w:pPr>
      <w:r>
        <w:rPr>
          <w:rFonts w:ascii="Arial" w:cs="Arial" w:eastAsia="Arial" w:hAnsi="Arial"/>
          <w:b/>
          <w:bCs/>
          <w:color w:val="1F4E79"/>
          <w:sz w:val="23"/>
          <w:szCs w:val="23"/>
        </w:rPr>
        <w:t xml:space="preserve">3.3 데이터 접근 경로</w:t>
      </w:r>
    </w:p>
    <w:p>
      <w:pPr>
        <w:pStyle w:val="ListParagraph"/>
        <w:numPr>
          <w:ilvl w:val="0"/>
          <w:numId w:val="4"/>
        </w:numPr>
        <w:spacing w:after="60" w:line="276"/>
      </w:pPr>
      <w:r>
        <w:rPr>
          <w:rFonts w:ascii="Arial" w:cs="Arial" w:eastAsia="Arial" w:hAnsi="Arial"/>
          <w:color w:val="333333"/>
          <w:sz w:val="21"/>
          <w:szCs w:val="21"/>
        </w:rPr>
        <w:t xml:space="preserve">OpenGWAS (IEU Bristol): https://gwas.mcp.bristol.ac.uk/ — TwoSampleMR R 패키지로 직접 API 접근</w:t>
      </w:r>
    </w:p>
    <w:p>
      <w:pPr>
        <w:pStyle w:val="ListParagraph"/>
        <w:numPr>
          <w:ilvl w:val="0"/>
          <w:numId w:val="4"/>
        </w:numPr>
        <w:spacing w:after="60" w:line="276"/>
      </w:pPr>
      <w:r>
        <w:rPr>
          <w:rFonts w:ascii="Arial" w:cs="Arial" w:eastAsia="Arial" w:hAnsi="Arial"/>
          <w:color w:val="333333"/>
          <w:sz w:val="21"/>
          <w:szCs w:val="21"/>
        </w:rPr>
        <w:t xml:space="preserve">GTEx v8 Portal: https://gtexportal.org/ — 조직별 eQTL summary statistics 다운로드</w:t>
      </w:r>
    </w:p>
    <w:p>
      <w:pPr>
        <w:pStyle w:val="ListParagraph"/>
        <w:numPr>
          <w:ilvl w:val="0"/>
          <w:numId w:val="4"/>
        </w:numPr>
        <w:spacing w:after="60" w:line="276"/>
      </w:pPr>
      <w:r>
        <w:rPr>
          <w:rFonts w:ascii="Arial" w:cs="Arial" w:eastAsia="Arial" w:hAnsi="Arial"/>
          <w:color w:val="333333"/>
          <w:sz w:val="21"/>
          <w:szCs w:val="21"/>
        </w:rPr>
        <w:t xml:space="preserve">FinnGen r10: https://r10.finngen.fi/ — 핀란드 인구 기반 GWAS</w:t>
      </w:r>
    </w:p>
    <w:p>
      <w:pPr>
        <w:pStyle w:val="ListParagraph"/>
        <w:numPr>
          <w:ilvl w:val="0"/>
          <w:numId w:val="4"/>
        </w:numPr>
        <w:spacing w:after="60" w:line="276"/>
      </w:pPr>
      <w:r>
        <w:rPr>
          <w:rFonts w:ascii="Arial" w:cs="Arial" w:eastAsia="Arial" w:hAnsi="Arial"/>
          <w:color w:val="333333"/>
          <w:sz w:val="21"/>
          <w:szCs w:val="21"/>
        </w:rPr>
        <w:t xml:space="preserve">GWAS Catalog: https://www.ebi.ac.uk/gwas/ — BioBank Japan 등 동아시아 데이터</w:t>
      </w:r>
    </w:p>
    <w:p>
      <w:pPr>
        <w:pStyle w:val="ListParagraph"/>
        <w:numPr>
          <w:ilvl w:val="0"/>
          <w:numId w:val="4"/>
        </w:numPr>
        <w:spacing w:after="60" w:line="276"/>
      </w:pPr>
      <w:r>
        <w:rPr>
          <w:rFonts w:ascii="Arial" w:cs="Arial" w:eastAsia="Arial" w:hAnsi="Arial"/>
          <w:color w:val="333333"/>
          <w:sz w:val="21"/>
          <w:szCs w:val="21"/>
        </w:rPr>
        <w:t xml:space="preserve">deCODE pQTL: https://www.decode.com/summarydata/ — 단백질 수준 도구변수</w:t>
      </w:r>
    </w:p>
    <w:p>
      <w:pPr>
        <w:pStyle w:val="ListParagraph"/>
        <w:numPr>
          <w:ilvl w:val="0"/>
          <w:numId w:val="4"/>
        </w:numPr>
        <w:spacing w:after="60" w:line="276"/>
      </w:pPr>
      <w:r>
        <w:rPr>
          <w:rFonts w:ascii="Arial" w:cs="Arial" w:eastAsia="Arial" w:hAnsi="Arial"/>
          <w:color w:val="333333"/>
          <w:sz w:val="21"/>
          <w:szCs w:val="21"/>
        </w:rPr>
        <w:t xml:space="preserve">UKBB-PPP (UK Biobank Pharma Proteomics Project): 혈중 단백질 pQTL</w:t>
      </w:r>
    </w:p>
    <w:p>
      <w:r>
        <w:br w:type="page"/>
      </w:r>
    </w:p>
    <w:p>
      <w:pPr>
        <w:pStyle w:val="Heading1"/>
      </w:pPr>
      <w:r>
        <w:t xml:space="preserve">4. Study Design</w:t>
      </w:r>
    </w:p>
    <w:p>
      <w:pPr>
        <w:spacing w:after="80" w:before="160"/>
      </w:pPr>
      <w:r>
        <w:rPr>
          <w:rFonts w:ascii="Arial" w:cs="Arial" w:eastAsia="Arial" w:hAnsi="Arial"/>
          <w:b/>
          <w:bCs/>
          <w:color w:val="1F4E79"/>
          <w:sz w:val="23"/>
          <w:szCs w:val="23"/>
        </w:rPr>
        <w:t xml:space="preserve">4.1 Overall Architecture</w:t>
      </w:r>
    </w:p>
    <w:p>
      <w:pPr>
        <w:spacing w:after="120" w:before="0" w:line="276"/>
        <w:jc w:val="left"/>
      </w:pPr>
      <w:r>
        <w:rPr>
          <w:rFonts w:ascii="Arial" w:cs="Arial" w:eastAsia="Arial" w:hAnsi="Arial"/>
          <w:color w:val="333333"/>
          <w:sz w:val="22"/>
          <w:szCs w:val="22"/>
        </w:rPr>
        <w:t xml:space="preserve">CP-3는 총 5개의 MR Analysis Module로 구성되며, 각 모듈은 M-LIGHT cascade의 한 단계를 검증한다. 각 모듈은 독립적으로 실행 가능하지만, 최종적으로 하나의 통합 논문으로 합산한다.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2200"/>
        <w:gridCol w:w="18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Module</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Exposure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Target Genes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Hypothesis</w:t>
            </w:r>
          </w:p>
        </w:tc>
        <w:tc>
          <w:tcPr>
            <w:tcW w:type="dxa" w:w="1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MR-A</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Dopamine pathway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 DDC, DRD1, DRD2, COMT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 ↑ → Myopia ↓</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MR-B</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Hippo-YAP pathway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LATS1/2, YAP1, TEAD1, WWTR1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 ON → Myopia ↓</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MR-C</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Muscarinic receptors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CHRM1, CHRM2, CHRM4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Atropine target ID</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Adrenergic / Non-cholinergic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ADRA2A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Alternative pathway</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HIF-1α / TGFβ / Sclera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HIF1A, TGFB1, LOX, MMP2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Scleral remodeling</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t>
            </w:r>
          </w:p>
        </w:tc>
      </w:tr>
    </w:tbl>
    <w:p>
      <w:pPr>
        <w:spacing w:after="80" w:before="160"/>
      </w:pPr>
      <w:r>
        <w:rPr>
          <w:rFonts w:ascii="Arial" w:cs="Arial" w:eastAsia="Arial" w:hAnsi="Arial"/>
          <w:b/>
          <w:bCs/>
          <w:color w:val="1F4E79"/>
          <w:sz w:val="23"/>
          <w:szCs w:val="23"/>
        </w:rPr>
        <w:t xml:space="preserve">4.2 MR Analysis Pipeline (공통)</w:t>
      </w:r>
    </w:p>
    <w:p>
      <w:pPr>
        <w:spacing w:after="120" w:before="0" w:line="276"/>
        <w:jc w:val="left"/>
      </w:pPr>
      <w:r>
        <w:rPr>
          <w:rFonts w:ascii="Arial" w:cs="Arial" w:eastAsia="Arial" w:hAnsi="Arial"/>
          <w:color w:val="333333"/>
          <w:sz w:val="22"/>
          <w:szCs w:val="22"/>
        </w:rPr>
        <w:t xml:space="preserve">모든 모듈에 적용되는 표준 분석 파이프라인:</w:t>
      </w:r>
    </w:p>
    <w:p>
      <w:pPr>
        <w:pStyle w:val="Heading3"/>
      </w:pPr>
      <w:r>
        <w:t xml:space="preserve">4.2.1 Step 1: Instrument Selection</w:t>
      </w:r>
    </w:p>
    <w:p>
      <w:pPr>
        <w:pStyle w:val="ListParagraph"/>
        <w:numPr>
          <w:ilvl w:val="0"/>
          <w:numId w:val="5"/>
        </w:numPr>
        <w:spacing w:after="60" w:line="276"/>
      </w:pPr>
      <w:r>
        <w:rPr>
          <w:rFonts w:ascii="Arial" w:cs="Arial" w:eastAsia="Arial" w:hAnsi="Arial"/>
          <w:color w:val="333333"/>
          <w:sz w:val="21"/>
          <w:szCs w:val="21"/>
        </w:rPr>
        <w:t xml:space="preserve">eQTL에서 해당 유전자 발현과 genome-wide significant (P &lt; 5×10⁻⁸) SNP 추출</w:t>
      </w:r>
    </w:p>
    <w:p>
      <w:pPr>
        <w:pStyle w:val="ListParagraph"/>
        <w:numPr>
          <w:ilvl w:val="0"/>
          <w:numId w:val="5"/>
        </w:numPr>
        <w:spacing w:after="60" w:line="276"/>
      </w:pPr>
      <w:r>
        <w:rPr>
          <w:rFonts w:ascii="Arial" w:cs="Arial" w:eastAsia="Arial" w:hAnsi="Arial"/>
          <w:color w:val="333333"/>
          <w:sz w:val="21"/>
          <w:szCs w:val="21"/>
        </w:rPr>
        <w:t xml:space="preserve">LD clumping: r² &lt; 0.001, window 10,000 kb (유럽 참조 패널)</w:t>
      </w:r>
    </w:p>
    <w:p>
      <w:pPr>
        <w:pStyle w:val="ListParagraph"/>
        <w:numPr>
          <w:ilvl w:val="0"/>
          <w:numId w:val="5"/>
        </w:numPr>
        <w:spacing w:after="60" w:line="276"/>
      </w:pPr>
      <w:r>
        <w:rPr>
          <w:rFonts w:ascii="Arial" w:cs="Arial" w:eastAsia="Arial" w:hAnsi="Arial"/>
          <w:color w:val="333333"/>
          <w:sz w:val="21"/>
          <w:szCs w:val="21"/>
        </w:rPr>
        <w:t xml:space="preserve">F-statistic 계산: F = (beta/se)². 모든 SNP에서 F &gt; 10 확인 (weak instrument bias 방지)</w:t>
      </w:r>
    </w:p>
    <w:p>
      <w:pPr>
        <w:pStyle w:val="ListParagraph"/>
        <w:numPr>
          <w:ilvl w:val="0"/>
          <w:numId w:val="5"/>
        </w:numPr>
        <w:spacing w:after="60" w:line="276"/>
      </w:pPr>
      <w:r>
        <w:rPr>
          <w:rFonts w:ascii="Arial" w:cs="Arial" w:eastAsia="Arial" w:hAnsi="Arial"/>
          <w:color w:val="333333"/>
          <w:sz w:val="21"/>
          <w:szCs w:val="21"/>
        </w:rPr>
        <w:t xml:space="preserve">Steiger filtering: 각 SNP이 outcome보다 exposure 분산을 더 많이 설명하는지 확인 (역인과 배제)</w:t>
      </w:r>
    </w:p>
    <w:p>
      <w:pPr>
        <w:pStyle w:val="ListParagraph"/>
        <w:numPr>
          <w:ilvl w:val="0"/>
          <w:numId w:val="5"/>
        </w:numPr>
        <w:spacing w:after="60" w:line="276"/>
      </w:pPr>
      <w:r>
        <w:rPr>
          <w:rFonts w:ascii="Arial" w:cs="Arial" w:eastAsia="Arial" w:hAnsi="Arial"/>
          <w:color w:val="333333"/>
          <w:sz w:val="21"/>
          <w:szCs w:val="21"/>
        </w:rPr>
        <w:t xml:space="preserve">eQTL SNP 수가 부족한 경우(&lt;3): cis-pQTL 활용 또는 significance threshold 완화 (P &lt; 5×10⁻⁶)</w:t>
      </w:r>
    </w:p>
    <w:p>
      <w:pPr>
        <w:pStyle w:val="Heading3"/>
      </w:pPr>
      <w:r>
        <w:t xml:space="preserve">4.2.2 Step 2: Harmonization</w:t>
      </w:r>
    </w:p>
    <w:p>
      <w:pPr>
        <w:pStyle w:val="ListParagraph"/>
        <w:numPr>
          <w:ilvl w:val="0"/>
          <w:numId w:val="6"/>
        </w:numPr>
        <w:spacing w:after="60" w:line="276"/>
      </w:pPr>
      <w:r>
        <w:rPr>
          <w:rFonts w:ascii="Arial" w:cs="Arial" w:eastAsia="Arial" w:hAnsi="Arial"/>
          <w:color w:val="333333"/>
          <w:sz w:val="21"/>
          <w:szCs w:val="21"/>
        </w:rPr>
        <w:t xml:space="preserve">Exposure SNP과 outcome GWAS의 allele 방향 정렬 (harmonise_data)</w:t>
      </w:r>
    </w:p>
    <w:p>
      <w:pPr>
        <w:pStyle w:val="ListParagraph"/>
        <w:numPr>
          <w:ilvl w:val="0"/>
          <w:numId w:val="6"/>
        </w:numPr>
        <w:spacing w:after="60" w:line="276"/>
      </w:pPr>
      <w:r>
        <w:rPr>
          <w:rFonts w:ascii="Arial" w:cs="Arial" w:eastAsia="Arial" w:hAnsi="Arial"/>
          <w:color w:val="333333"/>
          <w:sz w:val="21"/>
          <w:szCs w:val="21"/>
        </w:rPr>
        <w:t xml:space="preserve">Palindromic SNP 처리: MAF &lt; 0.3인 경우만 포함, 나머지 제거</w:t>
      </w:r>
    </w:p>
    <w:p>
      <w:pPr>
        <w:pStyle w:val="ListParagraph"/>
        <w:numPr>
          <w:ilvl w:val="0"/>
          <w:numId w:val="6"/>
        </w:numPr>
        <w:spacing w:after="60" w:line="276"/>
      </w:pPr>
      <w:r>
        <w:rPr>
          <w:rFonts w:ascii="Arial" w:cs="Arial" w:eastAsia="Arial" w:hAnsi="Arial"/>
          <w:color w:val="333333"/>
          <w:sz w:val="21"/>
          <w:szCs w:val="21"/>
        </w:rPr>
        <w:t xml:space="preserve">Proxy SNP: LD r² &gt; 0.8인 proxy로 대체 (LDlinkR 패키지)</w:t>
      </w:r>
    </w:p>
    <w:p>
      <w:pPr>
        <w:pStyle w:val="Heading3"/>
      </w:pPr>
      <w:r>
        <w:t xml:space="preserve">4.2.3 Step 3: Primary MR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Assumption</w:t>
            </w:r>
          </w:p>
        </w:tc>
        <w:tc>
          <w:tcPr>
            <w:tcW w:type="dxa" w:w="2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IVW (Inverse Variance Weighted)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모든 SNP의 가중 평균 효과</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 horizontal pleiotropy</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Primary analysis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Wald ratio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단일 SNP MR (SNP 1개일 때)</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Single IV</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 SNP ≤ 1</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MR-Egger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Intercept가 directional pleiotropy 검정</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InSIDE assumption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Pleiotropy check</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Weighted median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50% 이상 SNP이 valid이면 일관된 추정치</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Majority valid</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Robustness check</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MR-PRESSO</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Outlier SNP 식별 및 제거 후 재추정</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Outlier detection</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Outlier correction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MR-RAPS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Robust adjusted profile score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Weak IV robust</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Weak instrument sensitivity</w:t>
            </w:r>
          </w:p>
        </w:tc>
      </w:tr>
    </w:tbl>
    <w:p>
      <w:pPr>
        <w:pStyle w:val="Heading3"/>
      </w:pPr>
      <w:r>
        <w:t xml:space="preserve">4.2.4 Step 4: Sensitivity Analysis</w:t>
      </w:r>
    </w:p>
    <w:p>
      <w:pPr>
        <w:pStyle w:val="ListParagraph"/>
        <w:numPr>
          <w:ilvl w:val="0"/>
          <w:numId w:val="7"/>
        </w:numPr>
        <w:spacing w:after="60" w:line="276"/>
      </w:pPr>
      <w:r>
        <w:rPr>
          <w:rFonts w:ascii="Arial" w:cs="Arial" w:eastAsia="Arial" w:hAnsi="Arial"/>
          <w:color w:val="333333"/>
          <w:sz w:val="21"/>
          <w:szCs w:val="21"/>
        </w:rPr>
        <w:t xml:space="preserve">Cochran’s Q test: SNP 간 이질성(heterogeneity) 검정. Q P &lt; 0.05이면 pleiotropy 의심</w:t>
      </w:r>
    </w:p>
    <w:p>
      <w:pPr>
        <w:pStyle w:val="ListParagraph"/>
        <w:numPr>
          <w:ilvl w:val="0"/>
          <w:numId w:val="7"/>
        </w:numPr>
        <w:spacing w:after="60" w:line="276"/>
      </w:pPr>
      <w:r>
        <w:rPr>
          <w:rFonts w:ascii="Arial" w:cs="Arial" w:eastAsia="Arial" w:hAnsi="Arial"/>
          <w:color w:val="333333"/>
          <w:sz w:val="21"/>
          <w:szCs w:val="21"/>
        </w:rPr>
        <w:t xml:space="preserve">MR-Egger intercept test: Directional pleiotropy 검정. Intercept P &lt; 0.05이면 존재</w:t>
      </w:r>
    </w:p>
    <w:p>
      <w:pPr>
        <w:pStyle w:val="ListParagraph"/>
        <w:numPr>
          <w:ilvl w:val="0"/>
          <w:numId w:val="7"/>
        </w:numPr>
        <w:spacing w:after="60" w:line="276"/>
      </w:pPr>
      <w:r>
        <w:rPr>
          <w:rFonts w:ascii="Arial" w:cs="Arial" w:eastAsia="Arial" w:hAnsi="Arial"/>
          <w:color w:val="333333"/>
          <w:sz w:val="21"/>
          <w:szCs w:val="21"/>
        </w:rPr>
        <w:t xml:space="preserve">Leave-one-out analysis: 개별 SNP 제거 시 결과 변화 확인 → influential outlier 식별</w:t>
      </w:r>
    </w:p>
    <w:p>
      <w:pPr>
        <w:pStyle w:val="ListParagraph"/>
        <w:numPr>
          <w:ilvl w:val="0"/>
          <w:numId w:val="7"/>
        </w:numPr>
        <w:spacing w:after="60" w:line="276"/>
      </w:pPr>
      <w:r>
        <w:rPr>
          <w:rFonts w:ascii="Arial" w:cs="Arial" w:eastAsia="Arial" w:hAnsi="Arial"/>
          <w:color w:val="333333"/>
          <w:sz w:val="21"/>
          <w:szCs w:val="21"/>
        </w:rPr>
        <w:t xml:space="preserve">Funnel plot: SNP별 효과 크기의 비대칭성 시각적 평가</w:t>
      </w:r>
    </w:p>
    <w:p>
      <w:pPr>
        <w:pStyle w:val="ListParagraph"/>
        <w:numPr>
          <w:ilvl w:val="0"/>
          <w:numId w:val="7"/>
        </w:numPr>
        <w:spacing w:after="60" w:line="276"/>
      </w:pPr>
      <w:r>
        <w:rPr>
          <w:rFonts w:ascii="Arial" w:cs="Arial" w:eastAsia="Arial" w:hAnsi="Arial"/>
          <w:color w:val="333333"/>
          <w:sz w:val="21"/>
          <w:szCs w:val="21"/>
        </w:rPr>
        <w:t xml:space="preserve">MR-PRESSO global test: Outlier SNP 식별 + distortion test</w:t>
      </w:r>
    </w:p>
    <w:p>
      <w:pPr>
        <w:pStyle w:val="ListParagraph"/>
        <w:numPr>
          <w:ilvl w:val="0"/>
          <w:numId w:val="7"/>
        </w:numPr>
        <w:spacing w:after="60" w:line="276"/>
      </w:pPr>
      <w:r>
        <w:rPr>
          <w:rFonts w:ascii="Arial" w:cs="Arial" w:eastAsia="Arial" w:hAnsi="Arial"/>
          <w:color w:val="333333"/>
          <w:sz w:val="21"/>
          <w:szCs w:val="21"/>
        </w:rPr>
        <w:t xml:space="preserve">Steiger directionality test: 인과 방향 확인 (exposure → outcome 방향 검증)</w:t>
      </w:r>
    </w:p>
    <w:p>
      <w:pPr>
        <w:pStyle w:val="ListParagraph"/>
        <w:numPr>
          <w:ilvl w:val="0"/>
          <w:numId w:val="7"/>
        </w:numPr>
        <w:spacing w:after="60" w:line="276"/>
      </w:pPr>
      <w:r>
        <w:rPr>
          <w:rFonts w:ascii="Arial" w:cs="Arial" w:eastAsia="Arial" w:hAnsi="Arial"/>
          <w:color w:val="333333"/>
          <w:sz w:val="21"/>
          <w:szCs w:val="21"/>
        </w:rPr>
        <w:t xml:space="preserve">Reverse MR: Outcome → Exposure 방향으로 MR 수행 → 역인과 배제</w:t>
      </w:r>
    </w:p>
    <w:p>
      <w:pPr>
        <w:pStyle w:val="ListParagraph"/>
        <w:numPr>
          <w:ilvl w:val="0"/>
          <w:numId w:val="7"/>
        </w:numPr>
        <w:spacing w:after="60" w:line="276"/>
      </w:pPr>
      <w:r>
        <w:rPr>
          <w:rFonts w:ascii="Arial" w:cs="Arial" w:eastAsia="Arial" w:hAnsi="Arial"/>
          <w:color w:val="333333"/>
          <w:sz w:val="21"/>
          <w:szCs w:val="21"/>
        </w:rPr>
        <w:t xml:space="preserve">Multivariable MR (MVMR): 동일 pathway 내 유전자들 동시 보정 → 독립 효과 추정</w:t>
      </w:r>
    </w:p>
    <w:p>
      <w:r>
        <w:br w:type="page"/>
      </w:r>
    </w:p>
    <w:p>
      <w:pPr>
        <w:pStyle w:val="Heading1"/>
      </w:pPr>
      <w:r>
        <w:t xml:space="preserve">5. Detailed Module Specifications</w:t>
      </w:r>
    </w:p>
    <w:p>
      <w:pPr>
        <w:pBdr>
          <w:bottom w:val="single" w:color="1F4E79" w:sz="4" w:space="4"/>
        </w:pBdr>
        <w:spacing w:after="100" w:before="200"/>
      </w:pPr>
      <w:r>
        <w:rPr>
          <w:rFonts w:ascii="Arial" w:cs="Arial" w:eastAsia="Arial" w:hAnsi="Arial"/>
          <w:b/>
          <w:bCs/>
          <w:color w:val="1F4E79"/>
          <w:sz w:val="26"/>
          <w:szCs w:val="26"/>
        </w:rPr>
        <w:t xml:space="preserve">5.1 MR-A: Dopamine Pathway → Myopia</w:t>
      </w:r>
    </w:p>
    <w:p>
      <w:pPr>
        <w:spacing w:after="120" w:before="0" w:line="276"/>
        <w:jc w:val="left"/>
      </w:pPr>
      <w:r>
        <w:rPr>
          <w:rFonts w:ascii="Arial" w:cs="Arial" w:eastAsia="Arial" w:hAnsi="Arial"/>
          <w:color w:val="333333"/>
          <w:sz w:val="22"/>
          <w:szCs w:val="22"/>
        </w:rPr>
        <w:t xml:space="preserve">가설: 도파민 합성/신호전달의 유전적 증가가 근시 위험을 인과적으로 감소시킨다.</w:t>
      </w:r>
    </w:p>
    <w:p>
      <w:pPr>
        <w:spacing w:after="80" w:before="160"/>
      </w:pPr>
      <w:r>
        <w:rPr>
          <w:rFonts w:ascii="Arial" w:cs="Arial" w:eastAsia="Arial" w:hAnsi="Arial"/>
          <w:b/>
          <w:bCs/>
          <w:color w:val="1F4E79"/>
          <w:sz w:val="23"/>
          <w:szCs w:val="23"/>
        </w:rPr>
        <w:t xml:space="preserve">5.1.1 Exposure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600"/>
        <w:gridCol w:w="2400"/>
        <w:gridCol w:w="22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Protein/Function</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eQTL Tissue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Direction</w:t>
            </w:r>
          </w:p>
        </w:tc>
        <w:tc>
          <w:tcPr>
            <w:tcW w:type="dxa" w:w="2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TH</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Tyrosine hydroxylase (rate-limiting)</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(SN)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 → DA↑ → Myopia↓</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 합성 속도제한 효소</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DDC</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 decarboxylase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(SN)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DDC↑ → DA↑ → Myopia↓</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L-DOPA → DA 전환</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DRD1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 receptor D1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DRD1↑ → Myopia↓</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cAMP↑ → growth inhibition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DRD2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 receptor D2 (autoreceptor)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retina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DRD2↑ → Myopia↑ (negative FB)</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Autoreceptor → DA↓</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COMT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Catechol-O-methyltransferase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Brain, blood</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COMT↑ → DA↓ → Myopia↑</w:t>
            </w:r>
          </w:p>
        </w:tc>
        <w:tc>
          <w:tcPr>
            <w:tcW w:type="dxa" w:w="22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DA 분해 효소</w:t>
            </w:r>
          </w:p>
        </w:tc>
      </w:tr>
    </w:tbl>
    <w:p>
      <w:pPr>
        <w:spacing w:after="80" w:before="160"/>
      </w:pPr>
      <w:r>
        <w:rPr>
          <w:rFonts w:ascii="Arial" w:cs="Arial" w:eastAsia="Arial" w:hAnsi="Arial"/>
          <w:b/>
          <w:bCs/>
          <w:color w:val="1F4E79"/>
          <w:sz w:val="23"/>
          <w:szCs w:val="23"/>
        </w:rPr>
        <w:t xml:space="preserve">5.1.2 Special Considerations</w:t>
      </w:r>
    </w:p>
    <w:p>
      <w:pPr>
        <w:pStyle w:val="ListParagraph"/>
        <w:numPr>
          <w:ilvl w:val="0"/>
          <w:numId w:val="2"/>
        </w:numPr>
        <w:spacing w:after="60" w:line="276"/>
      </w:pPr>
      <w:r>
        <w:rPr>
          <w:rFonts w:ascii="Arial" w:cs="Arial" w:eastAsia="Arial" w:hAnsi="Arial"/>
          <w:color w:val="333333"/>
          <w:sz w:val="21"/>
          <w:szCs w:val="21"/>
        </w:rPr>
        <w:t xml:space="preserve">DRD2는 autoreceptor로서 방향이 반대 (DRD2↑ → DA release↓). 이 반대 방향이 MR에서 확인되면 강력한 생물학적 일관성 증거가 된다.</w:t>
      </w:r>
    </w:p>
    <w:p>
      <w:pPr>
        <w:pStyle w:val="ListParagraph"/>
        <w:numPr>
          <w:ilvl w:val="0"/>
          <w:numId w:val="2"/>
        </w:numPr>
        <w:spacing w:after="60" w:line="276"/>
      </w:pPr>
      <w:r>
        <w:rPr>
          <w:rFonts w:ascii="Arial" w:cs="Arial" w:eastAsia="Arial" w:hAnsi="Arial"/>
          <w:color w:val="333333"/>
          <w:sz w:val="21"/>
          <w:szCs w:val="21"/>
        </w:rPr>
        <w:t xml:space="preserve">COMT Val158Met (rs4680) 다형성은 효소 활성에 큰 영향. 이 SNP을 별도로 분석.</w:t>
      </w:r>
    </w:p>
    <w:p>
      <w:pPr>
        <w:pStyle w:val="ListParagraph"/>
        <w:numPr>
          <w:ilvl w:val="0"/>
          <w:numId w:val="2"/>
        </w:numPr>
        <w:spacing w:after="60" w:line="276"/>
      </w:pPr>
      <w:r>
        <w:rPr>
          <w:rFonts w:ascii="Arial" w:cs="Arial" w:eastAsia="Arial" w:hAnsi="Arial"/>
          <w:color w:val="333333"/>
          <w:sz w:val="21"/>
          <w:szCs w:val="21"/>
        </w:rPr>
        <w:t xml:space="preserve">MVMR: TH + DDC + COMT를 동시 보정하여 각각의 독립적 인과 효과 추정.</w:t>
      </w:r>
    </w:p>
    <w:p>
      <w:pPr>
        <w:pStyle w:val="ListParagraph"/>
        <w:numPr>
          <w:ilvl w:val="0"/>
          <w:numId w:val="2"/>
        </w:numPr>
        <w:spacing w:after="60" w:line="276"/>
      </w:pPr>
      <w:r>
        <w:rPr>
          <w:rFonts w:ascii="Arial" w:cs="Arial" w:eastAsia="Arial" w:hAnsi="Arial"/>
          <w:color w:val="333333"/>
          <w:sz w:val="21"/>
          <w:szCs w:val="21"/>
        </w:rPr>
        <w:t xml:space="preserve">양성 대조(positive control): Parkinson’s disease GWAS를 outcome으로 사용 → 도파민 경로 IV 검증.</w:t>
      </w:r>
    </w:p>
    <w:p>
      <w:pPr>
        <w:pBdr>
          <w:bottom w:val="single" w:color="1F4E79" w:sz="4" w:space="4"/>
        </w:pBdr>
        <w:spacing w:after="100" w:before="200"/>
      </w:pPr>
      <w:r>
        <w:rPr>
          <w:rFonts w:ascii="Arial" w:cs="Arial" w:eastAsia="Arial" w:hAnsi="Arial"/>
          <w:b/>
          <w:bCs/>
          <w:color w:val="1F4E79"/>
          <w:sz w:val="26"/>
          <w:szCs w:val="26"/>
        </w:rPr>
        <w:t xml:space="preserve">5.2 MR-B: Hippo-YAP Pathway → Myopia</w:t>
      </w:r>
    </w:p>
    <w:p>
      <w:pPr>
        <w:spacing w:after="120" w:before="0" w:line="276"/>
        <w:jc w:val="left"/>
      </w:pPr>
      <w:r>
        <w:rPr>
          <w:rFonts w:ascii="Arial" w:cs="Arial" w:eastAsia="Arial" w:hAnsi="Arial"/>
          <w:color w:val="333333"/>
          <w:sz w:val="22"/>
          <w:szCs w:val="22"/>
        </w:rPr>
        <w:t xml:space="preserve">가설: Hippo kinase cascade 활성화(YAP 인산화/억제)가 근시 위험을 인과적으로 감소시킨다.</w:t>
      </w:r>
    </w:p>
    <w:p>
      <w:pPr>
        <w:spacing w:after="80" w:before="160"/>
      </w:pPr>
      <w:r>
        <w:rPr>
          <w:rFonts w:ascii="Arial" w:cs="Arial" w:eastAsia="Arial" w:hAnsi="Arial"/>
          <w:b/>
          <w:bCs/>
          <w:color w:val="1F4E79"/>
          <w:sz w:val="23"/>
          <w:szCs w:val="23"/>
        </w:rPr>
        <w:t xml:space="preserve">5.2.1 Exposure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 in Hippo</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Direction</w:t>
            </w:r>
          </w:p>
        </w:tc>
        <w:tc>
          <w:tcPr>
            <w:tcW w:type="dxa" w:w="2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Logic</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LATS1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Core kinase (YAP 인산화)</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LATS1↑ → p-YAP↑ → Myopia↓</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YAP 불활성화 → 증식 억제</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LATS2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Core kinase (redundant)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LATS2↑ → p-YAP↑ → Myopia↓</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LATS1과 동일 방향</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YAP1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Transcriptional co-activator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YAP1↑ → Myopia↑</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핵 내 YAP → 증식/ECM 촉진</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TEAD1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YAP binding partner (TF)</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TEAD1↑ → Myopia↑</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YAP-TEAD complex → 전사 활성</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WWTR1 (TAZ)</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YAP paralog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WWTR1↑ → Myopia↑</w:t>
            </w:r>
          </w:p>
        </w:tc>
        <w:tc>
          <w:tcPr>
            <w:tcW w:type="dxa" w:w="2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YAP 유사 기능</w:t>
            </w:r>
          </w:p>
        </w:tc>
      </w:tr>
    </w:tbl>
    <w:p>
      <w:pPr>
        <w:spacing w:after="80" w:before="160"/>
      </w:pPr>
      <w:r>
        <w:rPr>
          <w:rFonts w:ascii="Arial" w:cs="Arial" w:eastAsia="Arial" w:hAnsi="Arial"/>
          <w:b/>
          <w:bCs/>
          <w:color w:val="1F4E79"/>
          <w:sz w:val="23"/>
          <w:szCs w:val="23"/>
        </w:rPr>
        <w:t xml:space="preserve">5.2.2 Special Considerations</w:t>
      </w:r>
    </w:p>
    <w:p>
      <w:pPr>
        <w:pStyle w:val="ListParagraph"/>
        <w:numPr>
          <w:ilvl w:val="0"/>
          <w:numId w:val="2"/>
        </w:numPr>
        <w:spacing w:after="60" w:line="276"/>
      </w:pPr>
      <w:r>
        <w:rPr>
          <w:rFonts w:ascii="Arial" w:cs="Arial" w:eastAsia="Arial" w:hAnsi="Arial"/>
          <w:color w:val="333333"/>
          <w:sz w:val="21"/>
          <w:szCs w:val="21"/>
        </w:rPr>
        <w:t xml:space="preserve">Hippo-YAP과 근시의 MR은 세계 최초이다. 이것이 CP-3의 가장 높은 참신성(novelty) 포인트.</w:t>
      </w:r>
    </w:p>
    <w:p>
      <w:pPr>
        <w:pStyle w:val="ListParagraph"/>
        <w:numPr>
          <w:ilvl w:val="0"/>
          <w:numId w:val="2"/>
        </w:numPr>
        <w:spacing w:after="60" w:line="276"/>
      </w:pPr>
      <w:r>
        <w:rPr>
          <w:rFonts w:ascii="Arial" w:cs="Arial" w:eastAsia="Arial" w:hAnsi="Arial"/>
          <w:color w:val="333333"/>
          <w:sz w:val="21"/>
          <w:szCs w:val="21"/>
        </w:rPr>
        <w:t xml:space="preserve">LATS1과 LATS2가 동일 방향(protective)이면 redundancy 확인 → 생물학적 일관성 강화.</w:t>
      </w:r>
    </w:p>
    <w:p>
      <w:pPr>
        <w:pStyle w:val="ListParagraph"/>
        <w:numPr>
          <w:ilvl w:val="0"/>
          <w:numId w:val="2"/>
        </w:numPr>
        <w:spacing w:after="60" w:line="276"/>
      </w:pPr>
      <w:r>
        <w:rPr>
          <w:rFonts w:ascii="Arial" w:cs="Arial" w:eastAsia="Arial" w:hAnsi="Arial"/>
          <w:color w:val="333333"/>
          <w:sz w:val="21"/>
          <w:szCs w:val="21"/>
        </w:rPr>
        <w:t xml:space="preserve">YAP1과 TEAD1이 risk 방향이면 YAP nuclear activity가 근시 촉진이라는 가설 지지.</w:t>
      </w:r>
    </w:p>
    <w:p>
      <w:pPr>
        <w:pStyle w:val="ListParagraph"/>
        <w:numPr>
          <w:ilvl w:val="0"/>
          <w:numId w:val="2"/>
        </w:numPr>
        <w:spacing w:after="60" w:line="276"/>
      </w:pPr>
      <w:r>
        <w:rPr>
          <w:rFonts w:ascii="Arial" w:cs="Arial" w:eastAsia="Arial" w:hAnsi="Arial"/>
          <w:color w:val="333333"/>
          <w:sz w:val="21"/>
          <w:szCs w:val="21"/>
        </w:rPr>
        <w:t xml:space="preserve">Cancer GWAS(YAP-driven cancers: liver, mesothelioma)를 양성 대조로 사용 가능.</w:t>
      </w:r>
    </w:p>
    <w:p>
      <w:pPr>
        <w:pBdr>
          <w:bottom w:val="single" w:color="1F4E79" w:sz="4" w:space="4"/>
        </w:pBdr>
        <w:spacing w:after="100" w:before="200"/>
      </w:pPr>
      <w:r>
        <w:rPr>
          <w:rFonts w:ascii="Arial" w:cs="Arial" w:eastAsia="Arial" w:hAnsi="Arial"/>
          <w:b/>
          <w:bCs/>
          <w:color w:val="1F4E79"/>
          <w:sz w:val="26"/>
          <w:szCs w:val="26"/>
        </w:rPr>
        <w:t xml:space="preserve">5.3 MR-C: Muscarinic Receptors → Myopia</w:t>
      </w:r>
    </w:p>
    <w:p>
      <w:pPr>
        <w:spacing w:after="120" w:before="0" w:line="276"/>
        <w:jc w:val="left"/>
      </w:pPr>
      <w:r>
        <w:rPr>
          <w:rFonts w:ascii="Arial" w:cs="Arial" w:eastAsia="Arial" w:hAnsi="Arial"/>
          <w:color w:val="333333"/>
          <w:sz w:val="22"/>
          <w:szCs w:val="22"/>
        </w:rPr>
        <w:t xml:space="preserve">가설: 개별 muscarinic receptor subtype의 유전적 변이가 근시와 차등적으로 연관되며, 이를 통해 아트로핀의 primary target을 유전적으로 추론할 수 있다.</w:t>
      </w:r>
    </w:p>
    <w:p>
      <w:pPr>
        <w:spacing w:after="80" w:before="160"/>
      </w:pPr>
      <w:r>
        <w:rPr>
          <w:rFonts w:ascii="Arial" w:cs="Arial" w:eastAsia="Arial" w:hAnsi="Arial"/>
          <w:b/>
          <w:bCs/>
          <w:color w:val="1F4E79"/>
          <w:sz w:val="23"/>
          <w:szCs w:val="23"/>
        </w:rPr>
        <w:t xml:space="preserve">5.3.1 Exposure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4200"/>
        <w:gridCol w:w="29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Receptor</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Strongest Pre-existing Evidence</w:t>
            </w:r>
          </w:p>
        </w:tc>
        <w:tc>
          <w:tcPr>
            <w:tcW w:type="dxa" w:w="29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CHRM1</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M1</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MT7 inhibits FDM in tree shrew (Arumugam 2012)</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CHRM1↑ → Myopia↑?</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CHRM2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M2</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M2 KO most resistant to myopia (Barathi 2013)</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CHRM2↑ → Myopia↑</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CHRM4</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M4</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MT3 inhibits FDM; but M4 KO still myopic</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Uncertain</w:t>
            </w:r>
          </w:p>
        </w:tc>
      </w:tr>
    </w:tbl>
    <w:p>
      <w:pPr>
        <w:spacing w:after="80" w:before="160"/>
      </w:pPr>
      <w:r>
        <w:rPr>
          <w:rFonts w:ascii="Arial" w:cs="Arial" w:eastAsia="Arial" w:hAnsi="Arial"/>
          <w:b/>
          <w:bCs/>
          <w:color w:val="1F4E79"/>
          <w:sz w:val="23"/>
          <w:szCs w:val="23"/>
        </w:rPr>
        <w:t xml:space="preserve">5.3.2 Special Considerations</w:t>
      </w:r>
    </w:p>
    <w:p>
      <w:pPr>
        <w:pStyle w:val="ListParagraph"/>
        <w:numPr>
          <w:ilvl w:val="0"/>
          <w:numId w:val="2"/>
        </w:numPr>
        <w:spacing w:after="60" w:line="276"/>
      </w:pPr>
      <w:r>
        <w:rPr>
          <w:rFonts w:ascii="Arial" w:cs="Arial" w:eastAsia="Arial" w:hAnsi="Arial"/>
          <w:color w:val="333333"/>
          <w:sz w:val="21"/>
          <w:szCs w:val="21"/>
        </w:rPr>
        <w:t xml:space="preserve">MR에서 M2가 가장 강한 인과 연관을 보이면 Barathi 2013 M2 KO 마우스 결과와 일관 → M2가 primary target일 가능성 재부각.</w:t>
      </w:r>
    </w:p>
    <w:p>
      <w:pPr>
        <w:pStyle w:val="ListParagraph"/>
        <w:numPr>
          <w:ilvl w:val="0"/>
          <w:numId w:val="2"/>
        </w:numPr>
        <w:spacing w:after="60" w:line="276"/>
      </w:pPr>
      <w:r>
        <w:rPr>
          <w:rFonts w:ascii="Arial" w:cs="Arial" w:eastAsia="Arial" w:hAnsi="Arial"/>
          <w:color w:val="333333"/>
          <w:sz w:val="21"/>
          <w:szCs w:val="21"/>
        </w:rPr>
        <w:t xml:space="preserve">M4가 인과 연관이 없으면 “M4가 주요 타겟”이라는 기존 합의에 도전하는 결과.</w:t>
      </w:r>
    </w:p>
    <w:p>
      <w:pPr>
        <w:pStyle w:val="ListParagraph"/>
        <w:numPr>
          <w:ilvl w:val="0"/>
          <w:numId w:val="2"/>
        </w:numPr>
        <w:spacing w:after="60" w:line="276"/>
      </w:pPr>
      <w:r>
        <w:rPr>
          <w:rFonts w:ascii="Arial" w:cs="Arial" w:eastAsia="Arial" w:hAnsi="Arial"/>
          <w:color w:val="333333"/>
          <w:sz w:val="21"/>
          <w:szCs w:val="21"/>
        </w:rPr>
        <w:t xml:space="preserve">모든 CHRM이 양성이면 receptor non-specific 효과 가능 → Thomson 2021의 non-cholinergic 기전 지지.</w:t>
      </w:r>
    </w:p>
    <w:p>
      <w:pPr>
        <w:pStyle w:val="ListParagraph"/>
        <w:numPr>
          <w:ilvl w:val="0"/>
          <w:numId w:val="2"/>
        </w:numPr>
        <w:spacing w:after="60" w:line="276"/>
      </w:pPr>
      <w:r>
        <w:rPr>
          <w:rFonts w:ascii="Arial" w:cs="Arial" w:eastAsia="Arial" w:hAnsi="Arial"/>
          <w:color w:val="333333"/>
          <w:sz w:val="21"/>
          <w:szCs w:val="21"/>
        </w:rPr>
        <w:t xml:space="preserve">Colocalization analysis (coloc): 같은 locus에서 eQTL과 myopia GWAS의 causal variant가 동일한지 검증.</w:t>
      </w:r>
    </w:p>
    <w:p>
      <w:pPr>
        <w:pBdr>
          <w:bottom w:val="single" w:color="1F4E79" w:sz="4" w:space="4"/>
        </w:pBdr>
        <w:spacing w:after="100" w:before="200"/>
      </w:pPr>
      <w:r>
        <w:rPr>
          <w:rFonts w:ascii="Arial" w:cs="Arial" w:eastAsia="Arial" w:hAnsi="Arial"/>
          <w:b/>
          <w:bCs/>
          <w:color w:val="1F4E79"/>
          <w:sz w:val="26"/>
          <w:szCs w:val="26"/>
        </w:rPr>
        <w:t xml:space="preserve">5.4 MR-D: Adrenergic / Non-Cholinergic → Myopia</w:t>
      </w:r>
    </w:p>
    <w:p>
      <w:pPr>
        <w:spacing w:after="120" w:before="0" w:line="276"/>
        <w:jc w:val="left"/>
      </w:pPr>
      <w:r>
        <w:rPr>
          <w:rFonts w:ascii="Arial" w:cs="Arial" w:eastAsia="Arial" w:hAnsi="Arial"/>
          <w:color w:val="333333"/>
          <w:sz w:val="22"/>
          <w:szCs w:val="22"/>
        </w:rPr>
        <w:t xml:space="preserve">가설: α2A-adrenoceptor 발현이 근시와 인과적으로 연관되며, 이는 아트로핀의 anti-myopia 효과가 muscarinic receptor가 아닌 α2A를 통해 매개될 수 있음을 시사한다 (Carr et al. 2018).</w:t>
      </w:r>
    </w:p>
    <w:p>
      <w:pPr>
        <w:spacing w:after="80" w:before="160"/>
      </w:pPr>
      <w:r>
        <w:rPr>
          <w:rFonts w:ascii="Arial" w:cs="Arial" w:eastAsia="Arial" w:hAnsi="Arial"/>
          <w:b/>
          <w:bCs/>
          <w:color w:val="1F4E79"/>
          <w:sz w:val="23"/>
          <w:szCs w:val="23"/>
        </w:rPr>
        <w:t xml:space="preserve">5.4.1 Key Analysis</w:t>
      </w:r>
    </w:p>
    <w:p>
      <w:pPr>
        <w:pStyle w:val="ListParagraph"/>
        <w:numPr>
          <w:ilvl w:val="0"/>
          <w:numId w:val="2"/>
        </w:numPr>
        <w:spacing w:after="60" w:line="276"/>
      </w:pPr>
      <w:r>
        <w:rPr>
          <w:rFonts w:ascii="Arial" w:cs="Arial" w:eastAsia="Arial" w:hAnsi="Arial"/>
          <w:color w:val="333333"/>
          <w:sz w:val="21"/>
          <w:szCs w:val="21"/>
        </w:rPr>
        <w:t xml:space="preserve">ADRA2A eQTL → Myopia/Refractive error/Axial length MR</w:t>
      </w:r>
    </w:p>
    <w:p>
      <w:pPr>
        <w:pStyle w:val="ListParagraph"/>
        <w:numPr>
          <w:ilvl w:val="0"/>
          <w:numId w:val="2"/>
        </w:numPr>
        <w:spacing w:after="60" w:line="276"/>
      </w:pPr>
      <w:r>
        <w:rPr>
          <w:rFonts w:ascii="Arial" w:cs="Arial" w:eastAsia="Arial" w:hAnsi="Arial"/>
          <w:color w:val="333333"/>
          <w:sz w:val="21"/>
          <w:szCs w:val="21"/>
        </w:rPr>
        <w:t xml:space="preserve">양성 결과: 아트로핀이 α2A antagonism을 통해 효과를 발휘한다는 유전적 증거</w:t>
      </w:r>
    </w:p>
    <w:p>
      <w:pPr>
        <w:pStyle w:val="ListParagraph"/>
        <w:numPr>
          <w:ilvl w:val="0"/>
          <w:numId w:val="2"/>
        </w:numPr>
        <w:spacing w:after="60" w:line="276"/>
      </w:pPr>
      <w:r>
        <w:rPr>
          <w:rFonts w:ascii="Arial" w:cs="Arial" w:eastAsia="Arial" w:hAnsi="Arial"/>
          <w:color w:val="333333"/>
          <w:sz w:val="21"/>
          <w:szCs w:val="21"/>
        </w:rPr>
        <w:t xml:space="preserve">음성 결과: Cholinergic pathway가 더 중요 (MR-C와 결합 해석)</w:t>
      </w:r>
    </w:p>
    <w:p>
      <w:pPr>
        <w:pStyle w:val="ListParagraph"/>
        <w:numPr>
          <w:ilvl w:val="0"/>
          <w:numId w:val="2"/>
        </w:numPr>
        <w:spacing w:after="60" w:line="276"/>
      </w:pPr>
      <w:r>
        <w:rPr>
          <w:rFonts w:ascii="Arial" w:cs="Arial" w:eastAsia="Arial" w:hAnsi="Arial"/>
          <w:color w:val="333333"/>
          <w:sz w:val="21"/>
          <w:szCs w:val="21"/>
        </w:rPr>
        <w:t xml:space="preserve">MVMR: ADRA2A + CHRM4를 동시 모델에 넣어 독립 효과 비교</w:t>
      </w:r>
    </w:p>
    <w:p>
      <w:pPr>
        <w:pBdr>
          <w:bottom w:val="single" w:color="1F4E79" w:sz="4" w:space="4"/>
        </w:pBdr>
        <w:spacing w:after="100" w:before="200"/>
      </w:pPr>
      <w:r>
        <w:rPr>
          <w:rFonts w:ascii="Arial" w:cs="Arial" w:eastAsia="Arial" w:hAnsi="Arial"/>
          <w:b/>
          <w:bCs/>
          <w:color w:val="1F4E79"/>
          <w:sz w:val="26"/>
          <w:szCs w:val="26"/>
        </w:rPr>
        <w:t xml:space="preserve">5.5 MR-E: HIF-1α / TGFβ / Scleral ECM → Myopia</w:t>
      </w:r>
    </w:p>
    <w:p>
      <w:pPr>
        <w:spacing w:after="120" w:before="0" w:line="276"/>
        <w:jc w:val="left"/>
      </w:pPr>
      <w:r>
        <w:rPr>
          <w:rFonts w:ascii="Arial" w:cs="Arial" w:eastAsia="Arial" w:hAnsi="Arial"/>
          <w:color w:val="333333"/>
          <w:sz w:val="22"/>
          <w:szCs w:val="22"/>
        </w:rPr>
        <w:t xml:space="preserve">가설: 공막 리모델링 경로(HIF1A → TGFβ → LOX↓/MMP↑)의 유전적 활성화가 근시를 인과적으로 촉진한다.</w:t>
      </w:r>
    </w:p>
    <w:p>
      <w:pPr>
        <w:spacing w:after="80" w:before="160"/>
      </w:pPr>
      <w:r>
        <w:rPr>
          <w:rFonts w:ascii="Arial" w:cs="Arial" w:eastAsia="Arial" w:hAnsi="Arial"/>
          <w:b/>
          <w:bCs/>
          <w:color w:val="1F4E79"/>
          <w:sz w:val="23"/>
          <w:szCs w:val="23"/>
        </w:rPr>
        <w:t xml:space="preserve">5.5.1 Exposure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Gene</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Function</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Direction</w:t>
            </w:r>
          </w:p>
        </w:tc>
        <w:tc>
          <w:tcPr>
            <w:tcW w:type="dxa" w:w="3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HIF1A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저산소 master TF</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HIF1A↑ → Myopia↑</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공막 저산소 → 리모델링</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TGFB1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공막 ECM switching</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TGFB1↑ → Myopia↑ (context)</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 OFF 시 근시 촉진</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TGFB2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안내 TGFβ isoform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TGFB2↑ → Myopia↑?</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안방수 내 농도 상승 보고</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LOX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콜라겐 교차결합</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LOX↑ → Myopia↓</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Cross-linking → 공막 강화</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MMP2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Matrix degradation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MMP2↑ → Myopia↑</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ECM 분해 → 공막 약화</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MMP9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Matrix degradation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MMP9↑ → Myopia↑</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ECM 분해</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COL1A1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Type I collagen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COL1A1↑ → Myopia↓</w:t>
            </w:r>
          </w:p>
        </w:tc>
        <w:tc>
          <w:tcPr>
            <w:tcW w:type="dxa" w:w="3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주요 공막 구조 단백질</w:t>
            </w:r>
          </w:p>
        </w:tc>
      </w:tr>
    </w:tbl>
    <w:p>
      <w:pPr>
        <w:spacing w:after="80" w:before="160"/>
      </w:pPr>
      <w:r>
        <w:rPr>
          <w:rFonts w:ascii="Arial" w:cs="Arial" w:eastAsia="Arial" w:hAnsi="Arial"/>
          <w:b/>
          <w:bCs/>
          <w:color w:val="1F4E79"/>
          <w:sz w:val="23"/>
          <w:szCs w:val="23"/>
        </w:rPr>
        <w:t xml:space="preserve">5.5.2 Special Considerations</w:t>
      </w:r>
    </w:p>
    <w:p>
      <w:pPr>
        <w:pStyle w:val="ListParagraph"/>
        <w:numPr>
          <w:ilvl w:val="0"/>
          <w:numId w:val="2"/>
        </w:numPr>
        <w:spacing w:after="60" w:line="276"/>
      </w:pPr>
      <w:r>
        <w:rPr>
          <w:rFonts w:ascii="Arial" w:cs="Arial" w:eastAsia="Arial" w:hAnsi="Arial"/>
          <w:color w:val="333333"/>
          <w:sz w:val="21"/>
          <w:szCs w:val="21"/>
        </w:rPr>
        <w:t xml:space="preserve">LOX MR: LOX↑ → Myopia↓이면 scleral cross-linking 치료의 유전적 근거 제공.</w:t>
      </w:r>
    </w:p>
    <w:p>
      <w:pPr>
        <w:pStyle w:val="ListParagraph"/>
        <w:numPr>
          <w:ilvl w:val="0"/>
          <w:numId w:val="2"/>
        </w:numPr>
        <w:spacing w:after="60" w:line="276"/>
      </w:pPr>
      <w:r>
        <w:rPr>
          <w:rFonts w:ascii="Arial" w:cs="Arial" w:eastAsia="Arial" w:hAnsi="Arial"/>
          <w:color w:val="333333"/>
          <w:sz w:val="21"/>
          <w:szCs w:val="21"/>
        </w:rPr>
        <w:t xml:space="preserve">HIF1A MR: 양성이면 anti-HIF 약물(CP-6 drug repurposing)의 인과적 근거.</w:t>
      </w:r>
    </w:p>
    <w:p>
      <w:pPr>
        <w:pStyle w:val="ListParagraph"/>
        <w:numPr>
          <w:ilvl w:val="0"/>
          <w:numId w:val="2"/>
        </w:numPr>
        <w:spacing w:after="60" w:line="276"/>
      </w:pPr>
      <w:r>
        <w:rPr>
          <w:rFonts w:ascii="Arial" w:cs="Arial" w:eastAsia="Arial" w:hAnsi="Arial"/>
          <w:color w:val="333333"/>
          <w:sz w:val="21"/>
          <w:szCs w:val="21"/>
        </w:rPr>
        <w:t xml:space="preserve">TGFB1: 방향이 불확실 — context-dependent switching 때문. Bidirectional MR + MR-B(YAP) 결과와 결합 해석 필요.</w:t>
      </w:r>
    </w:p>
    <w:p>
      <w:r>
        <w:br w:type="page"/>
      </w:r>
    </w:p>
    <w:p>
      <w:pPr>
        <w:pStyle w:val="Heading1"/>
      </w:pPr>
      <w:r>
        <w:t xml:space="preserve">6. Statistical Analysis Plan</w:t>
      </w:r>
    </w:p>
    <w:p>
      <w:pPr>
        <w:spacing w:after="80" w:before="160"/>
      </w:pPr>
      <w:r>
        <w:rPr>
          <w:rFonts w:ascii="Arial" w:cs="Arial" w:eastAsia="Arial" w:hAnsi="Arial"/>
          <w:b/>
          <w:bCs/>
          <w:color w:val="1F4E79"/>
          <w:sz w:val="23"/>
          <w:szCs w:val="23"/>
        </w:rPr>
        <w:t xml:space="preserve">6.1 Power Calculation</w:t>
      </w:r>
    </w:p>
    <w:p>
      <w:pPr>
        <w:spacing w:after="120" w:before="0" w:line="276"/>
        <w:jc w:val="left"/>
      </w:pPr>
      <w:r>
        <w:rPr>
          <w:rFonts w:ascii="Arial" w:cs="Arial" w:eastAsia="Arial" w:hAnsi="Arial"/>
          <w:color w:val="333333"/>
          <w:sz w:val="22"/>
          <w:szCs w:val="22"/>
        </w:rPr>
        <w:t xml:space="preserve">MR 분석의 검정력은 (1) IV의 노출 분산 설명력(R²), (2) 결과 GWAS의 표본 크기, (3) 진정한 인과 효과 크기에 의해 결정된다.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Outcome GWAS 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~540,000 (refractive error)</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UK Biobank + CREAM</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Typical eQTL R² per SNP</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0.01 - 0.05</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GTEx v8</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Total IV R² (5 SNPs)</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0.05 - 0.25</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Estimated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Detectable OR (80% power, α=0.05)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~1.02 - 1.05 per SD</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mRnd calculator</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Type I error</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α = 0.05 / N_tests (Bonferroni)</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Multiple testing correction</w:t>
            </w:r>
          </w:p>
        </w:tc>
      </w:tr>
    </w:tbl>
    <w:p>
      <w:pPr>
        <w:spacing w:after="120" w:before="0" w:line="276"/>
        <w:jc w:val="left"/>
      </w:pPr>
      <w:r>
        <w:rPr>
          <w:rFonts w:ascii="Arial" w:cs="Arial" w:eastAsia="Arial" w:hAnsi="Arial"/>
          <w:color w:val="333333"/>
          <w:sz w:val="22"/>
          <w:szCs w:val="22"/>
        </w:rPr>
        <w:t xml:space="preserve">UK Biobank + CREAM의 대규모 sample size(N=540K)와 GTEx v8의 정밀한 eQTL 덕분에 작은 효과 크기도 검출 가능하다.</w:t>
      </w:r>
    </w:p>
    <w:p>
      <w:pPr>
        <w:spacing w:after="80" w:before="160"/>
      </w:pPr>
      <w:r>
        <w:rPr>
          <w:rFonts w:ascii="Arial" w:cs="Arial" w:eastAsia="Arial" w:hAnsi="Arial"/>
          <w:b/>
          <w:bCs/>
          <w:color w:val="1F4E79"/>
          <w:sz w:val="23"/>
          <w:szCs w:val="23"/>
        </w:rPr>
        <w:t xml:space="preserve">6.2 Multiple Testing Correction</w:t>
      </w:r>
    </w:p>
    <w:p>
      <w:pPr>
        <w:spacing w:after="120" w:before="0" w:line="276"/>
        <w:jc w:val="left"/>
      </w:pPr>
      <w:r>
        <w:rPr>
          <w:rFonts w:ascii="Arial" w:cs="Arial" w:eastAsia="Arial" w:hAnsi="Arial"/>
          <w:color w:val="333333"/>
          <w:sz w:val="22"/>
          <w:szCs w:val="22"/>
        </w:rPr>
        <w:t xml:space="preserve">총 5개 모듈 × 평균 3개 노출 유전자 × 3개 결과(myopia, SER, AL) = ~45개 개별 MR 분석.</w:t>
      </w:r>
    </w:p>
    <w:p>
      <w:pPr>
        <w:pStyle w:val="ListParagraph"/>
        <w:numPr>
          <w:ilvl w:val="0"/>
          <w:numId w:val="2"/>
        </w:numPr>
        <w:spacing w:after="60" w:line="276"/>
      </w:pPr>
      <w:r>
        <w:rPr>
          <w:rFonts w:ascii="Arial" w:cs="Arial" w:eastAsia="Arial" w:hAnsi="Arial"/>
          <w:color w:val="333333"/>
          <w:sz w:val="21"/>
          <w:szCs w:val="21"/>
        </w:rPr>
        <w:t xml:space="preserve">1차 보정: Bonferroni correction (α = 0.05/45 = 0.0011)</w:t>
      </w:r>
    </w:p>
    <w:p>
      <w:pPr>
        <w:pStyle w:val="ListParagraph"/>
        <w:numPr>
          <w:ilvl w:val="0"/>
          <w:numId w:val="2"/>
        </w:numPr>
        <w:spacing w:after="60" w:line="276"/>
      </w:pPr>
      <w:r>
        <w:rPr>
          <w:rFonts w:ascii="Arial" w:cs="Arial" w:eastAsia="Arial" w:hAnsi="Arial"/>
          <w:color w:val="333333"/>
          <w:sz w:val="21"/>
          <w:szCs w:val="21"/>
        </w:rPr>
        <w:t xml:space="preserve">2차 보정: FDR (Benjamini-Hochberg) q &lt; 0.05</w:t>
      </w:r>
    </w:p>
    <w:p>
      <w:pPr>
        <w:pStyle w:val="ListParagraph"/>
        <w:numPr>
          <w:ilvl w:val="0"/>
          <w:numId w:val="2"/>
        </w:numPr>
        <w:spacing w:after="60" w:line="276"/>
      </w:pPr>
      <w:r>
        <w:rPr>
          <w:rFonts w:ascii="Arial" w:cs="Arial" w:eastAsia="Arial" w:hAnsi="Arial"/>
          <w:color w:val="333333"/>
          <w:sz w:val="21"/>
          <w:szCs w:val="21"/>
        </w:rPr>
        <w:t xml:space="preserve">보고: 모든 nominal P &lt; 0.05 결과를 보고하되, Bonferroni/FDR 통과 여부 명시</w:t>
      </w:r>
    </w:p>
    <w:p>
      <w:pPr>
        <w:spacing w:after="80" w:before="160"/>
      </w:pPr>
      <w:r>
        <w:rPr>
          <w:rFonts w:ascii="Arial" w:cs="Arial" w:eastAsia="Arial" w:hAnsi="Arial"/>
          <w:b/>
          <w:bCs/>
          <w:color w:val="1F4E79"/>
          <w:sz w:val="23"/>
          <w:szCs w:val="23"/>
        </w:rPr>
        <w:t xml:space="preserve">6.3 Triangulation Framework</w:t>
      </w:r>
    </w:p>
    <w:p>
      <w:pPr>
        <w:spacing w:after="120" w:before="0" w:line="276"/>
        <w:jc w:val="left"/>
      </w:pPr>
      <w:r>
        <w:rPr>
          <w:rFonts w:ascii="Arial" w:cs="Arial" w:eastAsia="Arial" w:hAnsi="Arial"/>
          <w:color w:val="333333"/>
          <w:sz w:val="22"/>
          <w:szCs w:val="22"/>
        </w:rPr>
        <w:t xml:space="preserve">CP-3 MR 결과를 CP-1(network pharmacology), CP-2(scRNA-seq)와 삼각검증하여 증거 수렴(evidence convergence)을 평가한다:</w:t>
      </w:r>
    </w:p>
    <w:p>
      <w:pPr>
        <w:pStyle w:val="ListParagraph"/>
        <w:numPr>
          <w:ilvl w:val="0"/>
          <w:numId w:val="2"/>
        </w:numPr>
        <w:spacing w:after="60" w:line="276"/>
      </w:pPr>
      <w:r>
        <w:rPr>
          <w:rFonts w:ascii="Arial" w:cs="Arial" w:eastAsia="Arial" w:hAnsi="Arial"/>
          <w:color w:val="333333"/>
          <w:sz w:val="21"/>
          <w:szCs w:val="21"/>
        </w:rPr>
        <w:t xml:space="preserve">CP-1에서 hub node인 유전자가 CP-3 MR에서도 유의 → 강한 수렴</w:t>
      </w:r>
    </w:p>
    <w:p>
      <w:pPr>
        <w:pStyle w:val="ListParagraph"/>
        <w:numPr>
          <w:ilvl w:val="0"/>
          <w:numId w:val="2"/>
        </w:numPr>
        <w:spacing w:after="60" w:line="276"/>
      </w:pPr>
      <w:r>
        <w:rPr>
          <w:rFonts w:ascii="Arial" w:cs="Arial" w:eastAsia="Arial" w:hAnsi="Arial"/>
          <w:color w:val="333333"/>
          <w:sz w:val="21"/>
          <w:szCs w:val="21"/>
        </w:rPr>
        <w:t xml:space="preserve">CP-2에서 차발현 유전자가 CP-3 MR에서도 인과 → 전사체-유전체 수렴</w:t>
      </w:r>
    </w:p>
    <w:p>
      <w:pPr>
        <w:pStyle w:val="ListParagraph"/>
        <w:numPr>
          <w:ilvl w:val="0"/>
          <w:numId w:val="2"/>
        </w:numPr>
        <w:spacing w:after="60" w:line="276"/>
      </w:pPr>
      <w:r>
        <w:rPr>
          <w:rFonts w:ascii="Arial" w:cs="Arial" w:eastAsia="Arial" w:hAnsi="Arial"/>
          <w:color w:val="333333"/>
          <w:sz w:val="21"/>
          <w:szCs w:val="21"/>
        </w:rPr>
        <w:t xml:space="preserve">3가지 독립적 방법(network, transcriptome, genetics)이 같은 결론 → 최고 수준 증거</w:t>
      </w:r>
    </w:p>
    <w:p>
      <w:r>
        <w:br w:type="page"/>
      </w:r>
    </w:p>
    <w:p>
      <w:pPr>
        <w:pStyle w:val="Heading1"/>
      </w:pPr>
      <w:r>
        <w:t xml:space="preserve">7. Technical Implementation</w:t>
      </w:r>
    </w:p>
    <w:p>
      <w:pPr>
        <w:spacing w:after="80" w:before="160"/>
      </w:pPr>
      <w:r>
        <w:rPr>
          <w:rFonts w:ascii="Arial" w:cs="Arial" w:eastAsia="Arial" w:hAnsi="Arial"/>
          <w:b/>
          <w:bCs/>
          <w:color w:val="1F4E79"/>
          <w:sz w:val="23"/>
          <w:szCs w:val="23"/>
        </w:rPr>
        <w:t xml:space="preserve">7.1 Computing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6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OS</w:t>
            </w:r>
          </w:p>
        </w:tc>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Ubuntu 22.04 LTS (Google Colab Pro+ 또는 로컬)</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R version</w:t>
            </w:r>
          </w:p>
        </w:tc>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4.3+ (Bioconductor 3.18+)</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Python</w:t>
            </w:r>
          </w:p>
        </w:tc>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3.10+ (보조 스크립트)</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GPU</w:t>
            </w:r>
          </w:p>
        </w:tc>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불필요 (CPU-only analysis)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RAM</w:t>
            </w:r>
          </w:p>
        </w:tc>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16GB+ 권장 (GWAS summary stats 로딩)</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Storage</w:t>
            </w:r>
          </w:p>
        </w:tc>
        <w:tc>
          <w:tcPr>
            <w:tcW w:type="dxa" w:w="6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~50GB (GWAS files + intermediate)</w:t>
            </w:r>
          </w:p>
        </w:tc>
      </w:tr>
    </w:tbl>
    <w:p>
      <w:pPr>
        <w:spacing w:after="80" w:before="160"/>
      </w:pPr>
      <w:r>
        <w:rPr>
          <w:rFonts w:ascii="Arial" w:cs="Arial" w:eastAsia="Arial" w:hAnsi="Arial"/>
          <w:b/>
          <w:bCs/>
          <w:color w:val="1F4E79"/>
          <w:sz w:val="23"/>
          <w:szCs w:val="23"/>
        </w:rPr>
        <w:t xml:space="preserve">7.2 Required R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Package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TwoSampleMR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≥0.5.8</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Core MR analysis pipeline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MendelianRandomization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≥0.7.0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Additional MR methods (MR-RAPS, MVMR)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MRPRESSO</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Outlier detection and correction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ieugwasr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≥0.2.1</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OpenGWAS API access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coloc</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≥5.2</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Colocalization analysis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LDlinkR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≥1.3</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LD proxy lookup</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ggplot2</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≥3.4</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Visualization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forestplot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≥3.1</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Forest plot generation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TwoSampleMR (mv_mr)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Built-in</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Multivariable MR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phenoscanner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SNP phenotype screening (pleiotropy)</w:t>
            </w:r>
          </w:p>
        </w:tc>
      </w:tr>
    </w:tbl>
    <w:p>
      <w:pPr>
        <w:spacing w:after="80" w:before="160"/>
      </w:pPr>
      <w:r>
        <w:rPr>
          <w:rFonts w:ascii="Arial" w:cs="Arial" w:eastAsia="Arial" w:hAnsi="Arial"/>
          <w:b/>
          <w:bCs/>
          <w:color w:val="1F4E79"/>
          <w:sz w:val="23"/>
          <w:szCs w:val="23"/>
        </w:rPr>
        <w:t xml:space="preserve">7.3 Core Analysis Code Structure</w:t>
      </w:r>
    </w:p>
    <w:p>
      <w:pPr>
        <w:spacing w:after="120" w:before="0" w:line="276"/>
        <w:jc w:val="left"/>
      </w:pPr>
      <w:r>
        <w:rPr>
          <w:rFonts w:ascii="Arial" w:cs="Arial" w:eastAsia="Arial" w:hAnsi="Arial"/>
          <w:color w:val="333333"/>
          <w:sz w:val="22"/>
          <w:szCs w:val="22"/>
        </w:rPr>
        <w:t xml:space="preserve">프로젝트 디렉토리 구조:</w:t>
      </w:r>
    </w:p>
    <w:p>
      <w:pPr>
        <w:spacing w:after="120" w:before="0" w:line="276"/>
        <w:jc w:val="left"/>
      </w:pPr>
      <w:r>
        <w:rPr>
          <w:rFonts w:ascii="Arial" w:cs="Arial" w:eastAsia="Arial" w:hAnsi="Arial"/>
          <w:b/>
          <w:bCs/>
          <w:color w:val="333333"/>
          <w:sz w:val="20"/>
          <w:szCs w:val="20"/>
        </w:rPr>
        <w:t xml:space="preserve">CP3_MR/</w:t>
      </w:r>
    </w:p>
    <w:p>
      <w:pPr>
        <w:spacing w:after="120" w:before="0" w:line="276"/>
        <w:jc w:val="left"/>
      </w:pPr>
      <w:r>
        <w:rPr>
          <w:rFonts w:ascii="Arial" w:cs="Arial" w:eastAsia="Arial" w:hAnsi="Arial"/>
          <w:color w:val="555555"/>
          <w:sz w:val="19"/>
          <w:szCs w:val="19"/>
        </w:rPr>
        <w:t xml:space="preserve">├── 00_data/                    # GWAS summary statistics</w:t>
      </w:r>
    </w:p>
    <w:p>
      <w:pPr>
        <w:spacing w:after="120" w:before="0" w:line="276"/>
        <w:jc w:val="left"/>
      </w:pPr>
      <w:r>
        <w:rPr>
          <w:rFonts w:ascii="Arial" w:cs="Arial" w:eastAsia="Arial" w:hAnsi="Arial"/>
          <w:color w:val="555555"/>
          <w:sz w:val="19"/>
          <w:szCs w:val="19"/>
        </w:rPr>
        <w:t xml:space="preserve">│   ├── exposure/              # eQTL/pQTL data by gene</w:t>
      </w:r>
    </w:p>
    <w:p>
      <w:pPr>
        <w:spacing w:after="120" w:before="0" w:line="276"/>
        <w:jc w:val="left"/>
      </w:pPr>
      <w:r>
        <w:rPr>
          <w:rFonts w:ascii="Arial" w:cs="Arial" w:eastAsia="Arial" w:hAnsi="Arial"/>
          <w:color w:val="555555"/>
          <w:sz w:val="19"/>
          <w:szCs w:val="19"/>
        </w:rPr>
        <w:t xml:space="preserve">│   └── outcome/               # Myopia/SER/AL GWAS</w:t>
      </w:r>
    </w:p>
    <w:p>
      <w:pPr>
        <w:spacing w:after="120" w:before="0" w:line="276"/>
        <w:jc w:val="left"/>
      </w:pPr>
      <w:r>
        <w:rPr>
          <w:rFonts w:ascii="Arial" w:cs="Arial" w:eastAsia="Arial" w:hAnsi="Arial"/>
          <w:color w:val="555555"/>
          <w:sz w:val="19"/>
          <w:szCs w:val="19"/>
        </w:rPr>
        <w:t xml:space="preserve">├── 01_scripts/                 # Analysis scripts</w:t>
      </w:r>
    </w:p>
    <w:p>
      <w:pPr>
        <w:spacing w:after="120" w:before="0" w:line="276"/>
        <w:jc w:val="left"/>
      </w:pPr>
      <w:r>
        <w:rPr>
          <w:rFonts w:ascii="Arial" w:cs="Arial" w:eastAsia="Arial" w:hAnsi="Arial"/>
          <w:color w:val="555555"/>
          <w:sz w:val="19"/>
          <w:szCs w:val="19"/>
        </w:rPr>
        <w:t xml:space="preserve">│   ├── 01_extract_instruments.R</w:t>
      </w:r>
    </w:p>
    <w:p>
      <w:pPr>
        <w:spacing w:after="120" w:before="0" w:line="276"/>
        <w:jc w:val="left"/>
      </w:pPr>
      <w:r>
        <w:rPr>
          <w:rFonts w:ascii="Arial" w:cs="Arial" w:eastAsia="Arial" w:hAnsi="Arial"/>
          <w:color w:val="555555"/>
          <w:sz w:val="19"/>
          <w:szCs w:val="19"/>
        </w:rPr>
        <w:t xml:space="preserve">│   ├── 02_harmonize.R</w:t>
      </w:r>
    </w:p>
    <w:p>
      <w:pPr>
        <w:spacing w:after="120" w:before="0" w:line="276"/>
        <w:jc w:val="left"/>
      </w:pPr>
      <w:r>
        <w:rPr>
          <w:rFonts w:ascii="Arial" w:cs="Arial" w:eastAsia="Arial" w:hAnsi="Arial"/>
          <w:color w:val="555555"/>
          <w:sz w:val="19"/>
          <w:szCs w:val="19"/>
        </w:rPr>
        <w:t xml:space="preserve">│   ├── 03_primary_mr.R</w:t>
      </w:r>
    </w:p>
    <w:p>
      <w:pPr>
        <w:spacing w:after="120" w:before="0" w:line="276"/>
        <w:jc w:val="left"/>
      </w:pPr>
      <w:r>
        <w:rPr>
          <w:rFonts w:ascii="Arial" w:cs="Arial" w:eastAsia="Arial" w:hAnsi="Arial"/>
          <w:color w:val="555555"/>
          <w:sz w:val="19"/>
          <w:szCs w:val="19"/>
        </w:rPr>
        <w:t xml:space="preserve">│   ├── 04_sensitivity.R</w:t>
      </w:r>
    </w:p>
    <w:p>
      <w:pPr>
        <w:spacing w:after="120" w:before="0" w:line="276"/>
        <w:jc w:val="left"/>
      </w:pPr>
      <w:r>
        <w:rPr>
          <w:rFonts w:ascii="Arial" w:cs="Arial" w:eastAsia="Arial" w:hAnsi="Arial"/>
          <w:color w:val="555555"/>
          <w:sz w:val="19"/>
          <w:szCs w:val="19"/>
        </w:rPr>
        <w:t xml:space="preserve">│   ├── 05_mvmr.R</w:t>
      </w:r>
    </w:p>
    <w:p>
      <w:pPr>
        <w:spacing w:after="120" w:before="0" w:line="276"/>
        <w:jc w:val="left"/>
      </w:pPr>
      <w:r>
        <w:rPr>
          <w:rFonts w:ascii="Arial" w:cs="Arial" w:eastAsia="Arial" w:hAnsi="Arial"/>
          <w:color w:val="555555"/>
          <w:sz w:val="19"/>
          <w:szCs w:val="19"/>
        </w:rPr>
        <w:t xml:space="preserve">│   ├── 06_colocalization.R</w:t>
      </w:r>
    </w:p>
    <w:p>
      <w:pPr>
        <w:spacing w:after="120" w:before="0" w:line="276"/>
        <w:jc w:val="left"/>
      </w:pPr>
      <w:r>
        <w:rPr>
          <w:rFonts w:ascii="Arial" w:cs="Arial" w:eastAsia="Arial" w:hAnsi="Arial"/>
          <w:color w:val="555555"/>
          <w:sz w:val="19"/>
          <w:szCs w:val="19"/>
        </w:rPr>
        <w:t xml:space="preserve">│   └── 07_visualization.R</w:t>
      </w:r>
    </w:p>
    <w:p>
      <w:pPr>
        <w:spacing w:after="120" w:before="0" w:line="276"/>
        <w:jc w:val="left"/>
      </w:pPr>
      <w:r>
        <w:rPr>
          <w:rFonts w:ascii="Arial" w:cs="Arial" w:eastAsia="Arial" w:hAnsi="Arial"/>
          <w:color w:val="555555"/>
          <w:sz w:val="19"/>
          <w:szCs w:val="19"/>
        </w:rPr>
        <w:t xml:space="preserve">├── 02_results/                 # Output tables and figures</w:t>
      </w:r>
    </w:p>
    <w:p>
      <w:pPr>
        <w:spacing w:after="120" w:before="0" w:line="276"/>
        <w:jc w:val="left"/>
      </w:pPr>
      <w:r>
        <w:rPr>
          <w:rFonts w:ascii="Arial" w:cs="Arial" w:eastAsia="Arial" w:hAnsi="Arial"/>
          <w:color w:val="555555"/>
          <w:sz w:val="19"/>
          <w:szCs w:val="19"/>
        </w:rPr>
        <w:t xml:space="preserve">├── 03_figures/                 # Publication-ready figures</w:t>
      </w:r>
    </w:p>
    <w:p>
      <w:pPr>
        <w:spacing w:after="120" w:before="0" w:line="276"/>
        <w:jc w:val="left"/>
      </w:pPr>
      <w:r>
        <w:rPr>
          <w:rFonts w:ascii="Arial" w:cs="Arial" w:eastAsia="Arial" w:hAnsi="Arial"/>
          <w:color w:val="555555"/>
          <w:sz w:val="19"/>
          <w:szCs w:val="19"/>
        </w:rPr>
        <w:t xml:space="preserve">└── 04_manuscript/              # Draft manuscript</w:t>
      </w:r>
    </w:p>
    <w:p>
      <w:pPr>
        <w:spacing w:after="80" w:before="160"/>
      </w:pPr>
      <w:r>
        <w:rPr>
          <w:rFonts w:ascii="Arial" w:cs="Arial" w:eastAsia="Arial" w:hAnsi="Arial"/>
          <w:b/>
          <w:bCs/>
          <w:color w:val="1F4E79"/>
          <w:sz w:val="23"/>
          <w:szCs w:val="23"/>
        </w:rPr>
        <w:t xml:space="preserve">7.4 Key R Code Skeleton</w:t>
      </w:r>
    </w:p>
    <w:p>
      <w:pPr>
        <w:spacing w:after="120" w:before="0" w:line="276"/>
        <w:jc w:val="left"/>
      </w:pPr>
      <w:r>
        <w:rPr>
          <w:rFonts w:ascii="Arial" w:cs="Arial" w:eastAsia="Arial" w:hAnsi="Arial"/>
          <w:color w:val="333333"/>
          <w:sz w:val="22"/>
          <w:szCs w:val="22"/>
        </w:rPr>
        <w:t xml:space="preserve">아래는 MR-A (Dopamine → Myopia) 모듈의 핵심 분석 코드 골격이다:</w:t>
      </w:r>
    </w:p>
    <w:p>
      <w:pPr>
        <w:shd w:fill="F5F5F5" w:val="clear"/>
        <w:spacing w:after="0" w:line="240"/>
        <w:ind w:left="360"/>
      </w:pPr>
      <w:r>
        <w:rPr>
          <w:rFonts w:ascii="Consolas" w:cs="Consolas" w:eastAsia="Consolas" w:hAnsi="Consolas"/>
          <w:color w:val="333333"/>
          <w:sz w:val="17"/>
          <w:szCs w:val="17"/>
        </w:rPr>
        <w:t xml:space="preserve"># ── CP-3 MR-A: Dopamine Pathway → Myopia ──</w:t>
      </w:r>
    </w:p>
    <w:p>
      <w:pPr>
        <w:shd w:fill="F5F5F5" w:val="clear"/>
        <w:spacing w:after="0" w:line="240"/>
        <w:ind w:left="360"/>
      </w:pPr>
      <w:r>
        <w:rPr>
          <w:rFonts w:ascii="Consolas" w:cs="Consolas" w:eastAsia="Consolas" w:hAnsi="Consolas"/>
          <w:color w:val="333333"/>
          <w:sz w:val="17"/>
          <w:szCs w:val="17"/>
        </w:rPr>
        <w:t xml:space="preserve">library(TwoSampleMR); library(MRPRESSO); library(ieugwasr)</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1. Extract instruments from GTEx v8 eQTL</w:t>
      </w:r>
    </w:p>
    <w:p>
      <w:pPr>
        <w:shd w:fill="F5F5F5" w:val="clear"/>
        <w:spacing w:after="0" w:line="240"/>
        <w:ind w:left="360"/>
      </w:pPr>
      <w:r>
        <w:rPr>
          <w:rFonts w:ascii="Consolas" w:cs="Consolas" w:eastAsia="Consolas" w:hAnsi="Consolas"/>
          <w:color w:val="333333"/>
          <w:sz w:val="17"/>
          <w:szCs w:val="17"/>
        </w:rPr>
        <w:t xml:space="preserve">exposure_dat &lt;- extract_instruments(</w:t>
      </w:r>
    </w:p>
    <w:p>
      <w:pPr>
        <w:shd w:fill="F5F5F5" w:val="clear"/>
        <w:spacing w:after="0" w:line="240"/>
        <w:ind w:left="360"/>
      </w:pPr>
      <w:r>
        <w:rPr>
          <w:rFonts w:ascii="Consolas" w:cs="Consolas" w:eastAsia="Consolas" w:hAnsi="Consolas"/>
          <w:color w:val="333333"/>
          <w:sz w:val="17"/>
          <w:szCs w:val="17"/>
        </w:rPr>
        <w:t xml:space="preserve">  outcomes = "eqtl-a-ENSG00000180176",  # TH gene eQTL</w:t>
      </w:r>
    </w:p>
    <w:p>
      <w:pPr>
        <w:shd w:fill="F5F5F5" w:val="clear"/>
        <w:spacing w:after="0" w:line="240"/>
        <w:ind w:left="360"/>
      </w:pPr>
      <w:r>
        <w:rPr>
          <w:rFonts w:ascii="Consolas" w:cs="Consolas" w:eastAsia="Consolas" w:hAnsi="Consolas"/>
          <w:color w:val="333333"/>
          <w:sz w:val="17"/>
          <w:szCs w:val="17"/>
        </w:rPr>
        <w:t xml:space="preserve">  p1 = 5e-08, clump = TRUE, r2 = 0.001, kb = 10000</w:t>
      </w:r>
    </w:p>
    <w:p>
      <w:pPr>
        <w:shd w:fill="F5F5F5" w:val="clear"/>
        <w:spacing w:after="0" w:line="240"/>
        <w:ind w:left="360"/>
      </w:pPr>
      <w:r>
        <w:rPr>
          <w:rFonts w:ascii="Consolas" w:cs="Consolas" w:eastAsia="Consolas" w:hAnsi="Consolas"/>
          <w:color w:val="333333"/>
          <w:sz w:val="17"/>
          <w:szCs w:val="17"/>
        </w:rPr>
        <w:t xml:space="preserve">)</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2. Extract outcome data</w:t>
      </w:r>
    </w:p>
    <w:p>
      <w:pPr>
        <w:shd w:fill="F5F5F5" w:val="clear"/>
        <w:spacing w:after="0" w:line="240"/>
        <w:ind w:left="360"/>
      </w:pPr>
      <w:r>
        <w:rPr>
          <w:rFonts w:ascii="Consolas" w:cs="Consolas" w:eastAsia="Consolas" w:hAnsi="Consolas"/>
          <w:color w:val="333333"/>
          <w:sz w:val="17"/>
          <w:szCs w:val="17"/>
        </w:rPr>
        <w:t xml:space="preserve">outcome_dat &lt;- extract_outcome_data(</w:t>
      </w:r>
    </w:p>
    <w:p>
      <w:pPr>
        <w:shd w:fill="F5F5F5" w:val="clear"/>
        <w:spacing w:after="0" w:line="240"/>
        <w:ind w:left="360"/>
      </w:pPr>
      <w:r>
        <w:rPr>
          <w:rFonts w:ascii="Consolas" w:cs="Consolas" w:eastAsia="Consolas" w:hAnsi="Consolas"/>
          <w:color w:val="333333"/>
          <w:sz w:val="17"/>
          <w:szCs w:val="17"/>
        </w:rPr>
        <w:t xml:space="preserve">  snps = exposure_dat$SNP,</w:t>
      </w:r>
    </w:p>
    <w:p>
      <w:pPr>
        <w:shd w:fill="F5F5F5" w:val="clear"/>
        <w:spacing w:after="0" w:line="240"/>
        <w:ind w:left="360"/>
      </w:pPr>
      <w:r>
        <w:rPr>
          <w:rFonts w:ascii="Consolas" w:cs="Consolas" w:eastAsia="Consolas" w:hAnsi="Consolas"/>
          <w:color w:val="333333"/>
          <w:sz w:val="17"/>
          <w:szCs w:val="17"/>
        </w:rPr>
        <w:t xml:space="preserve">  outcomes = "ieu-a-1116"  # CREAM myopia GWAS</w:t>
      </w:r>
    </w:p>
    <w:p>
      <w:pPr>
        <w:shd w:fill="F5F5F5" w:val="clear"/>
        <w:spacing w:after="0" w:line="240"/>
        <w:ind w:left="360"/>
      </w:pPr>
      <w:r>
        <w:rPr>
          <w:rFonts w:ascii="Consolas" w:cs="Consolas" w:eastAsia="Consolas" w:hAnsi="Consolas"/>
          <w:color w:val="333333"/>
          <w:sz w:val="17"/>
          <w:szCs w:val="17"/>
        </w:rPr>
        <w:t xml:space="preserve">)</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3. Harmonize</w:t>
      </w:r>
    </w:p>
    <w:p>
      <w:pPr>
        <w:shd w:fill="F5F5F5" w:val="clear"/>
        <w:spacing w:after="0" w:line="240"/>
        <w:ind w:left="360"/>
      </w:pPr>
      <w:r>
        <w:rPr>
          <w:rFonts w:ascii="Consolas" w:cs="Consolas" w:eastAsia="Consolas" w:hAnsi="Consolas"/>
          <w:color w:val="333333"/>
          <w:sz w:val="17"/>
          <w:szCs w:val="17"/>
        </w:rPr>
        <w:t xml:space="preserve">dat &lt;- harmonise_data(exposure_dat, outcome_dat)</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4. F-statistic check</w:t>
      </w:r>
    </w:p>
    <w:p>
      <w:pPr>
        <w:shd w:fill="F5F5F5" w:val="clear"/>
        <w:spacing w:after="0" w:line="240"/>
        <w:ind w:left="360"/>
      </w:pPr>
      <w:r>
        <w:rPr>
          <w:rFonts w:ascii="Consolas" w:cs="Consolas" w:eastAsia="Consolas" w:hAnsi="Consolas"/>
          <w:color w:val="333333"/>
          <w:sz w:val="17"/>
          <w:szCs w:val="17"/>
        </w:rPr>
        <w:t xml:space="preserve">dat$F &lt;- (dat$beta.exposure / dat$se.exposure)^2</w:t>
      </w:r>
    </w:p>
    <w:p>
      <w:pPr>
        <w:shd w:fill="F5F5F5" w:val="clear"/>
        <w:spacing w:after="0" w:line="240"/>
        <w:ind w:left="360"/>
      </w:pPr>
      <w:r>
        <w:rPr>
          <w:rFonts w:ascii="Consolas" w:cs="Consolas" w:eastAsia="Consolas" w:hAnsi="Consolas"/>
          <w:color w:val="333333"/>
          <w:sz w:val="17"/>
          <w:szCs w:val="17"/>
        </w:rPr>
        <w:t xml:space="preserve">cat('Min F-statistic:', min(dat$F), '\n')  # Must be &gt; 10</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5. Primary MR</w:t>
      </w:r>
    </w:p>
    <w:p>
      <w:pPr>
        <w:shd w:fill="F5F5F5" w:val="clear"/>
        <w:spacing w:after="0" w:line="240"/>
        <w:ind w:left="360"/>
      </w:pPr>
      <w:r>
        <w:rPr>
          <w:rFonts w:ascii="Consolas" w:cs="Consolas" w:eastAsia="Consolas" w:hAnsi="Consolas"/>
          <w:color w:val="333333"/>
          <w:sz w:val="17"/>
          <w:szCs w:val="17"/>
        </w:rPr>
        <w:t xml:space="preserve">res &lt;- mr(dat, method_list = c(</w:t>
      </w:r>
    </w:p>
    <w:p>
      <w:pPr>
        <w:shd w:fill="F5F5F5" w:val="clear"/>
        <w:spacing w:after="0" w:line="240"/>
        <w:ind w:left="360"/>
      </w:pPr>
      <w:r>
        <w:rPr>
          <w:rFonts w:ascii="Consolas" w:cs="Consolas" w:eastAsia="Consolas" w:hAnsi="Consolas"/>
          <w:color w:val="333333"/>
          <w:sz w:val="17"/>
          <w:szCs w:val="17"/>
        </w:rPr>
        <w:t xml:space="preserve">  "mr_ivw", "mr_egger_regression",</w:t>
      </w:r>
    </w:p>
    <w:p>
      <w:pPr>
        <w:shd w:fill="F5F5F5" w:val="clear"/>
        <w:spacing w:after="0" w:line="240"/>
        <w:ind w:left="360"/>
      </w:pPr>
      <w:r>
        <w:rPr>
          <w:rFonts w:ascii="Consolas" w:cs="Consolas" w:eastAsia="Consolas" w:hAnsi="Consolas"/>
          <w:color w:val="333333"/>
          <w:sz w:val="17"/>
          <w:szCs w:val="17"/>
        </w:rPr>
        <w:t xml:space="preserve">  "mr_weighted_median", "mr_weighted_mode"))</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6. Sensitivity</w:t>
      </w:r>
    </w:p>
    <w:p>
      <w:pPr>
        <w:shd w:fill="F5F5F5" w:val="clear"/>
        <w:spacing w:after="0" w:line="240"/>
        <w:ind w:left="360"/>
      </w:pPr>
      <w:r>
        <w:rPr>
          <w:rFonts w:ascii="Consolas" w:cs="Consolas" w:eastAsia="Consolas" w:hAnsi="Consolas"/>
          <w:color w:val="333333"/>
          <w:sz w:val="17"/>
          <w:szCs w:val="17"/>
        </w:rPr>
        <w:t xml:space="preserve">het &lt;- mr_heterogeneity(dat)        # Cochran's Q</w:t>
      </w:r>
    </w:p>
    <w:p>
      <w:pPr>
        <w:shd w:fill="F5F5F5" w:val="clear"/>
        <w:spacing w:after="0" w:line="240"/>
        <w:ind w:left="360"/>
      </w:pPr>
      <w:r>
        <w:rPr>
          <w:rFonts w:ascii="Consolas" w:cs="Consolas" w:eastAsia="Consolas" w:hAnsi="Consolas"/>
          <w:color w:val="333333"/>
          <w:sz w:val="17"/>
          <w:szCs w:val="17"/>
        </w:rPr>
        <w:t xml:space="preserve">plt &lt;- mr_pleiotropy_test(dat)      # Egger intercept</w:t>
      </w:r>
    </w:p>
    <w:p>
      <w:pPr>
        <w:shd w:fill="F5F5F5" w:val="clear"/>
        <w:spacing w:after="0" w:line="240"/>
        <w:ind w:left="360"/>
      </w:pPr>
      <w:r>
        <w:rPr>
          <w:rFonts w:ascii="Consolas" w:cs="Consolas" w:eastAsia="Consolas" w:hAnsi="Consolas"/>
          <w:color w:val="333333"/>
          <w:sz w:val="17"/>
          <w:szCs w:val="17"/>
        </w:rPr>
        <w:t xml:space="preserve">loo &lt;- mr_leaveoneout(dat)          # Leave-one-out</w:t>
      </w:r>
    </w:p>
    <w:p>
      <w:pPr>
        <w:shd w:fill="F5F5F5" w:val="clear"/>
        <w:spacing w:after="0" w:line="240"/>
        <w:ind w:left="360"/>
      </w:pPr>
      <w:r>
        <w:rPr>
          <w:rFonts w:ascii="Consolas" w:cs="Consolas" w:eastAsia="Consolas" w:hAnsi="Consolas"/>
          <w:color w:val="333333"/>
          <w:sz w:val="17"/>
          <w:szCs w:val="17"/>
        </w:rPr>
        <w:t xml:space="preserve">presso &lt;- mr_presso(BetaOutcome=...) # MR-PRESSO</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7. Steiger directionality</w:t>
      </w:r>
    </w:p>
    <w:p>
      <w:pPr>
        <w:shd w:fill="F5F5F5" w:val="clear"/>
        <w:spacing w:after="0" w:line="240"/>
        <w:ind w:left="360"/>
      </w:pPr>
      <w:r>
        <w:rPr>
          <w:rFonts w:ascii="Consolas" w:cs="Consolas" w:eastAsia="Consolas" w:hAnsi="Consolas"/>
          <w:color w:val="333333"/>
          <w:sz w:val="17"/>
          <w:szCs w:val="17"/>
        </w:rPr>
        <w:t xml:space="preserve">steiger &lt;- directionality_test(dat)</w:t>
      </w:r>
    </w:p>
    <w:p>
      <w:pPr>
        <w:shd w:fill="F5F5F5" w:val="clear"/>
        <w:spacing w:after="0" w:line="240"/>
        <w:ind w:left="360"/>
      </w:pPr>
      <w:r>
        <w:rPr>
          <w:rFonts w:ascii="Consolas" w:cs="Consolas" w:eastAsia="Consolas" w:hAnsi="Consolas"/>
          <w:color w:val="333333"/>
          <w:sz w:val="17"/>
          <w:szCs w:val="17"/>
        </w:rPr>
        <w:t xml:space="preserve"> </w:t>
      </w:r>
    </w:p>
    <w:p>
      <w:pPr>
        <w:shd w:fill="F5F5F5" w:val="clear"/>
        <w:spacing w:after="0" w:line="240"/>
        <w:ind w:left="360"/>
      </w:pPr>
      <w:r>
        <w:rPr>
          <w:rFonts w:ascii="Consolas" w:cs="Consolas" w:eastAsia="Consolas" w:hAnsi="Consolas"/>
          <w:color w:val="333333"/>
          <w:sz w:val="17"/>
          <w:szCs w:val="17"/>
        </w:rPr>
        <w:t xml:space="preserve"># 8. Visualization</w:t>
      </w:r>
    </w:p>
    <w:p>
      <w:pPr>
        <w:shd w:fill="F5F5F5" w:val="clear"/>
        <w:spacing w:after="0" w:line="240"/>
        <w:ind w:left="360"/>
      </w:pPr>
      <w:r>
        <w:rPr>
          <w:rFonts w:ascii="Consolas" w:cs="Consolas" w:eastAsia="Consolas" w:hAnsi="Consolas"/>
          <w:color w:val="333333"/>
          <w:sz w:val="17"/>
          <w:szCs w:val="17"/>
        </w:rPr>
        <w:t xml:space="preserve">mr_scatter_plot(res, dat)           # Scatter plot</w:t>
      </w:r>
    </w:p>
    <w:p>
      <w:pPr>
        <w:shd w:fill="F5F5F5" w:val="clear"/>
        <w:spacing w:after="0" w:line="240"/>
        <w:ind w:left="360"/>
      </w:pPr>
      <w:r>
        <w:rPr>
          <w:rFonts w:ascii="Consolas" w:cs="Consolas" w:eastAsia="Consolas" w:hAnsi="Consolas"/>
          <w:color w:val="333333"/>
          <w:sz w:val="17"/>
          <w:szCs w:val="17"/>
        </w:rPr>
        <w:t xml:space="preserve">mr_forest_plot(mr_singlesnp(dat))  # Forest plot</w:t>
      </w:r>
    </w:p>
    <w:p>
      <w:pPr>
        <w:shd w:fill="F5F5F5" w:val="clear"/>
        <w:spacing w:after="0" w:line="240"/>
        <w:ind w:left="360"/>
      </w:pPr>
      <w:r>
        <w:rPr>
          <w:rFonts w:ascii="Consolas" w:cs="Consolas" w:eastAsia="Consolas" w:hAnsi="Consolas"/>
          <w:color w:val="333333"/>
          <w:sz w:val="17"/>
          <w:szCs w:val="17"/>
        </w:rPr>
        <w:t xml:space="preserve">mr_funnel_plot(mr_singlesnp(dat))  # Funnel plot</w:t>
      </w:r>
    </w:p>
    <w:p>
      <w:r>
        <w:br w:type="page"/>
      </w:r>
    </w:p>
    <w:p>
      <w:pPr>
        <w:pStyle w:val="Heading1"/>
      </w:pPr>
      <w:r>
        <w:t xml:space="preserve">8.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200"/>
        <w:gridCol w:w="28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Phase</w:t>
            </w:r>
          </w:p>
        </w:tc>
        <w:tc>
          <w:tcPr>
            <w:tcW w:type="dxa" w:w="4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Activities</w:t>
            </w:r>
          </w:p>
        </w:tc>
        <w:tc>
          <w:tcPr>
            <w:tcW w:type="dxa" w:w="2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W1-2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Setup &amp; Data</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 환경 구축, GWAS summary stats 다운로드, eQTL 데이터 정리, 코드 템플릿 완성</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분석 파이프라인 검증 완료</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W3-4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MR-A (Dopamine)</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TH/DDC/DRD1/DRD2/COMT MR 분석, sensitivity analysis, MVMR</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MR-A 결과 테이블 + 그래프</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W5-6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MR-B (Hippo-YAP)</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LATS1/2/YAP1/TEAD1/WWTR1 MR, colocalization</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MR-B 결과 (최고 참신성)</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W6-7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MR-C/D (Receptors)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CHRM1/2/4, ADRA2A MR, MVMR(CHRM4 vs ADRA2A)</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아트로핀 타겟 MR 증거</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W7-8</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MR-E (Sclera)</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HIF1A/TGFB1/LOX/MMP2 MR, reverse MR</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공막 리모델링 인과 증거</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W9-10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Integration</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전체 결과 통합, forest plot, triangulation with CP-1/CP-2</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통합 결과 테이블</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W11-12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Manuscript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논문 초안 작성, 그래프 최종화, supplementary 준비</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투고 준비 완료 원고</w:t>
            </w:r>
          </w:p>
        </w:tc>
      </w:tr>
    </w:tbl>
    <w:p>
      <w:pPr>
        <w:spacing w:after="80" w:before="160"/>
      </w:pPr>
      <w:r>
        <w:rPr>
          <w:rFonts w:ascii="Arial" w:cs="Arial" w:eastAsia="Arial" w:hAnsi="Arial"/>
          <w:b/>
          <w:bCs/>
          <w:color w:val="1F4E79"/>
          <w:sz w:val="23"/>
          <w:szCs w:val="23"/>
        </w:rPr>
        <w:t xml:space="preserve">8.1 Critical Path</w:t>
      </w:r>
    </w:p>
    <w:p>
      <w:pPr>
        <w:pStyle w:val="ListParagraph"/>
        <w:numPr>
          <w:ilvl w:val="0"/>
          <w:numId w:val="2"/>
        </w:numPr>
        <w:spacing w:after="60" w:line="276"/>
      </w:pPr>
      <w:r>
        <w:rPr>
          <w:rFonts w:ascii="Arial" w:cs="Arial" w:eastAsia="Arial" w:hAnsi="Arial"/>
          <w:color w:val="333333"/>
          <w:sz w:val="21"/>
          <w:szCs w:val="21"/>
        </w:rPr>
        <w:t xml:space="preserve">Week 1-2가 가장 중요: 데이터 접근 + 파이프라인 검증이 전체 일정의 기반</w:t>
      </w:r>
    </w:p>
    <w:p>
      <w:pPr>
        <w:pStyle w:val="ListParagraph"/>
        <w:numPr>
          <w:ilvl w:val="0"/>
          <w:numId w:val="2"/>
        </w:numPr>
        <w:spacing w:after="60" w:line="276"/>
      </w:pPr>
      <w:r>
        <w:rPr>
          <w:rFonts w:ascii="Arial" w:cs="Arial" w:eastAsia="Arial" w:hAnsi="Arial"/>
          <w:color w:val="333333"/>
          <w:sz w:val="21"/>
          <w:szCs w:val="21"/>
        </w:rPr>
        <w:t xml:space="preserve">MR-B(Hippo-YAP)가 핵심 novelty → 가장 정밀한 분석 필요 → 별도 1주 배정</w:t>
      </w:r>
    </w:p>
    <w:p>
      <w:pPr>
        <w:pStyle w:val="ListParagraph"/>
        <w:numPr>
          <w:ilvl w:val="0"/>
          <w:numId w:val="2"/>
        </w:numPr>
        <w:spacing w:after="60" w:line="276"/>
      </w:pPr>
      <w:r>
        <w:rPr>
          <w:rFonts w:ascii="Arial" w:cs="Arial" w:eastAsia="Arial" w:hAnsi="Arial"/>
          <w:color w:val="333333"/>
          <w:sz w:val="21"/>
          <w:szCs w:val="21"/>
        </w:rPr>
        <w:t xml:space="preserve">Week 9-10 통합 시 CP-1/CP-2 결과가 필요 → 병렬 진행 필수</w:t>
      </w:r>
    </w:p>
    <w:p>
      <w:pPr>
        <w:spacing w:after="80" w:before="160"/>
      </w:pPr>
      <w:r>
        <w:rPr>
          <w:rFonts w:ascii="Arial" w:cs="Arial" w:eastAsia="Arial" w:hAnsi="Arial"/>
          <w:b/>
          <w:bCs/>
          <w:color w:val="1F4E79"/>
          <w:sz w:val="23"/>
          <w:szCs w:val="23"/>
        </w:rPr>
        <w:t xml:space="preserve">8.2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5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Impact</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Probability</w:t>
            </w:r>
          </w:p>
        </w:tc>
        <w:tc>
          <w:tcPr>
            <w:tcW w:type="dxa" w:w="5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Mitigation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eQTL SNP 부족 (F&lt;10)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pQTL 사용, threshold 완화 (5e-06), cis+trans 포함</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Horizontal pleiotropy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MR-Egger, MR-PRESSO, MVMR, coloc</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Sample overlap (exposure-outcome)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별개 코호트 사용, cross-dataset validation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Null results (all negative)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Negative도 publishable; cascade 반증도 가치 있음</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동아시아 GWAS 부족</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Medium</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European 주분석 + 동아시아 sensitivity</w:t>
            </w:r>
          </w:p>
        </w:tc>
      </w:tr>
    </w:tbl>
    <w:p>
      <w:r>
        <w:br w:type="page"/>
      </w:r>
    </w:p>
    <w:p>
      <w:pPr>
        <w:pStyle w:val="Heading1"/>
      </w:pPr>
      <w:r>
        <w:t xml:space="preserve">9. Output Specifications</w:t>
      </w:r>
    </w:p>
    <w:p>
      <w:pPr>
        <w:spacing w:after="80" w:before="160"/>
      </w:pPr>
      <w:r>
        <w:rPr>
          <w:rFonts w:ascii="Arial" w:cs="Arial" w:eastAsia="Arial" w:hAnsi="Arial"/>
          <w:b/>
          <w:bCs/>
          <w:color w:val="1F4E79"/>
          <w:sz w:val="23"/>
          <w:szCs w:val="23"/>
        </w:rPr>
        <w:t xml:space="preserve">9.1 Main Figures (논문용)</w:t>
      </w:r>
    </w:p>
    <w:p>
      <w:pPr>
        <w:pStyle w:val="ListParagraph"/>
        <w:numPr>
          <w:ilvl w:val="0"/>
          <w:numId w:val="8"/>
        </w:numPr>
        <w:spacing w:after="60" w:line="276"/>
      </w:pPr>
      <w:r>
        <w:rPr>
          <w:rFonts w:ascii="Arial" w:cs="Arial" w:eastAsia="Arial" w:hAnsi="Arial"/>
          <w:color w:val="333333"/>
          <w:sz w:val="21"/>
          <w:szCs w:val="21"/>
        </w:rPr>
        <w:t xml:space="preserve">Figure 1: Study design schematic — M-LIGHT cascade + MR 검증 로직 다이어그램</w:t>
      </w:r>
    </w:p>
    <w:p>
      <w:pPr>
        <w:pStyle w:val="ListParagraph"/>
        <w:numPr>
          <w:ilvl w:val="0"/>
          <w:numId w:val="8"/>
        </w:numPr>
        <w:spacing w:after="60" w:line="276"/>
      </w:pPr>
      <w:r>
        <w:rPr>
          <w:rFonts w:ascii="Arial" w:cs="Arial" w:eastAsia="Arial" w:hAnsi="Arial"/>
          <w:color w:val="333333"/>
          <w:sz w:val="21"/>
          <w:szCs w:val="21"/>
        </w:rPr>
        <w:t xml:space="preserve">Figure 2: Forest plot — 모든 exposure-outcome 쌍의 IVW 효과 크기 (central figure)</w:t>
      </w:r>
    </w:p>
    <w:p>
      <w:pPr>
        <w:pStyle w:val="ListParagraph"/>
        <w:numPr>
          <w:ilvl w:val="0"/>
          <w:numId w:val="8"/>
        </w:numPr>
        <w:spacing w:after="60" w:line="276"/>
      </w:pPr>
      <w:r>
        <w:rPr>
          <w:rFonts w:ascii="Arial" w:cs="Arial" w:eastAsia="Arial" w:hAnsi="Arial"/>
          <w:color w:val="333333"/>
          <w:sz w:val="21"/>
          <w:szCs w:val="21"/>
        </w:rPr>
        <w:t xml:space="preserve">Figure 3: Scatter plots — Module별 대표 scatter plot (MR-A~E 각 1개, 5-panel)</w:t>
      </w:r>
    </w:p>
    <w:p>
      <w:pPr>
        <w:pStyle w:val="ListParagraph"/>
        <w:numPr>
          <w:ilvl w:val="0"/>
          <w:numId w:val="8"/>
        </w:numPr>
        <w:spacing w:after="60" w:line="276"/>
      </w:pPr>
      <w:r>
        <w:rPr>
          <w:rFonts w:ascii="Arial" w:cs="Arial" w:eastAsia="Arial" w:hAnsi="Arial"/>
          <w:color w:val="333333"/>
          <w:sz w:val="21"/>
          <w:szCs w:val="21"/>
        </w:rPr>
        <w:t xml:space="preserve">Figure 4: Triangulation heatmap — CP-1/CP-2/CP-3 결과 수렴 매트릭스</w:t>
      </w:r>
    </w:p>
    <w:p>
      <w:pPr>
        <w:spacing w:after="80" w:before="160"/>
      </w:pPr>
      <w:r>
        <w:rPr>
          <w:rFonts w:ascii="Arial" w:cs="Arial" w:eastAsia="Arial" w:hAnsi="Arial"/>
          <w:b/>
          <w:bCs/>
          <w:color w:val="1F4E79"/>
          <w:sz w:val="23"/>
          <w:szCs w:val="23"/>
        </w:rPr>
        <w:t xml:space="preserve">9.2 Main Tables</w:t>
      </w:r>
    </w:p>
    <w:p>
      <w:pPr>
        <w:pStyle w:val="ListParagraph"/>
        <w:numPr>
          <w:ilvl w:val="0"/>
          <w:numId w:val="8"/>
        </w:numPr>
        <w:spacing w:after="60" w:line="276"/>
      </w:pPr>
      <w:r>
        <w:rPr>
          <w:rFonts w:ascii="Arial" w:cs="Arial" w:eastAsia="Arial" w:hAnsi="Arial"/>
          <w:color w:val="333333"/>
          <w:sz w:val="21"/>
          <w:szCs w:val="21"/>
        </w:rPr>
        <w:t xml:space="preserve">Table 1: Instrument characteristics — 모든 SNP, F-statistic, R², gene, tissue</w:t>
      </w:r>
    </w:p>
    <w:p>
      <w:pPr>
        <w:pStyle w:val="ListParagraph"/>
        <w:numPr>
          <w:ilvl w:val="0"/>
          <w:numId w:val="8"/>
        </w:numPr>
        <w:spacing w:after="60" w:line="276"/>
      </w:pPr>
      <w:r>
        <w:rPr>
          <w:rFonts w:ascii="Arial" w:cs="Arial" w:eastAsia="Arial" w:hAnsi="Arial"/>
          <w:color w:val="333333"/>
          <w:sz w:val="21"/>
          <w:szCs w:val="21"/>
        </w:rPr>
        <w:t xml:space="preserve">Table 2: Primary MR results — IVW, Egger, WM, PRESSO per exposure-outcome pair</w:t>
      </w:r>
    </w:p>
    <w:p>
      <w:pPr>
        <w:pStyle w:val="ListParagraph"/>
        <w:numPr>
          <w:ilvl w:val="0"/>
          <w:numId w:val="8"/>
        </w:numPr>
        <w:spacing w:after="60" w:line="276"/>
      </w:pPr>
      <w:r>
        <w:rPr>
          <w:rFonts w:ascii="Arial" w:cs="Arial" w:eastAsia="Arial" w:hAnsi="Arial"/>
          <w:color w:val="333333"/>
          <w:sz w:val="21"/>
          <w:szCs w:val="21"/>
        </w:rPr>
        <w:t xml:space="preserve">Table 3: Sensitivity analysis summary — Q-test, Egger intercept, Steiger, PRESSO global</w:t>
      </w:r>
    </w:p>
    <w:p>
      <w:pPr>
        <w:pStyle w:val="ListParagraph"/>
        <w:numPr>
          <w:ilvl w:val="0"/>
          <w:numId w:val="8"/>
        </w:numPr>
        <w:spacing w:after="60" w:line="276"/>
      </w:pPr>
      <w:r>
        <w:rPr>
          <w:rFonts w:ascii="Arial" w:cs="Arial" w:eastAsia="Arial" w:hAnsi="Arial"/>
          <w:color w:val="333333"/>
          <w:sz w:val="21"/>
          <w:szCs w:val="21"/>
        </w:rPr>
        <w:t xml:space="preserve">Table 4: MVMR results — 독립 효과 추정 (DA pathway, receptor comparison)</w:t>
      </w:r>
    </w:p>
    <w:p>
      <w:pPr>
        <w:spacing w:after="80" w:before="160"/>
      </w:pPr>
      <w:r>
        <w:rPr>
          <w:rFonts w:ascii="Arial" w:cs="Arial" w:eastAsia="Arial" w:hAnsi="Arial"/>
          <w:b/>
          <w:bCs/>
          <w:color w:val="1F4E79"/>
          <w:sz w:val="23"/>
          <w:szCs w:val="23"/>
        </w:rPr>
        <w:t xml:space="preserve">9.3 Supplementary Materials</w:t>
      </w:r>
    </w:p>
    <w:p>
      <w:pPr>
        <w:pStyle w:val="ListParagraph"/>
        <w:numPr>
          <w:ilvl w:val="0"/>
          <w:numId w:val="2"/>
        </w:numPr>
        <w:spacing w:after="60" w:line="276"/>
      </w:pPr>
      <w:r>
        <w:rPr>
          <w:rFonts w:ascii="Arial" w:cs="Arial" w:eastAsia="Arial" w:hAnsi="Arial"/>
          <w:color w:val="333333"/>
          <w:sz w:val="21"/>
          <w:szCs w:val="21"/>
        </w:rPr>
        <w:t xml:space="preserve">Supplementary Table S1-S5: 각 모듈별 개별 SNP-level 결과</w:t>
      </w:r>
    </w:p>
    <w:p>
      <w:pPr>
        <w:pStyle w:val="ListParagraph"/>
        <w:numPr>
          <w:ilvl w:val="0"/>
          <w:numId w:val="2"/>
        </w:numPr>
        <w:spacing w:after="60" w:line="276"/>
      </w:pPr>
      <w:r>
        <w:rPr>
          <w:rFonts w:ascii="Arial" w:cs="Arial" w:eastAsia="Arial" w:hAnsi="Arial"/>
          <w:color w:val="333333"/>
          <w:sz w:val="21"/>
          <w:szCs w:val="21"/>
        </w:rPr>
        <w:t xml:space="preserve">Supplementary Figure S1-S5: Leave-one-out + Funnel plot per module</w:t>
      </w:r>
    </w:p>
    <w:p>
      <w:pPr>
        <w:pStyle w:val="ListParagraph"/>
        <w:numPr>
          <w:ilvl w:val="0"/>
          <w:numId w:val="2"/>
        </w:numPr>
        <w:spacing w:after="60" w:line="276"/>
      </w:pPr>
      <w:r>
        <w:rPr>
          <w:rFonts w:ascii="Arial" w:cs="Arial" w:eastAsia="Arial" w:hAnsi="Arial"/>
          <w:color w:val="333333"/>
          <w:sz w:val="21"/>
          <w:szCs w:val="21"/>
        </w:rPr>
        <w:t xml:space="preserve">Supplementary Table S6: Colocalization results (posterior probability)</w:t>
      </w:r>
    </w:p>
    <w:p>
      <w:pPr>
        <w:pStyle w:val="ListParagraph"/>
        <w:numPr>
          <w:ilvl w:val="0"/>
          <w:numId w:val="2"/>
        </w:numPr>
        <w:spacing w:after="60" w:line="276"/>
      </w:pPr>
      <w:r>
        <w:rPr>
          <w:rFonts w:ascii="Arial" w:cs="Arial" w:eastAsia="Arial" w:hAnsi="Arial"/>
          <w:color w:val="333333"/>
          <w:sz w:val="21"/>
          <w:szCs w:val="21"/>
        </w:rPr>
        <w:t xml:space="preserve">Supplementary Table S7: PhenoScanner results (pleiotropy screening)</w:t>
      </w:r>
    </w:p>
    <w:p>
      <w:pPr>
        <w:pStyle w:val="ListParagraph"/>
        <w:numPr>
          <w:ilvl w:val="0"/>
          <w:numId w:val="2"/>
        </w:numPr>
        <w:spacing w:after="60" w:line="276"/>
      </w:pPr>
      <w:r>
        <w:rPr>
          <w:rFonts w:ascii="Arial" w:cs="Arial" w:eastAsia="Arial" w:hAnsi="Arial"/>
          <w:color w:val="333333"/>
          <w:sz w:val="21"/>
          <w:szCs w:val="21"/>
        </w:rPr>
        <w:t xml:space="preserve">Supplementary Code: GitHub repository link (reproducibility)</w:t>
      </w:r>
    </w:p>
    <w:p>
      <w:pPr>
        <w:spacing w:after="80" w:before="160"/>
      </w:pPr>
      <w:r>
        <w:rPr>
          <w:rFonts w:ascii="Arial" w:cs="Arial" w:eastAsia="Arial" w:hAnsi="Arial"/>
          <w:b/>
          <w:bCs/>
          <w:color w:val="1F4E79"/>
          <w:sz w:val="23"/>
          <w:szCs w:val="23"/>
        </w:rPr>
        <w:t xml:space="preserve">9.4 Target Journal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000"/>
        <w:gridCol w:w="2800"/>
        <w:gridCol w:w="20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Journal</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IF (2024)</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c>
          <w:tcPr>
            <w:tcW w:type="dxa" w:w="2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Format</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1st</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Ophthalmology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Flagship journal, MR well-received</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Original Investigation</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2nd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British Journal of Ophthalmology</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Strong MR tradition (UK-based)</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Research Article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3rd</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IOVS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~4.4</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Mechanistic focus, broader scope</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Research Article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4th</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EBioMedicine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~11</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Translational, Lancet family</w:t>
            </w:r>
          </w:p>
        </w:tc>
        <w:tc>
          <w:tcPr>
            <w:tcW w:type="dxa" w:w="20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Research Article</w:t>
            </w:r>
          </w:p>
        </w:tc>
      </w:tr>
    </w:tbl>
    <w:p>
      <w:r>
        <w:br w:type="page"/>
      </w:r>
    </w:p>
    <w:p>
      <w:pPr>
        <w:pStyle w:val="Heading1"/>
      </w:pPr>
      <w:r>
        <w:t xml:space="preserve">10. Quality Assurance &amp; Reporting Standards</w:t>
      </w:r>
    </w:p>
    <w:p>
      <w:pPr>
        <w:spacing w:after="80" w:before="160"/>
      </w:pPr>
      <w:r>
        <w:rPr>
          <w:rFonts w:ascii="Arial" w:cs="Arial" w:eastAsia="Arial" w:hAnsi="Arial"/>
          <w:b/>
          <w:bCs/>
          <w:color w:val="1F4E79"/>
          <w:sz w:val="23"/>
          <w:szCs w:val="23"/>
        </w:rPr>
        <w:t xml:space="preserve">10.1 STROBE-MR Checklist</w:t>
      </w:r>
    </w:p>
    <w:p>
      <w:pPr>
        <w:spacing w:after="120" w:before="0" w:line="276"/>
        <w:jc w:val="left"/>
      </w:pPr>
      <w:r>
        <w:rPr>
          <w:rFonts w:ascii="Arial" w:cs="Arial" w:eastAsia="Arial" w:hAnsi="Arial"/>
          <w:color w:val="333333"/>
          <w:sz w:val="22"/>
          <w:szCs w:val="22"/>
        </w:rPr>
        <w:t xml:space="preserve">CP-3는 STROBE-MR(Strengthening the Reporting of Observational Studies in Epidemiology for Mendelian Randomization) 가이드라인을 준수한다. 논문 투고 시 STROBE-MR checklist를 supplementary로 첨부한다.</w:t>
      </w:r>
    </w:p>
    <w:p>
      <w:pPr>
        <w:spacing w:after="80" w:before="160"/>
      </w:pPr>
      <w:r>
        <w:rPr>
          <w:rFonts w:ascii="Arial" w:cs="Arial" w:eastAsia="Arial" w:hAnsi="Arial"/>
          <w:b/>
          <w:bCs/>
          <w:color w:val="1F4E79"/>
          <w:sz w:val="23"/>
          <w:szCs w:val="23"/>
        </w:rPr>
        <w:t xml:space="preserve">10.2 Reproducibility</w:t>
      </w:r>
    </w:p>
    <w:p>
      <w:pPr>
        <w:pStyle w:val="ListParagraph"/>
        <w:numPr>
          <w:ilvl w:val="0"/>
          <w:numId w:val="2"/>
        </w:numPr>
        <w:spacing w:after="60" w:line="276"/>
      </w:pPr>
      <w:r>
        <w:rPr>
          <w:rFonts w:ascii="Arial" w:cs="Arial" w:eastAsia="Arial" w:hAnsi="Arial"/>
          <w:color w:val="333333"/>
          <w:sz w:val="21"/>
          <w:szCs w:val="21"/>
        </w:rPr>
        <w:t xml:space="preserve">모든 분석 코드를 GitHub repository에 공개 (논문 acceptance 후)</w:t>
      </w:r>
    </w:p>
    <w:p>
      <w:pPr>
        <w:pStyle w:val="ListParagraph"/>
        <w:numPr>
          <w:ilvl w:val="0"/>
          <w:numId w:val="2"/>
        </w:numPr>
        <w:spacing w:after="60" w:line="276"/>
      </w:pPr>
      <w:r>
        <w:rPr>
          <w:rFonts w:ascii="Arial" w:cs="Arial" w:eastAsia="Arial" w:hAnsi="Arial"/>
          <w:color w:val="333333"/>
          <w:sz w:val="21"/>
          <w:szCs w:val="21"/>
        </w:rPr>
        <w:t xml:space="preserve">GWAS summary statistics 접근 경로를 Methods에 명시</w:t>
      </w:r>
    </w:p>
    <w:p>
      <w:pPr>
        <w:pStyle w:val="ListParagraph"/>
        <w:numPr>
          <w:ilvl w:val="0"/>
          <w:numId w:val="2"/>
        </w:numPr>
        <w:spacing w:after="60" w:line="276"/>
      </w:pPr>
      <w:r>
        <w:rPr>
          <w:rFonts w:ascii="Arial" w:cs="Arial" w:eastAsia="Arial" w:hAnsi="Arial"/>
          <w:color w:val="333333"/>
          <w:sz w:val="21"/>
          <w:szCs w:val="21"/>
        </w:rPr>
        <w:t xml:space="preserve">R sessionInfo() 및 패키지 버전 기록</w:t>
      </w:r>
    </w:p>
    <w:p>
      <w:pPr>
        <w:pStyle w:val="ListParagraph"/>
        <w:numPr>
          <w:ilvl w:val="0"/>
          <w:numId w:val="2"/>
        </w:numPr>
        <w:spacing w:after="60" w:line="276"/>
      </w:pPr>
      <w:r>
        <w:rPr>
          <w:rFonts w:ascii="Arial" w:cs="Arial" w:eastAsia="Arial" w:hAnsi="Arial"/>
          <w:color w:val="333333"/>
          <w:sz w:val="21"/>
          <w:szCs w:val="21"/>
        </w:rPr>
        <w:t xml:space="preserve">Seed 설정 (set.seed(2026)) for reproducible LD clumping</w:t>
      </w:r>
    </w:p>
    <w:p>
      <w:pPr>
        <w:pStyle w:val="ListParagraph"/>
        <w:numPr>
          <w:ilvl w:val="0"/>
          <w:numId w:val="2"/>
        </w:numPr>
        <w:spacing w:after="60" w:line="276"/>
      </w:pPr>
      <w:r>
        <w:rPr>
          <w:rFonts w:ascii="Arial" w:cs="Arial" w:eastAsia="Arial" w:hAnsi="Arial"/>
          <w:color w:val="333333"/>
          <w:sz w:val="21"/>
          <w:szCs w:val="21"/>
        </w:rPr>
        <w:t xml:space="preserve">Docker container 또는 renv lockfile로 환경 재현 가능하게 보존</w:t>
      </w:r>
    </w:p>
    <w:p>
      <w:pPr>
        <w:spacing w:after="80" w:before="160"/>
      </w:pPr>
      <w:r>
        <w:rPr>
          <w:rFonts w:ascii="Arial" w:cs="Arial" w:eastAsia="Arial" w:hAnsi="Arial"/>
          <w:b/>
          <w:bCs/>
          <w:color w:val="1F4E79"/>
          <w:sz w:val="23"/>
          <w:szCs w:val="23"/>
        </w:rPr>
        <w:t xml:space="preserve">10.3 Pre-registration (Optional but Recommended)</w:t>
      </w:r>
    </w:p>
    <w:p>
      <w:pPr>
        <w:spacing w:after="120" w:before="0" w:line="276"/>
        <w:jc w:val="left"/>
      </w:pPr>
      <w:r>
        <w:rPr>
          <w:rFonts w:ascii="Arial" w:cs="Arial" w:eastAsia="Arial" w:hAnsi="Arial"/>
          <w:color w:val="333333"/>
          <w:sz w:val="22"/>
          <w:szCs w:val="22"/>
        </w:rPr>
        <w:t xml:space="preserve">OSF(Open Science Framework)에 분석 계획 사전 등록을 고려한다. 사전 등록은 (1) HARKing(Hypothesizing After Results are Known) 방지, (2) 투명성 향상, (3) reviewers에게 긍정적 인상을 제공한다. 특히 null results가 나오더라도 사전 등록이 있으면 publication 가능성이 높아진다.</w:t>
      </w:r>
    </w:p>
    <w:p>
      <w:pPr>
        <w:spacing w:after="80" w:before="160"/>
      </w:pPr>
      <w:r>
        <w:rPr>
          <w:rFonts w:ascii="Arial" w:cs="Arial" w:eastAsia="Arial" w:hAnsi="Arial"/>
          <w:b/>
          <w:bCs/>
          <w:color w:val="1F4E79"/>
          <w:sz w:val="23"/>
          <w:szCs w:val="23"/>
        </w:rPr>
        <w:t xml:space="preserve">10.4 Internal Review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Checkpoint</w:t>
            </w:r>
          </w:p>
        </w:tc>
        <w:tc>
          <w:tcPr>
            <w:tcW w:type="dxa" w:w="1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Timing</w:t>
            </w:r>
          </w:p>
        </w:tc>
        <w:tc>
          <w:tcPr>
            <w:tcW w:type="dxa" w:w="6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Review Items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CP-1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W2 완료 시</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파이프라인 검증, 첫 MR-A 결과 리뷰, IV 적절성 확인</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CP-2</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W6 완료 시</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MR-A~B 결과 통합 리뷰, 방향성 일관성 확인, 추가 분석 결정</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CP-3</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W10 완료 시</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전체 결과 리뷰, 논문 figure/table 확정, 해석 논의</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CP-4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W12 투고 전</w:t>
            </w:r>
          </w:p>
        </w:tc>
        <w:tc>
          <w:tcPr>
            <w:tcW w:type="dxa" w:w="6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최종 원고 리뷰, STROBE-MR 체크, co-author 확인</w:t>
            </w:r>
          </w:p>
        </w:tc>
      </w:tr>
    </w:tbl>
    <w:p>
      <w:r>
        <w:br w:type="page"/>
      </w:r>
    </w:p>
    <w:p>
      <w:pPr>
        <w:pStyle w:val="Heading1"/>
      </w:pPr>
      <w:r>
        <w:t xml:space="preserve">11. Expected Impact &amp; Strategic Value</w:t>
      </w:r>
    </w:p>
    <w:p>
      <w:pPr>
        <w:spacing w:after="80" w:before="160"/>
      </w:pPr>
      <w:r>
        <w:rPr>
          <w:rFonts w:ascii="Arial" w:cs="Arial" w:eastAsia="Arial" w:hAnsi="Arial"/>
          <w:b/>
          <w:bCs/>
          <w:color w:val="1F4E79"/>
          <w:sz w:val="23"/>
          <w:szCs w:val="23"/>
        </w:rPr>
        <w:t xml:space="preserve">11.1 Scientific Impact</w:t>
      </w:r>
    </w:p>
    <w:p>
      <w:pPr>
        <w:pStyle w:val="ListParagraph"/>
        <w:numPr>
          <w:ilvl w:val="0"/>
          <w:numId w:val="2"/>
        </w:numPr>
        <w:spacing w:after="60" w:line="276"/>
      </w:pPr>
      <w:r>
        <w:rPr>
          <w:rFonts w:ascii="Arial" w:cs="Arial" w:eastAsia="Arial" w:hAnsi="Arial"/>
          <w:color w:val="333333"/>
          <w:sz w:val="21"/>
          <w:szCs w:val="21"/>
        </w:rPr>
        <w:t xml:space="preserve">세계 최초 Hippo-YAP → Myopia MR: 근시 연구의 새로운 기전 축 제시</w:t>
      </w:r>
    </w:p>
    <w:p>
      <w:pPr>
        <w:pStyle w:val="ListParagraph"/>
        <w:numPr>
          <w:ilvl w:val="0"/>
          <w:numId w:val="2"/>
        </w:numPr>
        <w:spacing w:after="60" w:line="276"/>
      </w:pPr>
      <w:r>
        <w:rPr>
          <w:rFonts w:ascii="Arial" w:cs="Arial" w:eastAsia="Arial" w:hAnsi="Arial"/>
          <w:color w:val="333333"/>
          <w:sz w:val="21"/>
          <w:szCs w:val="21"/>
        </w:rPr>
        <w:t xml:space="preserve">아트로핀 타겟 논쟁 해결: M1 vs M2 vs M4 vs α2A의 유전적 증거 제공</w:t>
      </w:r>
    </w:p>
    <w:p>
      <w:pPr>
        <w:pStyle w:val="ListParagraph"/>
        <w:numPr>
          <w:ilvl w:val="0"/>
          <w:numId w:val="2"/>
        </w:numPr>
        <w:spacing w:after="60" w:line="276"/>
      </w:pPr>
      <w:r>
        <w:rPr>
          <w:rFonts w:ascii="Arial" w:cs="Arial" w:eastAsia="Arial" w:hAnsi="Arial"/>
          <w:color w:val="333333"/>
          <w:sz w:val="21"/>
          <w:szCs w:val="21"/>
        </w:rPr>
        <w:t xml:space="preserve">M-LIGHT cascade 전체의 인과적 타당성 검증: 5개 경로 체계적 MR</w:t>
      </w:r>
    </w:p>
    <w:p>
      <w:pPr>
        <w:pStyle w:val="ListParagraph"/>
        <w:numPr>
          <w:ilvl w:val="0"/>
          <w:numId w:val="2"/>
        </w:numPr>
        <w:spacing w:after="60" w:line="276"/>
      </w:pPr>
      <w:r>
        <w:rPr>
          <w:rFonts w:ascii="Arial" w:cs="Arial" w:eastAsia="Arial" w:hAnsi="Arial"/>
          <w:color w:val="333333"/>
          <w:sz w:val="21"/>
          <w:szCs w:val="21"/>
        </w:rPr>
        <w:t xml:space="preserve">Triangulation: Network + Transcriptome + Genetics 3중 수렴 증거</w:t>
      </w:r>
    </w:p>
    <w:p>
      <w:pPr>
        <w:spacing w:after="80" w:before="160"/>
      </w:pPr>
      <w:r>
        <w:rPr>
          <w:rFonts w:ascii="Arial" w:cs="Arial" w:eastAsia="Arial" w:hAnsi="Arial"/>
          <w:b/>
          <w:bCs/>
          <w:color w:val="1F4E79"/>
          <w:sz w:val="23"/>
          <w:szCs w:val="23"/>
        </w:rPr>
        <w:t xml:space="preserve">11.2 Grant Application Value</w:t>
      </w:r>
    </w:p>
    <w:p>
      <w:pPr>
        <w:pStyle w:val="ListParagraph"/>
        <w:numPr>
          <w:ilvl w:val="0"/>
          <w:numId w:val="2"/>
        </w:numPr>
        <w:spacing w:after="60" w:line="276"/>
      </w:pPr>
      <w:r>
        <w:rPr>
          <w:rFonts w:ascii="Arial" w:cs="Arial" w:eastAsia="Arial" w:hAnsi="Arial"/>
          <w:color w:val="333333"/>
          <w:sz w:val="21"/>
          <w:szCs w:val="21"/>
        </w:rPr>
        <w:t xml:space="preserve">NRF 신진연구자: CP-3 결과가 “유전적 인과관계 확인된 pathway를 wet lab에서 검증”하는 SP-1/SP-2의 근거</w:t>
      </w:r>
    </w:p>
    <w:p>
      <w:pPr>
        <w:pStyle w:val="ListParagraph"/>
        <w:numPr>
          <w:ilvl w:val="0"/>
          <w:numId w:val="2"/>
        </w:numPr>
        <w:spacing w:after="60" w:line="276"/>
      </w:pPr>
      <w:r>
        <w:rPr>
          <w:rFonts w:ascii="Arial" w:cs="Arial" w:eastAsia="Arial" w:hAnsi="Arial"/>
          <w:color w:val="333333"/>
          <w:sz w:val="21"/>
          <w:szCs w:val="21"/>
        </w:rPr>
        <w:t xml:space="preserve">KHIDI: “Atropine 기전 규명 → next-generation 약물 개발” 서사의 핵심 데이터</w:t>
      </w:r>
    </w:p>
    <w:p>
      <w:pPr>
        <w:pStyle w:val="ListParagraph"/>
        <w:numPr>
          <w:ilvl w:val="0"/>
          <w:numId w:val="2"/>
        </w:numPr>
        <w:spacing w:after="60" w:line="276"/>
      </w:pPr>
      <w:r>
        <w:rPr>
          <w:rFonts w:ascii="Arial" w:cs="Arial" w:eastAsia="Arial" w:hAnsi="Arial"/>
          <w:color w:val="333333"/>
          <w:sz w:val="21"/>
          <w:szCs w:val="21"/>
        </w:rPr>
        <w:t xml:space="preserve">교내 과제: Computational 성과 + 논문 = 연구 역량 증명</w:t>
      </w:r>
    </w:p>
    <w:p>
      <w:pPr>
        <w:spacing w:after="80" w:before="160"/>
      </w:pPr>
      <w:r>
        <w:rPr>
          <w:rFonts w:ascii="Arial" w:cs="Arial" w:eastAsia="Arial" w:hAnsi="Arial"/>
          <w:b/>
          <w:bCs/>
          <w:color w:val="1F4E79"/>
          <w:sz w:val="23"/>
          <w:szCs w:val="23"/>
        </w:rPr>
        <w:t xml:space="preserve">11.3 IP &amp; Translational Value</w:t>
      </w:r>
    </w:p>
    <w:p>
      <w:pPr>
        <w:pStyle w:val="ListParagraph"/>
        <w:numPr>
          <w:ilvl w:val="0"/>
          <w:numId w:val="2"/>
        </w:numPr>
        <w:spacing w:after="60" w:line="276"/>
      </w:pPr>
      <w:r>
        <w:rPr>
          <w:rFonts w:ascii="Arial" w:cs="Arial" w:eastAsia="Arial" w:hAnsi="Arial"/>
          <w:color w:val="333333"/>
          <w:sz w:val="21"/>
          <w:szCs w:val="21"/>
        </w:rPr>
        <w:t xml:space="preserve">MR에서 유의한 새로운 타겟 발견 시 → CP-4(AI drug design)에 즉시 연결</w:t>
      </w:r>
    </w:p>
    <w:p>
      <w:pPr>
        <w:pStyle w:val="ListParagraph"/>
        <w:numPr>
          <w:ilvl w:val="0"/>
          <w:numId w:val="2"/>
        </w:numPr>
        <w:spacing w:after="60" w:line="276"/>
      </w:pPr>
      <w:r>
        <w:rPr>
          <w:rFonts w:ascii="Arial" w:cs="Arial" w:eastAsia="Arial" w:hAnsi="Arial"/>
          <w:color w:val="333333"/>
          <w:sz w:val="21"/>
          <w:szCs w:val="21"/>
        </w:rPr>
        <w:t xml:space="preserve">LOX MR 양성 → Scleral cross-linking 치료의 유전적 근거 → clinical trial justification</w:t>
      </w:r>
    </w:p>
    <w:p>
      <w:pPr>
        <w:pStyle w:val="ListParagraph"/>
        <w:numPr>
          <w:ilvl w:val="0"/>
          <w:numId w:val="2"/>
        </w:numPr>
        <w:spacing w:after="60" w:line="276"/>
      </w:pPr>
      <w:r>
        <w:rPr>
          <w:rFonts w:ascii="Arial" w:cs="Arial" w:eastAsia="Arial" w:hAnsi="Arial"/>
          <w:color w:val="333333"/>
          <w:sz w:val="21"/>
          <w:szCs w:val="21"/>
        </w:rPr>
        <w:t xml:space="preserve">HIF1A MR 양성 → Anti-HIF 약물 repurposing (CP-6)의 인과적 근거</w:t>
      </w:r>
    </w:p>
    <w:p>
      <w:r>
        <w:br w:type="page"/>
      </w:r>
    </w:p>
    <w:p>
      <w:pPr>
        <w:pStyle w:val="Heading1"/>
      </w:pPr>
      <w:r>
        <w:t xml:space="preserve">12. Appendices</w:t>
      </w:r>
    </w:p>
    <w:p>
      <w:pPr>
        <w:spacing w:after="80" w:before="160"/>
      </w:pPr>
      <w:r>
        <w:rPr>
          <w:rFonts w:ascii="Arial" w:cs="Arial" w:eastAsia="Arial" w:hAnsi="Arial"/>
          <w:b/>
          <w:bCs/>
          <w:color w:val="1F4E79"/>
          <w:sz w:val="23"/>
          <w:szCs w:val="23"/>
        </w:rPr>
        <w:t xml:space="preserve">Appendix A: Complete Gene List with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Gene Symbol</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ENSEMBL ID</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Pathway</w:t>
            </w:r>
          </w:p>
        </w:tc>
        <w:tc>
          <w:tcPr>
            <w:tcW w:type="dxa" w:w="4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eQTL ID (OpenGWAS)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TH</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ENSG00000180176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Dopamine synthesis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eqtl-a-ENSG00000180176</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DDC</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ENSG00000132437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Dopamine synthesis</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eqtl-a-ENSG00000132437</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DRD1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ENSG00000184845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Dopamine receptor</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eqtl-a-ENSG00000184845</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DRD2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ENSG00000149295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Dopamine receptor</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eqtl-a-ENSG00000149295</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COMT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ENSG00000093010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Dopamine metabolism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eqtl-a-ENSG00000093010</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LATS1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ENSG00000131023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Hippo-YAP</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eqtl-a-ENSG00000131023</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LATS2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ENSG00000150457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Hippo-YAP</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eqtl-a-ENSG00000150457</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YAP1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ENSG00000137693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Hippo-YAP</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eqtl-a-ENSG00000137693</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TEAD1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ENSG00000187079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Hippo-YAP</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eqtl-a-ENSG00000187079</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WWTR1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ENSG00000018408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Hippo-YAP</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eqtl-a-ENSG00000018408</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CHRM1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ENSG00000168539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Muscarinic</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eqtl-a-ENSG00000168539</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CHRM2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ENSG00000181072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Muscarinic</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eqtl-a-ENSG00000181072</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CHRM4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ENSG00000180720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Muscarinic</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eqtl-a-ENSG00000180720</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ADRA2A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ENSG00000150594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Adrenergic</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eqtl-a-ENSG00000150594</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HIF1A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ENSG00000100644</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Hypoxia</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eqtl-a-ENSG00000100644</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TGFB1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ENSG00000105329</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TGFβ</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eqtl-a-ENSG00000105329</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LOX</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ENSG00000113083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Scleral ECM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eqtl-a-ENSG00000113083</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MMP2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ENSG00000087245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Scleral ECM</w:t>
            </w:r>
          </w:p>
        </w:tc>
        <w:tc>
          <w:tcPr>
            <w:tcW w:type="dxa" w:w="4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eqtl-a-ENSG00000087245</w:t>
            </w:r>
          </w:p>
        </w:tc>
      </w:tr>
    </w:tbl>
    <w:p>
      <w:pPr>
        <w:spacing w:after="80" w:before="160"/>
      </w:pPr>
      <w:r>
        <w:rPr>
          <w:rFonts w:ascii="Arial" w:cs="Arial" w:eastAsia="Arial" w:hAnsi="Arial"/>
          <w:b/>
          <w:bCs/>
          <w:color w:val="1F4E79"/>
          <w:sz w:val="23"/>
          <w:szCs w:val="23"/>
        </w:rPr>
        <w:t xml:space="preserve">Appendix B: Key References for MR Methods</w:t>
      </w:r>
    </w:p>
    <w:p>
      <w:pPr>
        <w:spacing w:after="120" w:before="0" w:line="276"/>
        <w:jc w:val="left"/>
      </w:pPr>
      <w:r>
        <w:rPr>
          <w:rFonts w:ascii="Arial" w:cs="Arial" w:eastAsia="Arial" w:hAnsi="Arial"/>
          <w:color w:val="333333"/>
          <w:sz w:val="19"/>
          <w:szCs w:val="19"/>
        </w:rPr>
        <w:t xml:space="preserve">1. Davey Smith G, Hemani G. Mendelian randomization: genetic anchors for causal inference. Hum Mol Genet 2014;23(R1):R89-98.</w:t>
      </w:r>
    </w:p>
    <w:p>
      <w:pPr>
        <w:spacing w:after="120" w:before="0" w:line="276"/>
        <w:jc w:val="left"/>
      </w:pPr>
      <w:r>
        <w:rPr>
          <w:rFonts w:ascii="Arial" w:cs="Arial" w:eastAsia="Arial" w:hAnsi="Arial"/>
          <w:color w:val="333333"/>
          <w:sz w:val="19"/>
          <w:szCs w:val="19"/>
        </w:rPr>
        <w:t xml:space="preserve">2. Burgess S et al. Guidelines for performing Mendelian randomization investigations. Wellcome Open Res 2020;4:186.</w:t>
      </w:r>
    </w:p>
    <w:p>
      <w:pPr>
        <w:spacing w:after="120" w:before="0" w:line="276"/>
        <w:jc w:val="left"/>
      </w:pPr>
      <w:r>
        <w:rPr>
          <w:rFonts w:ascii="Arial" w:cs="Arial" w:eastAsia="Arial" w:hAnsi="Arial"/>
          <w:color w:val="333333"/>
          <w:sz w:val="19"/>
          <w:szCs w:val="19"/>
        </w:rPr>
        <w:t xml:space="preserve">3. Skrivankova VW et al. Strengthening the reporting of observational studies in epidemiology using Mendelian randomization (STROBE-MR). JAMA 2021;326:1614-21.</w:t>
      </w:r>
    </w:p>
    <w:p>
      <w:pPr>
        <w:spacing w:after="120" w:before="0" w:line="276"/>
        <w:jc w:val="left"/>
      </w:pPr>
      <w:r>
        <w:rPr>
          <w:rFonts w:ascii="Arial" w:cs="Arial" w:eastAsia="Arial" w:hAnsi="Arial"/>
          <w:color w:val="333333"/>
          <w:sz w:val="19"/>
          <w:szCs w:val="19"/>
        </w:rPr>
        <w:t xml:space="preserve">4. Hemani G et al. The MR-Base platform supports systematic causal inference across the human phenome. eLife 2018;7:e34408.</w:t>
      </w:r>
    </w:p>
    <w:p>
      <w:pPr>
        <w:spacing w:after="120" w:before="0" w:line="276"/>
        <w:jc w:val="left"/>
      </w:pPr>
      <w:r>
        <w:rPr>
          <w:rFonts w:ascii="Arial" w:cs="Arial" w:eastAsia="Arial" w:hAnsi="Arial"/>
          <w:color w:val="333333"/>
          <w:sz w:val="19"/>
          <w:szCs w:val="19"/>
        </w:rPr>
        <w:t xml:space="preserve">5. Verbanck M et al. Detection of widespread horizontal pleiotropy in causal relationships inferred from MR. Nat Genet 2018;50:693-8.</w:t>
      </w:r>
    </w:p>
    <w:p>
      <w:pPr>
        <w:spacing w:after="80" w:before="160"/>
      </w:pPr>
      <w:r>
        <w:rPr>
          <w:rFonts w:ascii="Arial" w:cs="Arial" w:eastAsia="Arial" w:hAnsi="Arial"/>
          <w:b/>
          <w:bCs/>
          <w:color w:val="1F4E79"/>
          <w:sz w:val="23"/>
          <w:szCs w:val="23"/>
        </w:rPr>
        <w:t xml:space="preserve">Appendix C: Outcome GWAS IDs (OpenGWAS)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Trait</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OpenGWAS ID</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w:t>
            </w:r>
          </w:p>
        </w:tc>
        <w:tc>
          <w:tcPr>
            <w:tcW w:type="dxa" w:w="2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Myopia (CREAM)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ieu-a-1116</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~160K</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Binary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Refractive error (UKBB+CREAM)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ebi-a-GCST006630</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~540K</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Continuous (SER)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Axial length</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 be confirmed from latest release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~80K</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Continuous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333333"/>
                <w:sz w:val="19"/>
                <w:szCs w:val="19"/>
              </w:rPr>
              <w:t xml:space="preserve">Myopia (FinnGen)</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finngen_R10_H7_MYOPIA</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~400K</w:t>
            </w:r>
          </w:p>
        </w:tc>
        <w:tc>
          <w:tcPr>
            <w:tcW w:type="dxa" w:w="2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Binary, validation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M-LIGHT CP-3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2026-04-10T07:09:37.366Z</dcterms:created>
  <dcterms:modified xsi:type="dcterms:W3CDTF">2026-04-10T07:09:37.366Z</dcterms:modified>
</cp:coreProperties>
</file>

<file path=docProps/custom.xml><?xml version="1.0" encoding="utf-8"?>
<Properties xmlns="http://schemas.openxmlformats.org/officeDocument/2006/custom-properties" xmlns:vt="http://schemas.openxmlformats.org/officeDocument/2006/docPropsVTypes"/>
</file>