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60"/>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Two-sample Mendelian randomization results for M-LIGHT cascade genes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1100"/>
        <w:gridCol w:w="550"/>
        <w:gridCol w:w="600"/>
        <w:gridCol w:w="750"/>
        <w:gridCol w:w="1300"/>
        <w:gridCol w:w="500"/>
        <w:gridCol w:w="650"/>
        <w:gridCol w:w="700"/>
        <w:gridCol w:w="1100"/>
        <w:gridCol w:w="1050"/>
        <w:gridCol w:w="1100"/>
        <w:gridCol w:w="1300"/>
        <w:gridCol w:w="1280"/>
      </w:tblGrid>
      <w:tr>
        <w:tc>
          <w:tcPr>
            <w:tcW w:type="dxa" w:w="85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Gene</w:t>
            </w:r>
          </w:p>
        </w:tc>
        <w:tc>
          <w:tcPr>
            <w:tcW w:type="dxa" w:w="85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Pathway</w:t>
            </w:r>
          </w:p>
        </w:tc>
        <w:tc>
          <w:tcPr>
            <w:tcW w:type="dxa" w:w="11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Lead SNP</w:t>
            </w:r>
          </w:p>
        </w:tc>
        <w:tc>
          <w:tcPr>
            <w:tcW w:type="dxa" w:w="55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EA</w:t>
            </w:r>
          </w:p>
        </w:tc>
        <w:tc>
          <w:tcPr>
            <w:tcW w:type="dxa" w:w="6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EAF</w:t>
            </w:r>
          </w:p>
        </w:tc>
        <w:tc>
          <w:tcPr>
            <w:tcW w:type="dxa" w:w="75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i/>
                <w:iCs/>
                <w:sz w:val="17"/>
                <w:szCs w:val="17"/>
              </w:rPr>
              <w:t xml:space="preserve">F</w:t>
            </w:r>
          </w:p>
        </w:tc>
        <w:tc>
          <w:tcPr>
            <w:tcW w:type="dxa" w:w="13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R</w:t>
            </w:r>
            <w:r>
              <w:rPr>
                <w:rFonts w:ascii="Times New Roman" w:cs="Times New Roman" w:eastAsia="Times New Roman" w:hAnsi="Times New Roman"/>
                <w:sz w:val="14"/>
                <w:szCs w:val="14"/>
                <w:vertAlign w:val="superscript"/>
              </w:rPr>
              <w:t xml:space="preserve">2</w:t>
            </w:r>
          </w:p>
        </w:tc>
        <w:tc>
          <w:tcPr>
            <w:tcW w:type="dxa" w:w="5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i/>
                <w:iCs/>
                <w:sz w:val="17"/>
                <w:szCs w:val="17"/>
              </w:rPr>
              <w:t xml:space="preserve">N</w:t>
            </w:r>
            <w:r>
              <w:rPr>
                <w:rFonts w:ascii="Times New Roman" w:cs="Times New Roman" w:eastAsia="Times New Roman" w:hAnsi="Times New Roman"/>
                <w:b/>
                <w:bCs/>
                <w:sz w:val="17"/>
                <w:szCs w:val="17"/>
              </w:rPr>
              <w:t xml:space="preserve">IV</w:t>
            </w:r>
          </w:p>
        </w:tc>
        <w:tc>
          <w:tcPr>
            <w:tcW w:type="dxa" w:w="65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Method</w:t>
            </w:r>
          </w:p>
        </w:tc>
        <w:tc>
          <w:tcPr>
            <w:tcW w:type="dxa" w:w="7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i/>
                <w:iCs/>
                <w:sz w:val="17"/>
                <w:szCs w:val="17"/>
              </w:rPr>
              <w:t xml:space="preserve">β</w:t>
            </w:r>
          </w:p>
        </w:tc>
        <w:tc>
          <w:tcPr>
            <w:tcW w:type="dxa" w:w="11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95% CI</w:t>
            </w:r>
          </w:p>
        </w:tc>
        <w:tc>
          <w:tcPr>
            <w:tcW w:type="dxa" w:w="105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i/>
                <w:iCs/>
                <w:sz w:val="17"/>
                <w:szCs w:val="17"/>
              </w:rPr>
              <w:t xml:space="preserve">P</w:t>
            </w:r>
          </w:p>
        </w:tc>
        <w:tc>
          <w:tcPr>
            <w:tcW w:type="dxa" w:w="11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Steiger</w:t>
            </w:r>
          </w:p>
        </w:tc>
        <w:tc>
          <w:tcPr>
            <w:tcW w:type="dxa" w:w="13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Reverse MR</w:t>
            </w:r>
          </w:p>
        </w:tc>
        <w:tc>
          <w:tcPr>
            <w:tcW w:type="dxa" w:w="128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PhenoScanner</w:t>
            </w:r>
          </w:p>
        </w:tc>
      </w:tr>
      <w:tr>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TGFB1</w:t>
            </w:r>
          </w:p>
        </w:tc>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TGFβ</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rs1963413</w:t>
            </w:r>
          </w:p>
        </w:tc>
        <w:tc>
          <w:tcPr>
            <w:tcW w:type="dxa" w:w="5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&gt;20</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w:t>
            </w:r>
          </w:p>
        </w:tc>
        <w:tc>
          <w:tcPr>
            <w:tcW w:type="dxa" w:w="6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Wald</w:t>
            </w:r>
          </w:p>
        </w:tc>
        <w:tc>
          <w:tcPr>
            <w:tcW w:type="dxa" w:w="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−0.027</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(−0.045, −0.009)</w:t>
            </w:r>
          </w:p>
        </w:tc>
        <w:tc>
          <w:tcPr>
            <w:tcW w:type="dxa" w:w="10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0.003</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TRUE</w:t>
            </w:r>
            <w:r>
              <w:rPr>
                <w:rFonts w:ascii="Times New Roman" w:cs="Times New Roman" w:eastAsia="Times New Roman" w:hAnsi="Times New Roman"/>
                <w:sz w:val="17"/>
                <w:szCs w:val="17"/>
              </w:rPr>
              <w:t xml:space="preserve"> (1.7×10</w:t>
            </w:r>
            <w:r>
              <w:rPr>
                <w:rFonts w:ascii="Times New Roman" w:cs="Times New Roman" w:eastAsia="Times New Roman" w:hAnsi="Times New Roman"/>
                <w:sz w:val="14"/>
                <w:szCs w:val="14"/>
                <w:vertAlign w:val="superscript"/>
              </w:rPr>
              <w:t xml:space="preserve">−5</w:t>
            </w: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Null (P=0.90)</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Height</w:t>
            </w:r>
          </w:p>
        </w:tc>
      </w:tr>
      <w:tr>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LATS2</w:t>
            </w:r>
          </w:p>
        </w:tc>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Hippo</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&gt;20</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w:t>
            </w:r>
          </w:p>
        </w:tc>
        <w:tc>
          <w:tcPr>
            <w:tcW w:type="dxa" w:w="6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Wald</w:t>
            </w:r>
          </w:p>
        </w:tc>
        <w:tc>
          <w:tcPr>
            <w:tcW w:type="dxa" w:w="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+0.018</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(+0.001, +0.035)</w:t>
            </w:r>
          </w:p>
        </w:tc>
        <w:tc>
          <w:tcPr>
            <w:tcW w:type="dxa" w:w="10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0.04</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TRUE</w:t>
            </w:r>
            <w:r>
              <w:rPr>
                <w:rFonts w:ascii="Times New Roman" w:cs="Times New Roman" w:eastAsia="Times New Roman" w:hAnsi="Times New Roman"/>
                <w:sz w:val="17"/>
                <w:szCs w:val="17"/>
              </w:rPr>
              <w:t xml:space="preserve"> (1.3×10</w:t>
            </w:r>
            <w:r>
              <w:rPr>
                <w:rFonts w:ascii="Times New Roman" w:cs="Times New Roman" w:eastAsia="Times New Roman" w:hAnsi="Times New Roman"/>
                <w:sz w:val="14"/>
                <w:szCs w:val="14"/>
                <w:vertAlign w:val="superscript"/>
              </w:rPr>
              <w:t xml:space="preserve">−6</w:t>
            </w: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Null (P=0.94)</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Clean</w:t>
            </w:r>
          </w:p>
        </w:tc>
      </w:tr>
      <w:tr>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HIF1A</w:t>
            </w:r>
          </w:p>
        </w:tc>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Hypoxia</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Multiple</w:t>
            </w:r>
          </w:p>
        </w:tc>
        <w:tc>
          <w:tcPr>
            <w:tcW w:type="dxa" w:w="5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w:t>
            </w:r>
          </w:p>
        </w:tc>
        <w:tc>
          <w:tcPr>
            <w:tcW w:type="dxa" w:w="6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WM</w:t>
            </w:r>
          </w:p>
        </w:tc>
        <w:tc>
          <w:tcPr>
            <w:tcW w:type="dxa" w:w="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−0.004</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(−0.008, 0.000)</w:t>
            </w:r>
          </w:p>
        </w:tc>
        <w:tc>
          <w:tcPr>
            <w:tcW w:type="dxa" w:w="10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0.068</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r>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COMT</w:t>
            </w:r>
          </w:p>
        </w:tc>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Dopamine</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Multiple</w:t>
            </w:r>
          </w:p>
        </w:tc>
        <w:tc>
          <w:tcPr>
            <w:tcW w:type="dxa" w:w="5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5</w:t>
            </w:r>
          </w:p>
        </w:tc>
        <w:tc>
          <w:tcPr>
            <w:tcW w:type="dxa" w:w="6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IVW</w:t>
            </w:r>
          </w:p>
        </w:tc>
        <w:tc>
          <w:tcPr>
            <w:tcW w:type="dxa" w:w="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−0.008</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(−0.020, +0.004)</w:t>
            </w:r>
          </w:p>
        </w:tc>
        <w:tc>
          <w:tcPr>
            <w:tcW w:type="dxa" w:w="10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0.19</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r>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ADRA2A</w:t>
            </w:r>
          </w:p>
        </w:tc>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Adrenergic</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Multiple</w:t>
            </w:r>
          </w:p>
        </w:tc>
        <w:tc>
          <w:tcPr>
            <w:tcW w:type="dxa" w:w="5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2</w:t>
            </w:r>
          </w:p>
        </w:tc>
        <w:tc>
          <w:tcPr>
            <w:tcW w:type="dxa" w:w="6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IVW</w:t>
            </w:r>
          </w:p>
        </w:tc>
        <w:tc>
          <w:tcPr>
            <w:tcW w:type="dxa" w:w="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−0.001</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(−0.011, +0.009)</w:t>
            </w:r>
          </w:p>
        </w:tc>
        <w:tc>
          <w:tcPr>
            <w:tcW w:type="dxa" w:w="10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0.80</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r>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CHRM3</w:t>
            </w:r>
          </w:p>
        </w:tc>
        <w:tc>
          <w:tcPr>
            <w:tcW w:type="dxa" w:w="8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Muscarinic</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Multiple</w:t>
            </w:r>
          </w:p>
        </w:tc>
        <w:tc>
          <w:tcPr>
            <w:tcW w:type="dxa" w:w="5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2</w:t>
            </w:r>
          </w:p>
        </w:tc>
        <w:tc>
          <w:tcPr>
            <w:tcW w:type="dxa" w:w="6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IVW</w:t>
            </w:r>
          </w:p>
        </w:tc>
        <w:tc>
          <w:tcPr>
            <w:tcW w:type="dxa" w:w="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+0.004</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(−0.006, +0.014)</w:t>
            </w:r>
          </w:p>
        </w:tc>
        <w:tc>
          <w:tcPr>
            <w:tcW w:type="dxa" w:w="105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0.40</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r>
        <w:tc>
          <w:tcPr>
            <w:tcW w:type="dxa" w:w="85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LOX</w:t>
            </w:r>
          </w:p>
        </w:tc>
        <w:tc>
          <w:tcPr>
            <w:tcW w:type="dxa" w:w="85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ECM</w:t>
            </w:r>
          </w:p>
        </w:tc>
        <w:tc>
          <w:tcPr>
            <w:tcW w:type="dxa" w:w="11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Multiple</w:t>
            </w:r>
          </w:p>
        </w:tc>
        <w:tc>
          <w:tcPr>
            <w:tcW w:type="dxa" w:w="55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6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75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5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2</w:t>
            </w:r>
          </w:p>
        </w:tc>
        <w:tc>
          <w:tcPr>
            <w:tcW w:type="dxa" w:w="65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IVW</w:t>
            </w:r>
          </w:p>
        </w:tc>
        <w:tc>
          <w:tcPr>
            <w:tcW w:type="dxa" w:w="7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−0.002</w:t>
            </w:r>
          </w:p>
        </w:tc>
        <w:tc>
          <w:tcPr>
            <w:tcW w:type="dxa" w:w="11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(−0.014, +0.010)</w:t>
            </w:r>
          </w:p>
        </w:tc>
        <w:tc>
          <w:tcPr>
            <w:tcW w:type="dxa" w:w="105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0.74</w:t>
            </w:r>
          </w:p>
        </w:tc>
        <w:tc>
          <w:tcPr>
            <w:tcW w:type="dxa" w:w="11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8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bl>
    <w:p>
      <w:pPr>
        <w:spacing w:after="240" w:before="60" w:line="240"/>
      </w:pPr>
      <w:r>
        <w:rPr>
          <w:rFonts w:ascii="Times New Roman" w:cs="Times New Roman" w:eastAsia="Times New Roman" w:hAnsi="Times New Roman"/>
          <w:i/>
          <w:iCs/>
          <w:sz w:val="16"/>
          <w:szCs w:val="16"/>
        </w:rPr>
        <w:t xml:space="preserve">Outcome: UK Biobank myopia (ukb-b-6353; N=460,536; 37,362 cases). Bold = P&lt;0.05. Exposure source: eQTLGen blood cis-eQTLs (N=31,684). EA = effect allele; EAF = effect allele frequency; F = F-statistic for instrument strength (&gt;10 = strong); IVW = inverse-variance weighted; WM = weighted median. * = to be filled from R script output (10_extract_table_data.R). Steiger and reverse MR performed only for significant results. 15 additional genes (TH, DRD1, DRD2, YAP1, LATS1, TEAD1, WWTR1, CHRM1/2/4/5, GABRA1, EGFR, MMP2, VEGFA) had insufficient instruments (no cis-eQTL at P&lt;5×10⁻⁶) and are listed in Supplementary Table S2.</w:t>
      </w:r>
    </w:p>
    <w:p>
      <w:r>
        <w:br w:type="page"/>
      </w:r>
    </w:p>
    <w:p>
      <w:pPr>
        <w:spacing w:after="100" w:line="360"/>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TGFB1 outcome replication and colocalization analysis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800"/>
        <w:gridCol w:w="800"/>
        <w:gridCol w:w="1400"/>
        <w:gridCol w:w="1200"/>
        <w:gridCol w:w="1500"/>
        <w:gridCol w:w="1280"/>
        <w:gridCol w:w="1200"/>
      </w:tblGrid>
      <w:tr>
        <w:tc>
          <w:tcPr>
            <w:tcW w:type="dxa" w:w="25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Outcome</w:t>
            </w:r>
          </w:p>
        </w:tc>
        <w:tc>
          <w:tcPr>
            <w:tcW w:type="dxa" w:w="18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UK Biobank ID</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N</w:t>
            </w:r>
          </w:p>
        </w:tc>
        <w:tc>
          <w:tcPr>
            <w:tcW w:type="dxa" w:w="8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i/>
                <w:iCs/>
                <w:sz w:val="17"/>
                <w:szCs w:val="17"/>
              </w:rPr>
              <w:t xml:space="preserve">β</w:t>
            </w:r>
          </w:p>
        </w:tc>
        <w:tc>
          <w:tcPr>
            <w:tcW w:type="dxa" w:w="8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SE</w:t>
            </w:r>
          </w:p>
        </w:tc>
        <w:tc>
          <w:tcPr>
            <w:tcW w:type="dxa" w:w="14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95% CI</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i/>
                <w:iCs/>
                <w:sz w:val="17"/>
                <w:szCs w:val="17"/>
              </w:rPr>
              <w:t xml:space="preserve">P</w:t>
            </w:r>
          </w:p>
        </w:tc>
        <w:tc>
          <w:tcPr>
            <w:tcW w:type="dxa" w:w="15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Direction</w:t>
            </w:r>
          </w:p>
        </w:tc>
        <w:tc>
          <w:tcPr>
            <w:tcW w:type="dxa" w:w="128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Coloc PP.H4</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Coloc PP.H1</w:t>
            </w:r>
          </w:p>
        </w:tc>
      </w:tr>
      <w:tr>
        <w:tc>
          <w:tcPr>
            <w:tcW w:type="dxa" w:w="2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Binary myopia (primary)</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ukb-b-6353</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460,536</w:t>
            </w:r>
          </w:p>
        </w:tc>
        <w:tc>
          <w:tcPr>
            <w:tcW w:type="dxa" w:w="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−0.027</w:t>
            </w:r>
          </w:p>
        </w:tc>
        <w:tc>
          <w:tcPr>
            <w:tcW w:type="dxa" w:w="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0.009</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(−0.045, −0.009)</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0.003</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Protective ✓</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0.018</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0.949</w:t>
            </w:r>
          </w:p>
        </w:tc>
      </w:tr>
      <w:tr>
        <w:tc>
          <w:tcPr>
            <w:tcW w:type="dxa" w:w="2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Spherical power (right eye)</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ukb-b-19994</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~130,000</w:t>
            </w:r>
          </w:p>
        </w:tc>
        <w:tc>
          <w:tcPr>
            <w:tcW w:type="dxa" w:w="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+0.253</w:t>
            </w:r>
          </w:p>
        </w:tc>
        <w:tc>
          <w:tcPr>
            <w:tcW w:type="dxa" w:w="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0.072</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(+0.112, +0.394)</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4.0×10</w:t>
            </w:r>
            <w:r>
              <w:rPr>
                <w:rFonts w:ascii="Times New Roman" w:cs="Times New Roman" w:eastAsia="Times New Roman" w:hAnsi="Times New Roman"/>
                <w:sz w:val="14"/>
                <w:szCs w:val="14"/>
                <w:vertAlign w:val="superscript"/>
              </w:rPr>
              <w:t xml:space="preserve">−4</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Consistent ✓</w:t>
            </w:r>
          </w:p>
        </w:tc>
        <w:tc>
          <w:tcPr>
            <w:tcW w:type="dxa" w:w="12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r>
        <w:tc>
          <w:tcPr>
            <w:tcW w:type="dxa" w:w="25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Spherical power (left eye)</w:t>
            </w:r>
          </w:p>
        </w:tc>
        <w:tc>
          <w:tcPr>
            <w:tcW w:type="dxa" w:w="18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ukb-b-7500</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~130,000</w:t>
            </w:r>
          </w:p>
        </w:tc>
        <w:tc>
          <w:tcPr>
            <w:tcW w:type="dxa" w:w="8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+0.264</w:t>
            </w:r>
          </w:p>
        </w:tc>
        <w:tc>
          <w:tcPr>
            <w:tcW w:type="dxa" w:w="8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0.070</w:t>
            </w:r>
          </w:p>
        </w:tc>
        <w:tc>
          <w:tcPr>
            <w:tcW w:type="dxa" w:w="14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(+0.127, +0.401)</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2.3×10</w:t>
            </w:r>
            <w:r>
              <w:rPr>
                <w:rFonts w:ascii="Times New Roman" w:cs="Times New Roman" w:eastAsia="Times New Roman" w:hAnsi="Times New Roman"/>
                <w:sz w:val="14"/>
                <w:szCs w:val="14"/>
                <w:vertAlign w:val="superscript"/>
              </w:rPr>
              <w:t xml:space="preserve">−4</w:t>
            </w:r>
          </w:p>
        </w:tc>
        <w:tc>
          <w:tcPr>
            <w:tcW w:type="dxa" w:w="15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Consistent ✓</w:t>
            </w:r>
          </w:p>
        </w:tc>
        <w:tc>
          <w:tcPr>
            <w:tcW w:type="dxa" w:w="128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bl>
    <w:p>
      <w:pPr>
        <w:spacing w:after="240" w:before="60" w:line="240"/>
      </w:pPr>
      <w:r>
        <w:rPr>
          <w:rFonts w:ascii="Times New Roman" w:cs="Times New Roman" w:eastAsia="Times New Roman" w:hAnsi="Times New Roman"/>
          <w:i/>
          <w:iCs/>
          <w:sz w:val="16"/>
          <w:szCs w:val="16"/>
        </w:rPr>
        <w:t xml:space="preserve">Positive β for spherical power indicates shift toward hyperopia (less myopic), directionally concordant with protective binary myopia result. All three outcomes reach P&lt;0.001. Colocalization (coloc.abf) performed with 2,668 regional SNPs from full eQTLGen summary statistics within ±500kb of TGFB1. PP.H4 = posterior probability for shared causal variant; PP.H1 = posterior probability for eQTL-only association. The high PP.H1 (0.949) with low PP.H4 (0.018) indicates robust eQTL regulation at this locus with distributed GWAS signal. LATS2 colocalization not feasible (insufficient overlapping SNPs).</w:t>
      </w:r>
    </w:p>
    <w:p>
      <w:r>
        <w:br w:type="page"/>
      </w:r>
    </w:p>
    <w:p>
      <w:pPr>
        <w:spacing w:after="100" w:line="360"/>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Quantitative triangulation evidence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600"/>
        <w:gridCol w:w="1800"/>
        <w:gridCol w:w="1400"/>
        <w:gridCol w:w="1300"/>
        <w:gridCol w:w="1200"/>
        <w:gridCol w:w="1380"/>
        <w:gridCol w:w="1400"/>
      </w:tblGrid>
      <w:tr>
        <w:tc>
          <w:tcPr>
            <w:tcW w:type="dxa" w:w="9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Gene</w:t>
            </w:r>
          </w:p>
        </w:tc>
        <w:tc>
          <w:tcPr>
            <w:tcW w:type="dxa" w:w="15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Network degree</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Network role</w:t>
            </w:r>
          </w:p>
        </w:tc>
        <w:tc>
          <w:tcPr>
            <w:tcW w:type="dxa" w:w="16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MR β (P)</w:t>
            </w:r>
          </w:p>
        </w:tc>
        <w:tc>
          <w:tcPr>
            <w:tcW w:type="dxa" w:w="18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MR replication</w:t>
            </w:r>
          </w:p>
        </w:tc>
        <w:tc>
          <w:tcPr>
            <w:tcW w:type="dxa" w:w="14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Published tissue</w:t>
            </w:r>
          </w:p>
        </w:tc>
        <w:tc>
          <w:tcPr>
            <w:tcW w:type="dxa" w:w="13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Published direction</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CMap class (rank)</w:t>
            </w:r>
          </w:p>
        </w:tc>
        <w:tc>
          <w:tcPr>
            <w:tcW w:type="dxa" w:w="138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Docking (kcal/mol)</w:t>
            </w:r>
          </w:p>
        </w:tc>
        <w:tc>
          <w:tcPr>
            <w:tcW w:type="dxa" w:w="14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Convergence</w:t>
            </w:r>
          </w:p>
        </w:tc>
      </w:tr>
      <w:tr>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TGFB1</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12</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Intersection</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−0.027 (0.003)</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 outcomes</w:t>
            </w:r>
            <w:r>
              <w:rPr>
                <w:rFonts w:ascii="Times New Roman" w:cs="Times New Roman" w:eastAsia="Times New Roman" w:hAnsi="Times New Roman"/>
                <w:b/>
                <w:bCs/>
                <w:sz w:val="17"/>
                <w:szCs w:val="17"/>
              </w:rPr>
              <w:t xml:space="preserve"> P&lt;0.001</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Wu 2018 (FDM sclera)</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 in myopia</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MMP inh. (#1)</w:t>
            </w:r>
          </w:p>
        </w:tc>
        <w:tc>
          <w:tcPr>
            <w:tcW w:type="dxa" w:w="13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−7.5</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5/5</w:t>
            </w:r>
          </w:p>
        </w:tc>
      </w:tr>
      <w:tr>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LATS2</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Extension</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Hippo kinase</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+0.018 (0.04)</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i/>
                <w:iCs/>
                <w:sz w:val="18"/>
                <w:szCs w:val="18"/>
              </w:rPr>
              <w:t xml:space="preserve">IV not in outcome</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Liu 2025 (sclera)</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YAP↓ consistent</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−7.2</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4/5</w:t>
            </w:r>
          </w:p>
        </w:tc>
      </w:tr>
      <w:tr>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YAP1</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Extension (24 edges)</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Hippo effector</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i/>
                <w:iCs/>
                <w:sz w:val="18"/>
                <w:szCs w:val="18"/>
              </w:rPr>
              <w:t xml:space="preserve">Insuff. IV</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Liu 2025 (human + GP)</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 WB confirmed</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Src inh. (3 hits)</w:t>
            </w:r>
          </w:p>
        </w:tc>
        <w:tc>
          <w:tcPr>
            <w:tcW w:type="dxa" w:w="13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−7.9</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4/5 (no MR)</w:t>
            </w:r>
          </w:p>
        </w:tc>
      </w:tr>
      <w:tr>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HIF1A</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Intersection</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Hypoxia TF</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i/>
                <w:iCs/>
                <w:sz w:val="18"/>
                <w:szCs w:val="18"/>
              </w:rPr>
              <w:t xml:space="preserve">−0.004 (0.068)</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i/>
                <w:iCs/>
                <w:sz w:val="18"/>
                <w:szCs w:val="18"/>
              </w:rPr>
              <w:t xml:space="preserve">Suggestive</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Huang 2025, Wu 2018</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Atropine↓; FDM↑</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3/5 (near)</w:t>
            </w:r>
          </w:p>
        </w:tc>
      </w:tr>
      <w:tr>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EGFR</w:t>
            </w:r>
          </w:p>
        </w:tc>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17 (hub #9)</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Growth factor R</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i/>
                <w:iCs/>
                <w:sz w:val="18"/>
                <w:szCs w:val="18"/>
              </w:rPr>
              <w:t xml:space="preserve">Insuff. IV</w:t>
            </w:r>
          </w:p>
        </w:tc>
        <w:tc>
          <w:tcPr>
            <w:tcW w:type="dxa" w:w="1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EGFR inh. (8×)</w:t>
            </w:r>
          </w:p>
        </w:tc>
        <w:tc>
          <w:tcPr>
            <w:tcW w:type="dxa" w:w="13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4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2/5</w:t>
            </w:r>
          </w:p>
        </w:tc>
      </w:tr>
      <w:tr>
        <w:tc>
          <w:tcPr>
            <w:tcW w:type="dxa" w:w="9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COL1A1</w:t>
            </w:r>
          </w:p>
        </w:tc>
        <w:tc>
          <w:tcPr>
            <w:tcW w:type="dxa" w:w="15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Downstream</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ECM output</w:t>
            </w:r>
          </w:p>
        </w:tc>
        <w:tc>
          <w:tcPr>
            <w:tcW w:type="dxa" w:w="16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8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4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Liu, Wnt5a, Huang</w:t>
            </w:r>
          </w:p>
        </w:tc>
        <w:tc>
          <w:tcPr>
            <w:tcW w:type="dxa" w:w="13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 (3 studies)</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38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4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2/5</w:t>
            </w:r>
          </w:p>
        </w:tc>
      </w:tr>
    </w:tbl>
    <w:p>
      <w:pPr>
        <w:spacing w:after="240" w:before="60" w:line="240"/>
      </w:pPr>
      <w:r>
        <w:rPr>
          <w:rFonts w:ascii="Times New Roman" w:cs="Times New Roman" w:eastAsia="Times New Roman" w:hAnsi="Times New Roman"/>
          <w:i/>
          <w:iCs/>
          <w:sz w:val="16"/>
          <w:szCs w:val="16"/>
        </w:rPr>
        <w:t xml:space="preserve">Convergence score: number of independent methods providing concordant evidence out of 5 (Network, MR, Literature, CMap, Docking). 5/5 = evidence from all five methods; 4/5 = four methods; etc. Bold P-values = significant (P&lt;0.05). Italic = suggestive or insufficient. TGFB1 achieves the highest convergence: intersection gene + MR causal (replicated 3×) + published FDM data + CMap MMP inhibitor + docking −7.5. Network degree alone does not predict causal importance (TGFB1 degree=12 vs TP53 degree=21); triangulation across methods is required.</w:t>
      </w:r>
    </w:p>
    <w:p>
      <w:r>
        <w:br w:type="page"/>
      </w:r>
    </w:p>
    <w:p>
      <w:pPr>
        <w:spacing w:after="100" w:line="360"/>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Molecular docking of atropine to known and novel targets: detailed binding analysis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1000"/>
        <w:gridCol w:w="1100"/>
        <w:gridCol w:w="900"/>
        <w:gridCol w:w="1700"/>
        <w:gridCol w:w="2600"/>
        <w:gridCol w:w="1200"/>
        <w:gridCol w:w="1600"/>
        <w:gridCol w:w="1480"/>
      </w:tblGrid>
      <w:tr>
        <w:tc>
          <w:tcPr>
            <w:tcW w:type="dxa" w:w="15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Target protein</w:t>
            </w:r>
          </w:p>
        </w:tc>
        <w:tc>
          <w:tcPr>
            <w:tcW w:type="dxa" w:w="6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PDB</w:t>
            </w:r>
          </w:p>
        </w:tc>
        <w:tc>
          <w:tcPr>
            <w:tcW w:type="dxa" w:w="10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Method</w:t>
            </w:r>
          </w:p>
        </w:tc>
        <w:tc>
          <w:tcPr>
            <w:tcW w:type="dxa" w:w="11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Score (kcal/mol)</w:t>
            </w:r>
          </w:p>
        </w:tc>
        <w:tc>
          <w:tcPr>
            <w:tcW w:type="dxa" w:w="9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Cavity vol. (Å³)</w:t>
            </w:r>
          </w:p>
        </w:tc>
        <w:tc>
          <w:tcPr>
            <w:tcW w:type="dxa" w:w="17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Binding site location</w:t>
            </w:r>
          </w:p>
        </w:tc>
        <w:tc>
          <w:tcPr>
            <w:tcW w:type="dxa" w:w="26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Key contact residues (top 5)</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 of CHRM1</w:t>
            </w:r>
          </w:p>
        </w:tc>
        <w:tc>
          <w:tcPr>
            <w:tcW w:type="dxa" w:w="16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Biological implication</w:t>
            </w:r>
          </w:p>
        </w:tc>
        <w:tc>
          <w:tcPr>
            <w:tcW w:type="dxa" w:w="148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MR support</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CHRM1 (control)</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5CXV</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FitDock</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−9.0</w:t>
            </w:r>
          </w:p>
        </w:tc>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c>
          <w:tcPr>
            <w:tcW w:type="dxa" w:w="1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Orthosteric site</w:t>
            </w:r>
          </w:p>
        </w:tc>
        <w:tc>
          <w:tcPr>
            <w:tcW w:type="dxa" w:w="2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Template 6wjc (identity=1.0)</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100%</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Known target</w:t>
            </w:r>
          </w:p>
        </w:tc>
        <w:tc>
          <w:tcPr>
            <w:tcW w:type="dxa" w:w="14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Insuff. IV</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CHRM1 (control)</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5CXV</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CB-Dock2</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−8.8</w:t>
            </w:r>
          </w:p>
        </w:tc>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1,436</w:t>
            </w:r>
          </w:p>
        </w:tc>
        <w:tc>
          <w:tcPr>
            <w:tcW w:type="dxa" w:w="1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Chain A/B interface</w:t>
            </w:r>
          </w:p>
        </w:tc>
        <w:tc>
          <w:tcPr>
            <w:tcW w:type="dxa" w:w="2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GLN43, TRP56, ASP63, HIS185, PHE189</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98%</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Dual validation</w:t>
            </w:r>
          </w:p>
        </w:tc>
        <w:tc>
          <w:tcPr>
            <w:tcW w:type="dxa" w:w="14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YAP-TEAD</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3KYS</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CB-Dock2</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−7.9</w:t>
            </w:r>
          </w:p>
        </w:tc>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1,985</w:t>
            </w:r>
          </w:p>
        </w:tc>
        <w:tc>
          <w:tcPr>
            <w:tcW w:type="dxa" w:w="1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PPI interface</w:t>
            </w:r>
          </w:p>
        </w:tc>
        <w:tc>
          <w:tcPr>
            <w:tcW w:type="dxa" w:w="2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PHE206, PHE275, VAL293, MET343, PHE350</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88%</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YAP-TEAD disruption</w:t>
            </w:r>
          </w:p>
        </w:tc>
        <w:tc>
          <w:tcPr>
            <w:tcW w:type="dxa" w:w="14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YAP1: insuff. IV</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TGFβ1R</w:t>
            </w:r>
          </w:p>
        </w:tc>
        <w:tc>
          <w:tcPr>
            <w:tcW w:type="dxa" w:w="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3KFD</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CB-Dock2</w:t>
            </w:r>
          </w:p>
        </w:tc>
        <w:tc>
          <w:tcPr>
            <w:tcW w:type="dxa" w:w="11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−7.5</w:t>
            </w:r>
          </w:p>
        </w:tc>
        <w:tc>
          <w:tcPr>
            <w:tcW w:type="dxa" w:w="9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1,695</w:t>
            </w:r>
          </w:p>
        </w:tc>
        <w:tc>
          <w:tcPr>
            <w:tcW w:type="dxa" w:w="17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TGFβ1-TβRII interface (Chain C/D/K)</w:t>
            </w:r>
          </w:p>
        </w:tc>
        <w:tc>
          <w:tcPr>
            <w:tcW w:type="dxa" w:w="2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Multi-chain binding site</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83%</w:t>
            </w:r>
          </w:p>
        </w:tc>
        <w:tc>
          <w:tcPr>
            <w:tcW w:type="dxa" w:w="16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Ligand-receptor modulation</w:t>
            </w:r>
          </w:p>
        </w:tc>
        <w:tc>
          <w:tcPr>
            <w:tcW w:type="dxa" w:w="14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P=0.003</w:t>
            </w:r>
          </w:p>
        </w:tc>
      </w:tr>
      <w:tr>
        <w:tc>
          <w:tcPr>
            <w:tcW w:type="dxa" w:w="15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LATS2 kinase</w:t>
            </w:r>
          </w:p>
        </w:tc>
        <w:tc>
          <w:tcPr>
            <w:tcW w:type="dxa" w:w="6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5BRK</w:t>
            </w:r>
          </w:p>
        </w:tc>
        <w:tc>
          <w:tcPr>
            <w:tcW w:type="dxa" w:w="10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CB-Dock2</w:t>
            </w:r>
          </w:p>
        </w:tc>
        <w:tc>
          <w:tcPr>
            <w:tcW w:type="dxa" w:w="11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−7.2</w:t>
            </w:r>
          </w:p>
        </w:tc>
        <w:tc>
          <w:tcPr>
            <w:tcW w:type="dxa" w:w="9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1,695</w:t>
            </w:r>
          </w:p>
        </w:tc>
        <w:tc>
          <w:tcPr>
            <w:tcW w:type="dxa" w:w="17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Kinase domain</w:t>
            </w:r>
          </w:p>
        </w:tc>
        <w:tc>
          <w:tcPr>
            <w:tcW w:type="dxa" w:w="26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GLN43, ALA44, VAL45, TRP56, ASP63</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80%</w:t>
            </w:r>
          </w:p>
        </w:tc>
        <w:tc>
          <w:tcPr>
            <w:tcW w:type="dxa" w:w="16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Kinase activity modulation</w:t>
            </w:r>
          </w:p>
        </w:tc>
        <w:tc>
          <w:tcPr>
            <w:tcW w:type="dxa" w:w="148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P=0.04</w:t>
            </w:r>
          </w:p>
        </w:tc>
      </w:tr>
    </w:tbl>
    <w:p>
      <w:pPr>
        <w:spacing w:after="240" w:before="60" w:line="240"/>
      </w:pPr>
      <w:r>
        <w:rPr>
          <w:rFonts w:ascii="Times New Roman" w:cs="Times New Roman" w:eastAsia="Times New Roman" w:hAnsi="Times New Roman"/>
          <w:i/>
          <w:iCs/>
          <w:sz w:val="16"/>
          <w:szCs w:val="16"/>
        </w:rPr>
        <w:t xml:space="preserve">Drug-like binding threshold: −7.0 kcal/mol. All novel targets exceed this threshold. % of CHRM1 = |novel score| / |CHRM1 FitDock score −9.0| × 100. FitDock uses template-based docking leveraging known muscarinic antagonist structures (template 6wjc); CB-Dock2 uses cavity-detection guided blind docking with AutoDock Vina scoring. Contact residues for 3KFD span 3 chains (C=TGFβ1, D=TβRII, K=accessory), suggesting binding at the ligand-receptor interface. MR support column cross-references Mendelian randomization P-values from Table 1 where available.</w:t>
      </w:r>
    </w:p>
    <w:p>
      <w:r>
        <w:br w:type="page"/>
      </w:r>
    </w:p>
    <w:p>
      <w:pPr>
        <w:spacing w:after="100" w:line="360"/>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Extension Layer analysis: receptor class convergence on Hippo-YAP pathway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1000"/>
        <w:gridCol w:w="1200"/>
        <w:gridCol w:w="1200"/>
        <w:gridCol w:w="2000"/>
        <w:gridCol w:w="1980"/>
      </w:tblGrid>
      <w:tr>
        <w:tc>
          <w:tcPr>
            <w:tcW w:type="dxa" w:w="15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Receptor class</w:t>
            </w:r>
          </w:p>
        </w:tc>
        <w:tc>
          <w:tcPr>
            <w:tcW w:type="dxa" w:w="20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Genes in network</w:t>
            </w:r>
          </w:p>
        </w:tc>
        <w:tc>
          <w:tcPr>
            <w:tcW w:type="dxa" w:w="28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Representative shortest path</w:t>
            </w:r>
          </w:p>
        </w:tc>
        <w:tc>
          <w:tcPr>
            <w:tcW w:type="dxa" w:w="10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Distance</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Total paths</w:t>
            </w:r>
          </w:p>
        </w:tc>
        <w:tc>
          <w:tcPr>
            <w:tcW w:type="dxa" w:w="12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Target node</w:t>
            </w:r>
          </w:p>
        </w:tc>
        <w:tc>
          <w:tcPr>
            <w:tcW w:type="dxa" w:w="200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Key intermediary</w:t>
            </w:r>
          </w:p>
        </w:tc>
        <w:tc>
          <w:tcPr>
            <w:tcW w:type="dxa" w:w="1980"/>
            <w:tcBorders>
              <w:top w:val="single" w:color="000000" w:sz="1"/>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7"/>
                <w:szCs w:val="17"/>
              </w:rPr>
              <w:t xml:space="preserve">Intermediary hub rank</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Muscarinic</w:t>
            </w:r>
          </w:p>
        </w:tc>
        <w:tc>
          <w:tcPr>
            <w:tcW w:type="dxa" w:w="2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CHRM1, CHRM3, CHRM5</w:t>
            </w:r>
          </w:p>
        </w:tc>
        <w:tc>
          <w:tcPr>
            <w:tcW w:type="dxa" w:w="2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CHRM1→AKT1→YAP1</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40</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LATS1, YAP1</w:t>
            </w:r>
          </w:p>
        </w:tc>
        <w:tc>
          <w:tcPr>
            <w:tcW w:type="dxa" w:w="2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AKT1 (deg 21)</w:t>
            </w:r>
          </w:p>
        </w:tc>
        <w:tc>
          <w:tcPr>
            <w:tcW w:type="dxa" w:w="19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#2</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Nicotinic</w:t>
            </w:r>
          </w:p>
        </w:tc>
        <w:tc>
          <w:tcPr>
            <w:tcW w:type="dxa" w:w="2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CHRNA3, CHRNA4, CHRNB2, CHRNA7</w:t>
            </w:r>
          </w:p>
        </w:tc>
        <w:tc>
          <w:tcPr>
            <w:tcW w:type="dxa" w:w="2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CHRNA3→ACHE→EGFR→LATS1</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32</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LATS1</w:t>
            </w:r>
          </w:p>
        </w:tc>
        <w:tc>
          <w:tcPr>
            <w:tcW w:type="dxa" w:w="2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EGFR (deg 17)</w:t>
            </w:r>
          </w:p>
        </w:tc>
        <w:tc>
          <w:tcPr>
            <w:tcW w:type="dxa" w:w="19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#9</w:t>
            </w:r>
          </w:p>
        </w:tc>
      </w:tr>
      <w:tr>
        <w:tc>
          <w:tcPr>
            <w:tcW w:type="dxa" w:w="15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Adrenergic</w:t>
            </w:r>
          </w:p>
        </w:tc>
        <w:tc>
          <w:tcPr>
            <w:tcW w:type="dxa" w:w="2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ADRA2A, ADRA2C</w:t>
            </w:r>
          </w:p>
        </w:tc>
        <w:tc>
          <w:tcPr>
            <w:tcW w:type="dxa" w:w="28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ADRA2A→MAPK3→LATS1</w:t>
            </w:r>
          </w:p>
        </w:tc>
        <w:tc>
          <w:tcPr>
            <w:tcW w:type="dxa" w:w="1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24</w:t>
            </w:r>
          </w:p>
        </w:tc>
        <w:tc>
          <w:tcPr>
            <w:tcW w:type="dxa" w:w="12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LATS1</w:t>
            </w:r>
          </w:p>
        </w:tc>
        <w:tc>
          <w:tcPr>
            <w:tcW w:type="dxa" w:w="200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MAPK3 (deg 15)</w:t>
            </w:r>
          </w:p>
        </w:tc>
        <w:tc>
          <w:tcPr>
            <w:tcW w:type="dxa" w:w="1980"/>
            <w:tcBorders>
              <w:top w:val="none"/>
              <w:left w:val="none"/>
              <w:bottom w:val="none"/>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#11</w:t>
            </w:r>
          </w:p>
        </w:tc>
      </w:tr>
      <w:tr>
        <w:tc>
          <w:tcPr>
            <w:tcW w:type="dxa" w:w="15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Dopaminergic</w:t>
            </w:r>
          </w:p>
        </w:tc>
        <w:tc>
          <w:tcPr>
            <w:tcW w:type="dxa" w:w="20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DRD1, DRD2</w:t>
            </w:r>
          </w:p>
        </w:tc>
        <w:tc>
          <w:tcPr>
            <w:tcW w:type="dxa" w:w="28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DRD1→FOS→TP53→LATS1</w:t>
            </w:r>
          </w:p>
        </w:tc>
        <w:tc>
          <w:tcPr>
            <w:tcW w:type="dxa" w:w="10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3</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b/>
                <w:bCs/>
                <w:sz w:val="18"/>
                <w:szCs w:val="18"/>
              </w:rPr>
              <w:t xml:space="preserve">16</w:t>
            </w:r>
          </w:p>
        </w:tc>
        <w:tc>
          <w:tcPr>
            <w:tcW w:type="dxa" w:w="12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LATS1</w:t>
            </w:r>
          </w:p>
        </w:tc>
        <w:tc>
          <w:tcPr>
            <w:tcW w:type="dxa" w:w="200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FOS (deg 16), TP53 (deg 21)</w:t>
            </w:r>
          </w:p>
        </w:tc>
        <w:tc>
          <w:tcPr>
            <w:tcW w:type="dxa" w:w="1980"/>
            <w:tcBorders>
              <w:top w:val="none"/>
              <w:left w:val="none"/>
              <w:bottom w:val="single" w:color="000000" w:sz="1"/>
              <w:right w:val="none"/>
            </w:tcBorders>
            <w:tcMar>
              <w:top w:type="dxa" w:w="25"/>
              <w:left w:type="dxa" w:w="40"/>
              <w:bottom w:type="dxa" w:w="25"/>
              <w:right w:type="dxa" w:w="40"/>
            </w:tcMar>
          </w:tcPr>
          <w:p>
            <w:pPr>
              <w:spacing w:after="0" w:line="240"/>
              <w:jc w:val="left"/>
            </w:pPr>
            <w:r>
              <w:rPr>
                <w:rFonts w:ascii="Times New Roman" w:cs="Times New Roman" w:eastAsia="Times New Roman" w:hAnsi="Times New Roman"/>
                <w:sz w:val="17"/>
                <w:szCs w:val="17"/>
              </w:rPr>
              <w:t xml:space="preserve">#10, #1</w:t>
            </w:r>
          </w:p>
        </w:tc>
      </w:tr>
    </w:tbl>
    <w:p>
      <w:pPr>
        <w:spacing w:after="240" w:before="60" w:line="240"/>
      </w:pPr>
      <w:r>
        <w:rPr>
          <w:rFonts w:ascii="Times New Roman" w:cs="Times New Roman" w:eastAsia="Times New Roman" w:hAnsi="Times New Roman"/>
          <w:i/>
          <w:iCs/>
          <w:sz w:val="16"/>
          <w:szCs w:val="16"/>
        </w:rPr>
        <w:t xml:space="preserve">Extension Layer genes (LATS1, LATS2, YAP1, TEAD1–4, NF2, SAV1, AMOT, STK3, WWTR1) were separated from the intersection network to prevent circular reasoning. All paths traverse only intersection gene intermediaries. Total paths = number of distinct non-redundant routes from any gene in the receptor class to any Extension Layer gene within 3 interaction steps (STRING PPI, confidence ≥0.7). All four receptor classes converge on LATS1 as the primary entry point into the Hippo pathway. YAP1 connects to 14 bridge genes through 24 edges in the Extension Layer. Hub ranks reference the top 47 intersection genes by degree centrality.</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2026-04-13T09:06:20.078Z</dcterms:created>
  <dcterms:modified xsi:type="dcterms:W3CDTF">2026-04-13T09:06:20.078Z</dcterms:modified>
</cp:coreProperties>
</file>

<file path=docProps/custom.xml><?xml version="1.0" encoding="utf-8"?>
<Properties xmlns="http://schemas.openxmlformats.org/officeDocument/2006/custom-properties" xmlns:vt="http://schemas.openxmlformats.org/officeDocument/2006/docPropsVTypes"/>
</file>