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robe-mr-reporting-checklist"/>
    <w:p>
      <w:pPr>
        <w:pStyle w:val="Title"/>
        <w:widowControl/>
        <w:spacing w:line="264" w:lineRule="auto" w:after="140"/>
      </w:pPr>
      <w:r>
        <w:rPr>
          <w:sz w:val="20"/>
        </w:rPr>
        <w:t xml:space="preserve">STROBE MR reporting checklist</w:t>
      </w:r>
    </w:p>
    <w:p>
      <w:pPr>
        <w:pStyle w:val="FirstParagraph"/>
        <w:widowControl/>
        <w:spacing w:line="264" w:lineRule="auto" w:after="140"/>
      </w:pPr>
      <w:r>
        <w:rPr>
          <w:sz w:val="20"/>
        </w:rPr>
        <w:t xml:space="preserve">TSHR and IGF1R expression in Graves disease: Mendelian randomization and colocalization</w:t>
      </w:r>
    </w:p>
    <w:p>
      <w:pPr>
        <w:pStyle w:val="BodyText"/>
        <w:widowControl/>
        <w:spacing w:line="264" w:lineRule="auto" w:after="140"/>
      </w:pPr>
      <w:r>
        <w:rPr>
          <w:sz w:val="20"/>
        </w:rPr>
        <w:t xml:space="preserve">This adapted reporting map identifies where each item is addressed and explicitly records unavailable information. It does not certify that all methodological limitations are resolved.</w:t>
      </w:r>
    </w:p>
    <w:tbl>
      <w:tblPr>
        <w:tblW w:type="dxa" w:w="14818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11506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Item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Reporting topic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Location and coverage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MR design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Abstract identifies Mendelian randomization; Methods specifies the two-sample design.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Rationale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Introduction: blood expression, disease susceptibility and therapeutic interpretation.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Objectives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Introduction final paragraph; Methods defines the hierarchy and biological backbone. No prospective registration identifier is available.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Design, participants and sample size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Methods; Table 1; source reports [12, 13, 14, 15]. Recruitment and eligibility details are those of the original studies; available sample sizes determined the analysis. Detection thresholds were calculated from observed MR standard errors, not for prospective recruitment.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4c–d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Variants and phenotype definitions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 and Supplementary Methods describe selection and harmonization; Table 1 gives accessions; Supplementary Data 1 lists instruments. Source studies provide their genotyping and phenotype procedures.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Ethics and consent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Declarations; in-house IRB approval and written consent.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Instrument assumptions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 states relevance, independence and exclusion restriction; Discussion discusses limits of verification.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Scales and variant weights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Methods: Z-score reconstruction, UKB log-odds rescaling, Wald/IVW and inverse-variance weighting.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6c–e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Estimation, covariates, missingness and multiplicity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Methods: source GWAS adjustments retained; no individual-level re-adjustment; unavailable or excluded variants omitted; Bonferroni denominator 2,544.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Assumption assessment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Methods: instrument strength, harmonization, heterogeneity, MR-Egger and colocalization. These do not prove all instrument assumptions.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Additional analyses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Methods; Tables S1–S3. eQTLGen frequency substitution and re-harmonization were performed.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9a–b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Software and registration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 lists R, TwoSampleMR, coloc and PLINK versions; Python was used for verification, frequency sensitivity and SNP exclusion, with an independent base-R check. No prospective registration identifier is available.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10a–c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Descriptive data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Table 1 gives genetic-study sample counts; Supplementary Methods describes the orbital samples; Figure 1 gives gene attrition; Supplementary Data 1 gives instrument counts. Participant-level distributions and cohort-specific eQTL meta-analysis heterogeneity were not reanalysed.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Transportability and participant overlap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European blood eQTL transfer to East Asian discovery is an assumption; overlap with European outcomes is unquantified.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11a–d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Main results and uncertainty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Tables 2–3; Figure 2. ORs/CIs are per reconstructed expression unit. Variant-level instruments and primary MR results are supplied as Supplementary Data 1–2. Absolute risks were not estimated.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12a–b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Results of assumption checks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Instrument strength in Methods; heterogeneity and MR-Egger in Table S1; clumping in Supplementary Methods; colocalization in Figure 3B and frequency sensitivity in Tables S2–S3.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13a–e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Additional results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Tables S1–S3; Figure S1. Post hoc leave-one-out results are reported in Results, Figure S2, Supplementary Data 6 (15 omissions; five all-SNP comparators). Single-SNP starting sets were ineligible. Steiger and bidirectional MR were not applied; Figure S1 is descriptive.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Key findings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 opening paragraph.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Limitations and bias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tissue, ancestry, overlap, frequency reconstruction, phenotype, instrument counts, power, coloc model/priors and one tissue control; bias magnitudes were not quantified.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16a–c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Interpretation and clinical meaning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genetic expression effects do not establish a pharmacologic mechanism, treatment direction or intervention effect size.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Generalizability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ancestry and tissue context, broad hyperthyroidism and population controls; inherited expression proxies do not estimate acute or dose-specific treatment effects.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Funding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 states no specific grant; original data-source funding is reported in the cited source publications.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 and code access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 lists source repositories and access restrictions. Supplementary Data 1–6 provide instruments, primary results, frequency-sensitivity MR, coloc and power summaries, and post hoc leave-one-out estimates. Analysis code is available from the corresponding author on request.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Competing interests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Declarations.</w:t>
            </w:r>
          </w:p>
        </w:tc>
      </w:tr>
    </w:tbl>
    <w:p>
      <w:pPr>
        <w:pStyle w:val="BodyText"/>
        <w:widowControl/>
        <w:spacing w:line="264" w:lineRule="auto" w:after="140"/>
      </w:pPr>
      <w:r>
        <w:rPr>
          <w:sz w:val="20"/>
        </w:rPr>
        <w:t xml:space="preserve">Adapted from the STROBE-MR checklist (EQUATOR Network, CC BY 3.0), https://www.strobe-mr.org/download/strobe-mr-checklist/. The checklist is a reporting map, not a claim that all study limitations have been resolved.</w:t>
      </w:r>
    </w:p>
    <w:bookmarkEnd w:id="20"/>
    <w:sectPr>
      <w:footerReference w:type="default" r:id="rId9"/>
      <w:footerReference w:type="first" r:id="rId10"/>
      <w:footerReference w:type="even" r:id="rId11"/>
      <w:pgSz w:orient="landscape" w:w="16834" w:h="11909"/>
      <w:pgMar w:left="1008" w:right="1008" w:top="936" w:bottom="93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8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76" w:lineRule="auto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80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 MR CHECKLIST</dc:title>
  <dc:creator>Jungyul Park; Min-Seon Kim; Kyung-Hwa Shin; Suk-Woo Yang</dc:creator>
  <cp:keywords/>
  <dcterms:created xsi:type="dcterms:W3CDTF">2026-09-15T08:23:24Z</dcterms:created>
  <dcterms:modified xsi:type="dcterms:W3CDTF">2026-09-15T08:23:24Z</dcterms:modified>
  <dc:identifier>STROBE_MR_CHECKLIST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