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S2. Associations before and after cohort-frequency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1312"/>
        <w:gridCol w:w="3782"/>
        <w:gridCol w:w="3319"/>
        <w:gridCol w:w="1544"/>
        <w:gridCol w:w="3319"/>
        <w:gridCol w:w="1544"/>
      </w:tblGrid>
      <w:tr>
        <w:trPr>
          <w:cantSplit/>
          <w:tblHeader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Gene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Reference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 OR (95% CI)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eQTLGen</w:t>
            </w:r>
            <w:r>
              <w:rPr>
                <w:rFonts w:ascii="Times New Roman" w:hAnsi="Times New Roman"/>
                <w:b/>
                <w:sz w:val="20"/>
              </w:rPr>
              <w:t xml:space="preserve"> </w:t>
            </w:r>
            <w:r>
              <w:rPr>
                <w:iCs/>
                <w:rFonts w:ascii="Times New Roman" w:hAnsi="Times New Roman"/>
                <w:b/>
                <w:i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0.12 (0.07–0.21)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1.09×10⁻¹⁴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0.09 (0.06–0.14)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8.77×10⁻²⁸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TSHR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0.10 (0.04–0.24)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2.82×10⁻⁷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1.56 (1.07–2.28)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0.0212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1.58 (1.07–2.34)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0.022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1.35 (1.07–1.70)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0.0117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1.37 (1.06–1.78)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0.0157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IGF1R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1.41 (0.85–2.33)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0.182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1.44 (0.85–2.47)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  <w:t xml:space="preserve">0.177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(0.11–0.27)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0.18 (0.12–0.27)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5.45×10⁻¹⁵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0.21 (0.08–0.57)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0.0022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0.20 (0.08–0.49)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3.86×10⁻⁴</w:t>
            </w:r>
          </w:p>
        </w:tc>
      </w:tr>
      <w:tr>
        <w:trPr>
          <w:cantSplit/>
        </w:trPr>
        <w:tc>
          <w:tcPr>
            <w:tcW w:type="dxa" w:w="131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iCs/>
                <w:rFonts w:ascii="Times New Roman" w:hAnsi="Times New Roman"/>
                <w:i/>
                <w:sz w:val="20"/>
              </w:rPr>
              <w:t xml:space="preserve">CTLA4</w:t>
            </w:r>
          </w:p>
        </w:tc>
        <w:tc>
          <w:tcPr>
            <w:tcW w:type="dxa" w:w="378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(0.04–0.68)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0.0118</w:t>
            </w:r>
          </w:p>
        </w:tc>
        <w:tc>
          <w:tcPr>
            <w:tcW w:type="dxa" w:w="3319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0.17 (0.05–0.57)</w:t>
            </w:r>
          </w:p>
        </w:tc>
        <w:tc>
          <w:tcPr>
            <w:tcW w:type="dxa" w:w="154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0.00458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Reference estimates use 1000 Genomes European frequencies. eQTLGen estimates use cohort frequencies followed by repeat harmonization. For these nine comparisons, estimates using identical variants and repeat harmonization coincide; instrument counts are unchanged from Table 2. All 13 discovery genes remain significant. Results for every gene and each scenario are in Supplementary Data 2.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S2</dc:title>
  <dc:creator>Jungyul Park; Min-Seon Kim; Kyung-Hwa Shin; Suk-Woo Yang</dc:creator>
  <cp:keywords/>
  <dcterms:created xsi:type="dcterms:W3CDTF">2026-09-15T08:23:24Z</dcterms:created>
  <dcterms:modified xsi:type="dcterms:W3CDTF">2026-09-15T08:23:24Z</dcterms:modified>
  <dc:identifier>TableS2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