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or Graves ophthalmopathy, can cause proptosis, diplopia and visual loss in patients with Graves disease (GD) [1, 2]; a meta-analysis estimated that it affects about 40% of them [3]. In GD, autoantibodies that stimulate the thyroid-stimulating hormone receptor (TSHR) cause hyperthyroidism [2]. Common</w:t>
      </w:r>
      <w:r>
        <w:rPr>
          <w:color w:val="000000"/>
        </w:rPr>
        <w:t xml:space="preserve"> </w:t>
      </w:r>
      <w:r>
        <w:rPr>
          <w:iCs/>
          <w:i/>
          <w:color w:val="000000"/>
        </w:rPr>
        <w:t xml:space="preserve">TSHR</w:t>
      </w:r>
      <w:r>
        <w:rPr>
          <w:color w:val="000000"/>
        </w:rPr>
        <w:t xml:space="preserve"> </w:t>
      </w:r>
      <w:r>
        <w:rPr>
          <w:color w:val="000000"/>
        </w:rPr>
        <w:t xml:space="preserve">variants are established GD risk factors in European and East Asian populations [4, 5], but no TED-specific risk variant is known [6]. In orbital fibroblasts, TSHR forms a signaling complex with the insulin-like growth factor 1 receptor (IGF-1R) [7, 8], and the IGF-1R–blocking antibody teprotumumab reduced proptosis in randomized trials in active TED [9, 10]. Genetically supported drug targets succeed more often, but most approved drug mechanisms lack such support [11, 12], so an effective target need not be a susceptibility gene. Whether inherited variation in</w:t>
      </w:r>
      <w:r>
        <w:rPr>
          <w:color w:val="000000"/>
        </w:rPr>
        <w:t xml:space="preserve"> </w:t>
      </w:r>
      <w:r>
        <w:rPr>
          <w:iCs/>
          <w:i/>
          <w:color w:val="000000"/>
        </w:rPr>
        <w:t xml:space="preserve">IGF1R</w:t>
      </w:r>
      <w:r>
        <w:rPr>
          <w:color w:val="000000"/>
        </w:rPr>
        <w:t xml:space="preserve"> </w:t>
      </w:r>
      <w:r>
        <w:rPr>
          <w:color w:val="000000"/>
        </w:rPr>
        <w:t xml:space="preserve">expression, like</w:t>
      </w:r>
      <w:r>
        <w:rPr>
          <w:color w:val="000000"/>
        </w:rPr>
        <w:t xml:space="preserve"> </w:t>
      </w:r>
      <w:r>
        <w:rPr>
          <w:iCs/>
          <w:i/>
          <w:color w:val="000000"/>
        </w:rPr>
        <w:t xml:space="preserve">TSHR</w:t>
      </w:r>
      <w:r>
        <w:rPr>
          <w:color w:val="000000"/>
        </w:rPr>
        <w:t xml:space="preserve"> </w:t>
      </w:r>
      <w:r>
        <w:rPr>
          <w:color w:val="000000"/>
        </w:rPr>
        <w:t xml:space="preserve">variation, is associated with GD or TED is unclear.</w:t>
      </w:r>
    </w:p>
    <w:p>
      <w:pPr>
        <w:pStyle w:val="BodyText"/>
      </w:pPr>
      <w:r>
        <w:rPr>
          <w:color w:val="000000"/>
        </w:rPr>
        <w:t xml:space="preserve">Mendelian randomization (MR) treats inherited variants as a natural experiment: because alleles are allocated at conception, comparing people whose variants raise or lower a gene’s expression is less prone to confounding and reverse causation than other observational comparisons, provided the variants affect disease only through that expression [13]. Their effects are lifelong, unlike a drug’s, and can differ between tissues [14]. Here, genetically proxied expression means blood expression predicted from inherited variants rather than measured directly, and the outcomes are diagnoses, not treatment responses. MR reports odds ratios (ORs) with 95% confidence intervals (CIs). Colocalization asks whether expression and disease signals in a region share one causal variant and reports probabilities, not</w:t>
      </w:r>
      <w:r>
        <w:rPr>
          <w:color w:val="000000"/>
        </w:rPr>
        <w:t xml:space="preserve"> </w:t>
      </w:r>
      <w:r>
        <w:rPr>
          <w:iCs/>
          <w:i/>
          <w:color w:val="000000"/>
        </w:rPr>
        <w:t xml:space="preserve">P</w:t>
      </w:r>
      <w:r>
        <w:rPr>
          <w:color w:val="000000"/>
        </w:rPr>
        <w:t xml:space="preserve"> </w:t>
      </w:r>
      <w:r>
        <w:rPr>
          <w:color w:val="000000"/>
        </w:rPr>
        <w:t xml:space="preserve">values [15]. Because nearby variants are often inherited together, an MR association can be highly significant even when the two signals come from distinct variants [16, 17].</w:t>
      </w:r>
    </w:p>
    <w:p>
      <w:pPr>
        <w:pStyle w:val="BodyText"/>
      </w:pPr>
      <w:r>
        <w:rPr>
          <w:color w:val="000000"/>
        </w:rPr>
        <w:t xml:space="preserve">In FinnGen release 10, Ji and colleagues linked 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to lower odds of GD and strict ophthalmopathy [18]. Using release 12 endpoints also analyzed here, Zhang and colleagues reported shared-variant support for</w:t>
      </w:r>
      <w:r>
        <w:rPr>
          <w:color w:val="000000"/>
        </w:rPr>
        <w:t xml:space="preserve"> </w:t>
      </w:r>
      <w:r>
        <w:rPr>
          <w:iCs/>
          <w:i/>
          <w:color w:val="000000"/>
        </w:rPr>
        <w:t xml:space="preserve">TSHR</w:t>
      </w:r>
      <w:r>
        <w:rPr>
          <w:color w:val="000000"/>
        </w:rPr>
        <w:t xml:space="preserve"> </w:t>
      </w:r>
      <w:r>
        <w:rPr>
          <w:color w:val="000000"/>
        </w:rPr>
        <w:t xml:space="preserve">with the broader ophthalmopathy endpoint but weak support with GD [19]. A proteome-wide MR study of GD and ophthalmopathy prioritized other proteins [20]. None of these studies compared</w:t>
      </w:r>
      <w:r>
        <w:rPr>
          <w:color w:val="000000"/>
        </w:rPr>
        <w:t xml:space="preserve"> </w:t>
      </w:r>
      <w:r>
        <w:rPr>
          <w:iCs/>
          <w:i/>
          <w:color w:val="000000"/>
        </w:rPr>
        <w:t xml:space="preserve">IGF1R</w:t>
      </w:r>
      <w:r>
        <w:rPr>
          <w:color w:val="000000"/>
        </w:rPr>
        <w:t xml:space="preserve"> </w:t>
      </w:r>
      <w:r>
        <w:rPr>
          <w:color w:val="000000"/>
        </w:rPr>
        <w:t xml:space="preserve">with</w:t>
      </w:r>
      <w:r>
        <w:rPr>
          <w:color w:val="000000"/>
        </w:rPr>
        <w:t xml:space="preserve"> </w:t>
      </w:r>
      <w:r>
        <w:rPr>
          <w:iCs/>
          <w:i/>
          <w:color w:val="000000"/>
        </w:rPr>
        <w:t xml:space="preserve">TSHR</w:t>
      </w:r>
      <w:r>
        <w:rPr>
          <w:color w:val="000000"/>
        </w:rPr>
        <w:t xml:space="preserve">, and all relied mainly on FinnGen.</w:t>
      </w:r>
    </w:p>
    <w:p>
      <w:pPr>
        <w:pStyle w:val="BodyText"/>
      </w:pPr>
      <w:r>
        <w:rPr>
          <w:color w:val="000000"/>
        </w:rPr>
        <w:t xml:space="preserve">Within an MR screen of potentially druggable genes [21], we therefore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GD in Biobank Japan (BBJ; discovery) and FinnGen, hyperthyroidism in UK Biobank (UKB) and two ophthalmopathy endpoints in FinnGen.</w:t>
      </w:r>
      <w:r>
        <w:rPr>
          <w:color w:val="000000"/>
        </w:rPr>
        <w:t xml:space="preserve"> </w:t>
      </w:r>
      <w:r>
        <w:rPr>
          <w:iCs/>
          <w:i/>
          <w:color w:val="000000"/>
        </w:rPr>
        <w:t xml:space="preserve">CTLA4</w:t>
      </w:r>
      <w:r>
        <w:rPr>
          <w:color w:val="000000"/>
        </w:rPr>
        <w:t xml:space="preserve">, an established autoimmune susceptibility gene, served as comparator [5, 22]. The three FinnGen endpoints overlap and are not independent replications. We examined colocalization and sensitivity to single variants, allele frequencies and colocalization assumptions; FinnGen GD, strict ophthalmopathy, tissue-specific and several sensitivity analyses were post hoc. Because the ophthalmopathy endpoints used population controls, they cannot estimate TED risk among patients with GD, and no analysis predicts treatment response. Orbital RNA-sequencing data (four TED samples, one control) are descriptive only.</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[23]. Exposure data were whole-blood expression quantitative trait locus (eQTL; a variant associated with gene expression) statistics from predominantly European eQTLGen participants [24]. The original outcomes were BBJ GD, UKB self-reported hyperthyroidism or thyrotoxicosis, and Graves ophthalmopathy in FinnGen release 12 (FinnGen ophthalmopathy) [25, 26, 27].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[21],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[28, 29].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[30]. TwoSampleMR aligned exposure and disease effects to the same allele, excluding unavailable and strand-ambiguous (palindromic) variants. UKB linear-model estimates were rescaled using the case proportion to approximate the log-odds scale of BBJ and FinnGen [31]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[32].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[33, 34, 35]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[36, 37])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[15].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[38].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[39].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[18], and integrative work also investigated</w:t>
      </w:r>
      <w:r>
        <w:rPr>
          <w:color w:val="000000"/>
        </w:rPr>
        <w:t xml:space="preserve"> </w:t>
      </w:r>
      <w:r>
        <w:rPr>
          <w:iCs/>
          <w:i/>
          <w:color w:val="000000"/>
        </w:rPr>
        <w:t xml:space="preserve">TSHR</w:t>
      </w:r>
      <w:r>
        <w:rPr>
          <w:color w:val="000000"/>
        </w:rPr>
        <w:t xml:space="preserve"> </w:t>
      </w:r>
      <w:r>
        <w:rPr>
          <w:color w:val="000000"/>
        </w:rPr>
        <w:t xml:space="preserve">[19].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[18],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[22].</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[39].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[4, 36, 37];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[16].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[40]; plasmid immunization reproduced orbital adipogenesis, fibrosis and muscle pathology [41], and orbital fibroblasts from immunized mice showed enhanced inflammatory and hyaluronan responses to TNFα [42]. Ophthalmopathy also occurs in euthyroid and hypothyroid patients [43].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[10] and in long-duration, low-activity TED [44], and TSHR–IGF-1R crosstalk [8]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[45],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both performed the analyses and drafted the manuscript. J.P. conceived and designed the study.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Kyung-Hwa Shin (Department of Laboratory Medicine, Pusan National University Hospital) for providing the orbital tissue RNA-sequencing data.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2010</w:t>
      </w:r>
      <w:r>
        <w:rPr>
          <w:color w:val="000000"/>
        </w:rPr>
        <w:t xml:space="preserve"> </w:t>
      </w:r>
      <w:r>
        <w:rPr>
          <w:bCs/>
          <w:b/>
          <w:color w:val="000000"/>
        </w:rPr>
        <w:t xml:space="preserve">362</w:t>
      </w:r>
      <w:r>
        <w:rPr>
          <w:color w:val="000000"/>
        </w:rPr>
        <w:t xml:space="preserve"> </w:t>
      </w:r>
      <w:r>
        <w:rPr>
          <w:color w:val="000000"/>
        </w:rPr>
        <w:t xml:space="preserve">726–738. (https://doi.org/10.1056/NEJMra0905750)</w:t>
      </w:r>
    </w:p>
    <w:p>
      <w:pPr>
        <w:numPr>
          <w:ilvl w:val="0"/>
          <w:numId w:val="1001"/>
        </w:numPr>
      </w:pPr>
      <w:r>
        <w:rPr>
          <w:color w:val="000000"/>
        </w:rPr>
        <w:t xml:space="preserve">Smith TJ &amp; Hegedüs L. Graves’ Disease.</w:t>
      </w:r>
      <w:r>
        <w:rPr>
          <w:color w:val="000000"/>
        </w:rPr>
        <w:t xml:space="preserve"> </w:t>
      </w:r>
      <w:r>
        <w:rPr>
          <w:iCs/>
          <w:i/>
          <w:color w:val="000000"/>
        </w:rPr>
        <w:t xml:space="preserve">New England Journal of Medicine</w:t>
      </w:r>
      <w:r>
        <w:rPr>
          <w:color w:val="000000"/>
        </w:rPr>
        <w:t xml:space="preserve"> </w:t>
      </w:r>
      <w:r>
        <w:rPr>
          <w:color w:val="000000"/>
        </w:rPr>
        <w:t xml:space="preserve">2016</w:t>
      </w:r>
      <w:r>
        <w:rPr>
          <w:color w:val="000000"/>
        </w:rPr>
        <w:t xml:space="preserve"> </w:t>
      </w:r>
      <w:r>
        <w:rPr>
          <w:bCs/>
          <w:b/>
          <w:color w:val="000000"/>
        </w:rPr>
        <w:t xml:space="preserve">375</w:t>
      </w:r>
      <w:r>
        <w:rPr>
          <w:color w:val="000000"/>
        </w:rPr>
        <w:t xml:space="preserve"> </w:t>
      </w:r>
      <w:r>
        <w:rPr>
          <w:color w:val="000000"/>
        </w:rPr>
        <w:t xml:space="preserve">1552–1565. (https://doi.org/10.1056/NEJMra1510030)</w:t>
      </w:r>
    </w:p>
    <w:p>
      <w:pPr>
        <w:numPr>
          <w:ilvl w:val="0"/>
          <w:numId w:val="1001"/>
        </w:numPr>
      </w:pPr>
      <w:r>
        <w:rPr>
          <w:color w:val="000000"/>
        </w:rPr>
        <w:t xml:space="preserve">Chin YH, Ng CH, Lee MH, Koh JWH, Kiew J, Yang SP, Sundar G &amp; Khoo CM. Prevalence of thyroid eye disease in Graves’ disease: A meta-analysis and systematic review.</w:t>
      </w:r>
      <w:r>
        <w:rPr>
          <w:color w:val="000000"/>
        </w:rPr>
        <w:t xml:space="preserve"> </w:t>
      </w:r>
      <w:r>
        <w:rPr>
          <w:iCs/>
          <w:i/>
          <w:color w:val="000000"/>
        </w:rPr>
        <w:t xml:space="preserve">Clinical Endocrinology</w:t>
      </w:r>
      <w:r>
        <w:rPr>
          <w:color w:val="000000"/>
        </w:rPr>
        <w:t xml:space="preserve"> </w:t>
      </w:r>
      <w:r>
        <w:rPr>
          <w:color w:val="000000"/>
        </w:rPr>
        <w:t xml:space="preserve">2020</w:t>
      </w:r>
      <w:r>
        <w:rPr>
          <w:color w:val="000000"/>
        </w:rPr>
        <w:t xml:space="preserve"> </w:t>
      </w:r>
      <w:r>
        <w:rPr>
          <w:bCs/>
          <w:b/>
          <w:color w:val="000000"/>
        </w:rPr>
        <w:t xml:space="preserve">93</w:t>
      </w:r>
      <w:r>
        <w:rPr>
          <w:color w:val="000000"/>
        </w:rPr>
        <w:t xml:space="preserve"> </w:t>
      </w:r>
      <w:r>
        <w:rPr>
          <w:color w:val="000000"/>
        </w:rPr>
        <w:t xml:space="preserve">363–374. (https://doi.org/10.1111/cen.14296)</w:t>
      </w:r>
    </w:p>
    <w:p>
      <w:pPr>
        <w:numPr>
          <w:ilvl w:val="0"/>
          <w:numId w:val="1001"/>
        </w:numPr>
      </w:pPr>
      <w:r>
        <w:rPr>
          <w:color w:val="000000"/>
        </w:rPr>
        <w:t xml:space="preserve">Brand OJ, Barrett JC, Simmonds MJ, Newby PR, McCabe CJ, Bruce CK, Kysela B, Carr-Smith JD, Brix T, Hunt PJ,</w:t>
      </w:r>
      <w:r>
        <w:rPr>
          <w:color w:val="000000"/>
        </w:rPr>
        <w:t xml:space="preserve"> </w:t>
      </w:r>
      <w:r>
        <w:rPr>
          <w:iCs/>
          <w:i/>
          <w:color w:val="000000"/>
        </w:rPr>
        <w:t xml:space="preserve">et al.</w:t>
      </w:r>
      <w:r>
        <w:rPr>
          <w:color w:val="000000"/>
        </w:rPr>
        <w:t xml:space="preserve"> </w:t>
      </w:r>
      <w:r>
        <w:rPr>
          <w:color w:val="000000"/>
        </w:rPr>
        <w:t xml:space="preserve">Association of the thyroid stimulating hormone receptor gene (</w:t>
      </w:r>
      <w:r>
        <w:rPr>
          <w:iCs/>
          <w:i/>
          <w:color w:val="000000"/>
        </w:rPr>
        <w:t xml:space="preserve">TSHR</w:t>
      </w:r>
      <w:r>
        <w:rPr>
          <w:color w:val="000000"/>
        </w:rPr>
        <w:t xml:space="preserve">) with Graves’ disease.</w:t>
      </w:r>
      <w:r>
        <w:rPr>
          <w:color w:val="000000"/>
        </w:rPr>
        <w:t xml:space="preserve"> </w:t>
      </w:r>
      <w:r>
        <w:rPr>
          <w:iCs/>
          <w:i/>
          <w:color w:val="000000"/>
        </w:rPr>
        <w:t xml:space="preserve">Human Molecular Genetics</w:t>
      </w:r>
      <w:r>
        <w:rPr>
          <w:color w:val="000000"/>
        </w:rPr>
        <w:t xml:space="preserve"> </w:t>
      </w:r>
      <w:r>
        <w:rPr>
          <w:color w:val="000000"/>
        </w:rPr>
        <w:t xml:space="preserve">2009</w:t>
      </w:r>
      <w:r>
        <w:rPr>
          <w:color w:val="000000"/>
        </w:rPr>
        <w:t xml:space="preserve"> </w:t>
      </w:r>
      <w:r>
        <w:rPr>
          <w:bCs/>
          <w:b/>
          <w:color w:val="000000"/>
        </w:rPr>
        <w:t xml:space="preserve">18</w:t>
      </w:r>
      <w:r>
        <w:rPr>
          <w:color w:val="000000"/>
        </w:rPr>
        <w:t xml:space="preserve"> </w:t>
      </w:r>
      <w:r>
        <w:rPr>
          <w:color w:val="000000"/>
        </w:rPr>
        <w:t xml:space="preserve">1704–1713. (https://doi.org/10.1093/hmg/ddp087)</w:t>
      </w:r>
    </w:p>
    <w:p>
      <w:pPr>
        <w:numPr>
          <w:ilvl w:val="0"/>
          <w:numId w:val="1001"/>
        </w:numPr>
      </w:pPr>
      <w:r>
        <w:rPr>
          <w:color w:val="000000"/>
        </w:rPr>
        <w:t xml:space="preserve">Chu X, Pan CM, Zhao SX, Liang J, Gao GQ, Zhang XM, Yuan GY, Li CG, Xue LQ, Shen M,</w:t>
      </w:r>
      <w:r>
        <w:rPr>
          <w:color w:val="000000"/>
        </w:rPr>
        <w:t xml:space="preserve"> </w:t>
      </w:r>
      <w:r>
        <w:rPr>
          <w:iCs/>
          <w:i/>
          <w:color w:val="000000"/>
        </w:rPr>
        <w:t xml:space="preserve">et al.</w:t>
      </w:r>
      <w:r>
        <w:rPr>
          <w:color w:val="000000"/>
        </w:rPr>
        <w:t xml:space="preserve"> </w:t>
      </w:r>
      <w:r>
        <w:rPr>
          <w:color w:val="000000"/>
        </w:rPr>
        <w:t xml:space="preserve">A genome-wide association study identifies two new risk loci for Graves’ disease.</w:t>
      </w:r>
      <w:r>
        <w:rPr>
          <w:color w:val="000000"/>
        </w:rPr>
        <w:t xml:space="preserve"> </w:t>
      </w:r>
      <w:r>
        <w:rPr>
          <w:iCs/>
          <w:i/>
          <w:color w:val="000000"/>
        </w:rPr>
        <w:t xml:space="preserve">Nature Genetics</w:t>
      </w:r>
      <w:r>
        <w:rPr>
          <w:color w:val="000000"/>
        </w:rPr>
        <w:t xml:space="preserve"> </w:t>
      </w:r>
      <w:r>
        <w:rPr>
          <w:color w:val="000000"/>
        </w:rPr>
        <w:t xml:space="preserve">2011</w:t>
      </w:r>
      <w:r>
        <w:rPr>
          <w:color w:val="000000"/>
        </w:rPr>
        <w:t xml:space="preserve"> </w:t>
      </w:r>
      <w:r>
        <w:rPr>
          <w:bCs/>
          <w:b/>
          <w:color w:val="000000"/>
        </w:rPr>
        <w:t xml:space="preserve">43</w:t>
      </w:r>
      <w:r>
        <w:rPr>
          <w:color w:val="000000"/>
        </w:rPr>
        <w:t xml:space="preserve"> </w:t>
      </w:r>
      <w:r>
        <w:rPr>
          <w:color w:val="000000"/>
        </w:rPr>
        <w:t xml:space="preserve">897–901. (https://doi.org/10.1038/ng.898)</w:t>
      </w:r>
    </w:p>
    <w:p>
      <w:pPr>
        <w:numPr>
          <w:ilvl w:val="0"/>
          <w:numId w:val="1001"/>
        </w:numPr>
      </w:pPr>
      <w:r>
        <w:rPr>
          <w:color w:val="000000"/>
        </w:rPr>
        <w:t xml:space="preserve">Marinò M, Rotondo Dottore G, Menconi F, Comi S, Cosentino G, Rocchi R, Latrofa F, Figus M &amp; Santini F. Role of genetics and epigenetics in Graves’ orbitopathy.</w:t>
      </w:r>
      <w:r>
        <w:rPr>
          <w:color w:val="000000"/>
        </w:rPr>
        <w:t xml:space="preserve"> </w:t>
      </w:r>
      <w:r>
        <w:rPr>
          <w:iCs/>
          <w:i/>
          <w:color w:val="000000"/>
        </w:rPr>
        <w:t xml:space="preserve">European Thyroid Journal</w:t>
      </w:r>
      <w:r>
        <w:rPr>
          <w:color w:val="000000"/>
        </w:rPr>
        <w:t xml:space="preserve"> </w:t>
      </w:r>
      <w:r>
        <w:rPr>
          <w:color w:val="000000"/>
        </w:rPr>
        <w:t xml:space="preserve">2024</w:t>
      </w:r>
      <w:r>
        <w:rPr>
          <w:color w:val="000000"/>
        </w:rPr>
        <w:t xml:space="preserve"> </w:t>
      </w:r>
      <w:r>
        <w:rPr>
          <w:bCs/>
          <w:b/>
          <w:color w:val="000000"/>
        </w:rPr>
        <w:t xml:space="preserve">13</w:t>
      </w:r>
      <w:r>
        <w:rPr>
          <w:color w:val="000000"/>
        </w:rPr>
        <w:t xml:space="preserve"> </w:t>
      </w:r>
      <w:r>
        <w:rPr>
          <w:color w:val="000000"/>
        </w:rPr>
        <w:t xml:space="preserve">e240179. (https://doi.org/10.1530/ETJ-24-0179)</w:t>
      </w:r>
    </w:p>
    <w:p>
      <w:pPr>
        <w:numPr>
          <w:ilvl w:val="0"/>
          <w:numId w:val="1001"/>
        </w:numPr>
      </w:pPr>
      <w:r>
        <w:rPr>
          <w:color w:val="000000"/>
        </w:rPr>
        <w:t xml:space="preserve">Tsui S, Naik V, Hoa N, Hwang CJ, Afifiyan NF, Sinha Hikim A, Gianoukakis AG, Douglas RS &amp; Smith TJ. Evidence for an association between thyroid-stimulating hormone and insulin-like growth factor 1 receptors: a tale of two antigens implicated in Graves’ disease.</w:t>
      </w:r>
      <w:r>
        <w:rPr>
          <w:color w:val="000000"/>
        </w:rPr>
        <w:t xml:space="preserve"> </w:t>
      </w:r>
      <w:r>
        <w:rPr>
          <w:iCs/>
          <w:i/>
          <w:color w:val="000000"/>
        </w:rPr>
        <w:t xml:space="preserve">Journal of Immunology</w:t>
      </w:r>
      <w:r>
        <w:rPr>
          <w:color w:val="000000"/>
        </w:rPr>
        <w:t xml:space="preserve"> </w:t>
      </w:r>
      <w:r>
        <w:rPr>
          <w:color w:val="000000"/>
        </w:rPr>
        <w:t xml:space="preserve">2008</w:t>
      </w:r>
      <w:r>
        <w:rPr>
          <w:color w:val="000000"/>
        </w:rPr>
        <w:t xml:space="preserve"> </w:t>
      </w:r>
      <w:r>
        <w:rPr>
          <w:bCs/>
          <w:b/>
          <w:color w:val="000000"/>
        </w:rPr>
        <w:t xml:space="preserve">181</w:t>
      </w:r>
      <w:r>
        <w:rPr>
          <w:color w:val="000000"/>
        </w:rPr>
        <w:t xml:space="preserve"> </w:t>
      </w:r>
      <w:r>
        <w:rPr>
          <w:color w:val="000000"/>
        </w:rPr>
        <w:t xml:space="preserve">4397–4405. (https://doi.org/10.4049/jimmunol.181.6.4397)</w:t>
      </w:r>
    </w:p>
    <w:p>
      <w:pPr>
        <w:numPr>
          <w:ilvl w:val="0"/>
          <w:numId w:val="1001"/>
        </w:numPr>
      </w:pPr>
      <w:r>
        <w:rPr>
          <w:color w:val="000000"/>
        </w:rPr>
        <w:t xml:space="preserve">Krieger CC, Boutin A, Jang D, Morgan SJ, Banga JP, Kahaly GJ, Klubo-Gwiezdzinska J, Neumann S &amp; Gershengorn MC. Arrestin-β-1 Physically Scaffolds TSH and IGF1 Receptors to Enable Crosstalk.</w:t>
      </w:r>
      <w:r>
        <w:rPr>
          <w:color w:val="000000"/>
        </w:rPr>
        <w:t xml:space="preserve"> </w:t>
      </w:r>
      <w:r>
        <w:rPr>
          <w:iCs/>
          <w:i/>
          <w:color w:val="000000"/>
        </w:rPr>
        <w:t xml:space="preserve">Endocrinology</w:t>
      </w:r>
      <w:r>
        <w:rPr>
          <w:color w:val="000000"/>
        </w:rPr>
        <w:t xml:space="preserve"> </w:t>
      </w:r>
      <w:r>
        <w:rPr>
          <w:color w:val="000000"/>
        </w:rPr>
        <w:t xml:space="preserve">2019</w:t>
      </w:r>
      <w:r>
        <w:rPr>
          <w:color w:val="000000"/>
        </w:rPr>
        <w:t xml:space="preserve"> </w:t>
      </w:r>
      <w:r>
        <w:rPr>
          <w:bCs/>
          <w:b/>
          <w:color w:val="000000"/>
        </w:rPr>
        <w:t xml:space="preserve">160</w:t>
      </w:r>
      <w:r>
        <w:rPr>
          <w:color w:val="000000"/>
        </w:rPr>
        <w:t xml:space="preserve"> </w:t>
      </w:r>
      <w:r>
        <w:rPr>
          <w:color w:val="000000"/>
        </w:rPr>
        <w:t xml:space="preserve">1468–1479. (https://doi.org/10.1210/en.2019-00055)</w:t>
      </w:r>
    </w:p>
    <w:p>
      <w:pPr>
        <w:numPr>
          <w:ilvl w:val="0"/>
          <w:numId w:val="1001"/>
        </w:numPr>
      </w:pPr>
      <w:r>
        <w:rPr>
          <w:color w:val="000000"/>
        </w:rPr>
        <w:t xml:space="preserve">Smith TJ, Kahaly GJ, Ezra DG, Fleming JC, Dailey RA, Tang RA, Harris GJ, Antonelli A, Salvi M, Goldberg RA,</w:t>
      </w:r>
      <w:r>
        <w:rPr>
          <w:color w:val="000000"/>
        </w:rPr>
        <w:t xml:space="preserve"> </w:t>
      </w:r>
      <w:r>
        <w:rPr>
          <w:iCs/>
          <w:i/>
          <w:color w:val="000000"/>
        </w:rPr>
        <w:t xml:space="preserve">et al.</w:t>
      </w:r>
      <w:r>
        <w:rPr>
          <w:color w:val="000000"/>
        </w:rPr>
        <w:t xml:space="preserve"> </w:t>
      </w:r>
      <w:r>
        <w:rPr>
          <w:color w:val="000000"/>
        </w:rPr>
        <w:t xml:space="preserve">Teprotumumab for Thyroid-Associated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2017</w:t>
      </w:r>
      <w:r>
        <w:rPr>
          <w:color w:val="000000"/>
        </w:rPr>
        <w:t xml:space="preserve"> </w:t>
      </w:r>
      <w:r>
        <w:rPr>
          <w:bCs/>
          <w:b/>
          <w:color w:val="000000"/>
        </w:rPr>
        <w:t xml:space="preserve">376</w:t>
      </w:r>
      <w:r>
        <w:rPr>
          <w:color w:val="000000"/>
        </w:rPr>
        <w:t xml:space="preserve"> </w:t>
      </w:r>
      <w:r>
        <w:rPr>
          <w:color w:val="000000"/>
        </w:rPr>
        <w:t xml:space="preserve">1748–1761. (https://doi.org/10.1056/NEJMoa1614949)</w:t>
      </w:r>
    </w:p>
    <w:p>
      <w:pPr>
        <w:numPr>
          <w:ilvl w:val="0"/>
          <w:numId w:val="1001"/>
        </w:numPr>
      </w:pPr>
      <w:r>
        <w:rPr>
          <w:color w:val="000000"/>
        </w:rPr>
        <w:t xml:space="preserve">Douglas RS, Kahaly GJ, Patel A, Sile S, Thompson EHZ, Perdok R, Fleming JC, Fowler BT, Marcocci C, Marinò M,</w:t>
      </w:r>
      <w:r>
        <w:rPr>
          <w:color w:val="000000"/>
        </w:rPr>
        <w:t xml:space="preserve"> </w:t>
      </w:r>
      <w:r>
        <w:rPr>
          <w:iCs/>
          <w:i/>
          <w:color w:val="000000"/>
        </w:rPr>
        <w:t xml:space="preserve">et al.</w:t>
      </w:r>
      <w:r>
        <w:rPr>
          <w:color w:val="000000"/>
        </w:rPr>
        <w:t xml:space="preserve"> </w:t>
      </w:r>
      <w:r>
        <w:rPr>
          <w:color w:val="000000"/>
        </w:rPr>
        <w:t xml:space="preserve">Teprotumumab for the Treatment of Active Thyroid Eye Disease.</w:t>
      </w:r>
      <w:r>
        <w:rPr>
          <w:color w:val="000000"/>
        </w:rPr>
        <w:t xml:space="preserve"> </w:t>
      </w:r>
      <w:r>
        <w:rPr>
          <w:iCs/>
          <w:i/>
          <w:color w:val="000000"/>
        </w:rPr>
        <w:t xml:space="preserve">New England Journal of Medicine</w:t>
      </w:r>
      <w:r>
        <w:rPr>
          <w:color w:val="000000"/>
        </w:rPr>
        <w:t xml:space="preserve"> </w:t>
      </w:r>
      <w:r>
        <w:rPr>
          <w:color w:val="000000"/>
        </w:rPr>
        <w:t xml:space="preserve">2020</w:t>
      </w:r>
      <w:r>
        <w:rPr>
          <w:color w:val="000000"/>
        </w:rPr>
        <w:t xml:space="preserve"> </w:t>
      </w:r>
      <w:r>
        <w:rPr>
          <w:bCs/>
          <w:b/>
          <w:color w:val="000000"/>
        </w:rPr>
        <w:t xml:space="preserve">382</w:t>
      </w:r>
      <w:r>
        <w:rPr>
          <w:color w:val="000000"/>
        </w:rPr>
        <w:t xml:space="preserve"> </w:t>
      </w:r>
      <w:r>
        <w:rPr>
          <w:color w:val="000000"/>
        </w:rPr>
        <w:t xml:space="preserve">341–352. (https://doi.org/10.1056/NEJMoa1910434)</w:t>
      </w:r>
    </w:p>
    <w:p>
      <w:pPr>
        <w:numPr>
          <w:ilvl w:val="0"/>
          <w:numId w:val="1001"/>
        </w:numPr>
      </w:pPr>
      <w:r>
        <w:rPr>
          <w:color w:val="000000"/>
        </w:rPr>
        <w:t xml:space="preserve">Nelson MR, Tipney H, Painter JL, Shen J, Nicoletti P, Shen Y, Floratos A, Sham PC, Li MJ, Wang J,</w:t>
      </w:r>
      <w:r>
        <w:rPr>
          <w:color w:val="000000"/>
        </w:rPr>
        <w:t xml:space="preserve"> </w:t>
      </w:r>
      <w:r>
        <w:rPr>
          <w:iCs/>
          <w:i/>
          <w:color w:val="000000"/>
        </w:rPr>
        <w:t xml:space="preserve">et al.</w:t>
      </w:r>
      <w:r>
        <w:rPr>
          <w:color w:val="000000"/>
        </w:rPr>
        <w:t xml:space="preserve"> </w:t>
      </w:r>
      <w:r>
        <w:rPr>
          <w:color w:val="000000"/>
        </w:rPr>
        <w:t xml:space="preserve">The support of human genetic evidence for approved drug indications.</w:t>
      </w:r>
      <w:r>
        <w:rPr>
          <w:color w:val="000000"/>
        </w:rPr>
        <w:t xml:space="preserve"> </w:t>
      </w:r>
      <w:r>
        <w:rPr>
          <w:iCs/>
          <w:i/>
          <w:color w:val="000000"/>
        </w:rPr>
        <w:t xml:space="preserve">Nature Genetics</w:t>
      </w:r>
      <w:r>
        <w:rPr>
          <w:color w:val="000000"/>
        </w:rPr>
        <w:t xml:space="preserve"> </w:t>
      </w:r>
      <w:r>
        <w:rPr>
          <w:color w:val="000000"/>
        </w:rPr>
        <w:t xml:space="preserve">2015</w:t>
      </w:r>
      <w:r>
        <w:rPr>
          <w:color w:val="000000"/>
        </w:rPr>
        <w:t xml:space="preserve"> </w:t>
      </w:r>
      <w:r>
        <w:rPr>
          <w:bCs/>
          <w:b/>
          <w:color w:val="000000"/>
        </w:rPr>
        <w:t xml:space="preserve">47</w:t>
      </w:r>
      <w:r>
        <w:rPr>
          <w:color w:val="000000"/>
        </w:rPr>
        <w:t xml:space="preserve"> </w:t>
      </w:r>
      <w:r>
        <w:rPr>
          <w:color w:val="000000"/>
        </w:rPr>
        <w:t xml:space="preserve">856–860. (https://doi.org/10.1038/ng.3314)</w:t>
      </w:r>
    </w:p>
    <w:p>
      <w:pPr>
        <w:numPr>
          <w:ilvl w:val="0"/>
          <w:numId w:val="1001"/>
        </w:numPr>
      </w:pPr>
      <w:r>
        <w:rPr>
          <w:color w:val="000000"/>
        </w:rPr>
        <w:t xml:space="preserve">Minikel EV, Painter JL, Dong CC &amp; Nelson MR. Refining the impact of genetic evidence on clinical success.</w:t>
      </w:r>
      <w:r>
        <w:rPr>
          <w:color w:val="000000"/>
        </w:rPr>
        <w:t xml:space="preserve"> </w:t>
      </w:r>
      <w:r>
        <w:rPr>
          <w:iCs/>
          <w:i/>
          <w:color w:val="000000"/>
        </w:rPr>
        <w:t xml:space="preserve">Nature</w:t>
      </w:r>
      <w:r>
        <w:rPr>
          <w:color w:val="000000"/>
        </w:rPr>
        <w:t xml:space="preserve"> </w:t>
      </w:r>
      <w:r>
        <w:rPr>
          <w:color w:val="000000"/>
        </w:rPr>
        <w:t xml:space="preserve">2024</w:t>
      </w:r>
      <w:r>
        <w:rPr>
          <w:color w:val="000000"/>
        </w:rPr>
        <w:t xml:space="preserve"> </w:t>
      </w:r>
      <w:r>
        <w:rPr>
          <w:bCs/>
          <w:b/>
          <w:color w:val="000000"/>
        </w:rPr>
        <w:t xml:space="preserve">629</w:t>
      </w:r>
      <w:r>
        <w:rPr>
          <w:color w:val="000000"/>
        </w:rPr>
        <w:t xml:space="preserve"> </w:t>
      </w:r>
      <w:r>
        <w:rPr>
          <w:color w:val="000000"/>
        </w:rPr>
        <w:t xml:space="preserve">624–629. (https://doi.org/10.1038/s41586-024-07316-0)</w:t>
      </w:r>
    </w:p>
    <w:p>
      <w:pPr>
        <w:numPr>
          <w:ilvl w:val="0"/>
          <w:numId w:val="1001"/>
        </w:numPr>
      </w:pPr>
      <w:r>
        <w:rPr>
          <w:color w:val="000000"/>
        </w:rPr>
        <w:t xml:space="preserve">Sanderson E, Glymour MM, Holmes MV, Kang H, Morrison J, Munafò MR, Palmer T, Schooling CM, Wallace C, Zhao Q,</w:t>
      </w:r>
      <w:r>
        <w:rPr>
          <w:color w:val="000000"/>
        </w:rPr>
        <w:t xml:space="preserve"> </w:t>
      </w:r>
      <w:r>
        <w:rPr>
          <w:iCs/>
          <w:i/>
          <w:color w:val="000000"/>
        </w:rPr>
        <w:t xml:space="preserve">et al.</w:t>
      </w:r>
      <w:r>
        <w:rPr>
          <w:color w:val="000000"/>
        </w:rPr>
        <w:t xml:space="preserve"> </w:t>
      </w:r>
      <w:r>
        <w:rPr>
          <w:color w:val="000000"/>
        </w:rPr>
        <w:t xml:space="preserve">Mendelian randomization.</w:t>
      </w:r>
      <w:r>
        <w:rPr>
          <w:color w:val="000000"/>
        </w:rPr>
        <w:t xml:space="preserve"> </w:t>
      </w:r>
      <w:r>
        <w:rPr>
          <w:iCs/>
          <w:i/>
          <w:color w:val="000000"/>
        </w:rPr>
        <w:t xml:space="preserve">Nature Reviews Methods Primers</w:t>
      </w:r>
      <w:r>
        <w:rPr>
          <w:color w:val="000000"/>
        </w:rPr>
        <w:t xml:space="preserve"> </w:t>
      </w:r>
      <w:r>
        <w:rPr>
          <w:color w:val="000000"/>
        </w:rPr>
        <w:t xml:space="preserve">2022</w:t>
      </w:r>
      <w:r>
        <w:rPr>
          <w:color w:val="000000"/>
        </w:rPr>
        <w:t xml:space="preserve"> </w:t>
      </w:r>
      <w:r>
        <w:rPr>
          <w:bCs/>
          <w:b/>
          <w:color w:val="000000"/>
        </w:rPr>
        <w:t xml:space="preserve">2</w:t>
      </w:r>
      <w:r>
        <w:rPr>
          <w:color w:val="000000"/>
        </w:rPr>
        <w:t xml:space="preserve"> </w:t>
      </w:r>
      <w:r>
        <w:rPr>
          <w:color w:val="000000"/>
        </w:rPr>
        <w:t xml:space="preserve">6. (https://doi.org/10.1038/s43586-021-00092-5)</w:t>
      </w:r>
    </w:p>
    <w:p>
      <w:pPr>
        <w:numPr>
          <w:ilvl w:val="0"/>
          <w:numId w:val="1001"/>
        </w:numPr>
      </w:pPr>
      <w:r>
        <w:rPr>
          <w:color w:val="000000"/>
        </w:rPr>
        <w:t xml:space="preserve">Gill D, Georgakis MK, Walker VM, Schmidt AF, Gkatzionis A, Freitag DF, Finan C, Hingorani AD, Howson JMM, Burgess S,</w:t>
      </w:r>
      <w:r>
        <w:rPr>
          <w:color w:val="000000"/>
        </w:rPr>
        <w:t xml:space="preserve"> </w:t>
      </w:r>
      <w:r>
        <w:rPr>
          <w:iCs/>
          <w:i/>
          <w:color w:val="000000"/>
        </w:rPr>
        <w:t xml:space="preserve">et al.</w:t>
      </w:r>
      <w:r>
        <w:rPr>
          <w:color w:val="000000"/>
        </w:rPr>
        <w:t xml:space="preserve"> </w:t>
      </w:r>
      <w:r>
        <w:rPr>
          <w:color w:val="000000"/>
        </w:rPr>
        <w:t xml:space="preserve">Mendelian randomization for studying the effects of perturbing drug targets.</w:t>
      </w:r>
      <w:r>
        <w:rPr>
          <w:color w:val="000000"/>
        </w:rPr>
        <w:t xml:space="preserve"> </w:t>
      </w:r>
      <w:r>
        <w:rPr>
          <w:iCs/>
          <w:i/>
          <w:color w:val="000000"/>
        </w:rPr>
        <w:t xml:space="preserve">Wellcome Open Research</w:t>
      </w:r>
      <w:r>
        <w:rPr>
          <w:color w:val="000000"/>
        </w:rPr>
        <w:t xml:space="preserve"> </w:t>
      </w:r>
      <w:r>
        <w:rPr>
          <w:color w:val="000000"/>
        </w:rPr>
        <w:t xml:space="preserve">2021</w:t>
      </w:r>
      <w:r>
        <w:rPr>
          <w:color w:val="000000"/>
        </w:rPr>
        <w:t xml:space="preserve"> </w:t>
      </w:r>
      <w:r>
        <w:rPr>
          <w:bCs/>
          <w:b/>
          <w:color w:val="000000"/>
        </w:rPr>
        <w:t xml:space="preserve">6</w:t>
      </w:r>
      <w:r>
        <w:rPr>
          <w:color w:val="000000"/>
        </w:rPr>
        <w:t xml:space="preserve"> </w:t>
      </w:r>
      <w:r>
        <w:rPr>
          <w:color w:val="000000"/>
        </w:rPr>
        <w:t xml:space="preserve">16. (https://doi.org/10.12688/wellcomeopenres.16544.2)</w:t>
      </w:r>
    </w:p>
    <w:p>
      <w:pPr>
        <w:numPr>
          <w:ilvl w:val="0"/>
          <w:numId w:val="1001"/>
        </w:numPr>
      </w:pPr>
      <w:r>
        <w:rPr>
          <w:color w:val="000000"/>
        </w:rPr>
        <w:t xml:space="preserve">Giambartolomei C, Vukcevic D, Schadt EE, Franke L, Hingorani AD, Wallace C &amp; Plagnol V. Bayesian test for colocalisation between pairs of genetic association studies using summary statistics.</w:t>
      </w:r>
      <w:r>
        <w:rPr>
          <w:color w:val="000000"/>
        </w:rPr>
        <w:t xml:space="preserve"> </w:t>
      </w:r>
      <w:r>
        <w:rPr>
          <w:iCs/>
          <w:i/>
          <w:color w:val="000000"/>
        </w:rPr>
        <w:t xml:space="preserve">PLoS Genetics</w:t>
      </w:r>
      <w:r>
        <w:rPr>
          <w:color w:val="000000"/>
        </w:rPr>
        <w:t xml:space="preserve"> </w:t>
      </w:r>
      <w:r>
        <w:rPr>
          <w:color w:val="000000"/>
        </w:rPr>
        <w:t xml:space="preserve">2014</w:t>
      </w:r>
      <w:r>
        <w:rPr>
          <w:color w:val="000000"/>
        </w:rPr>
        <w:t xml:space="preserve"> </w:t>
      </w:r>
      <w:r>
        <w:rPr>
          <w:bCs/>
          <w:b/>
          <w:color w:val="000000"/>
        </w:rPr>
        <w:t xml:space="preserve">10</w:t>
      </w:r>
      <w:r>
        <w:rPr>
          <w:color w:val="000000"/>
        </w:rPr>
        <w:t xml:space="preserve"> </w:t>
      </w:r>
      <w:r>
        <w:rPr>
          <w:color w:val="000000"/>
        </w:rPr>
        <w:t xml:space="preserve">e1004383. (https://doi.org/10.1371/journal.pgen.1004383)</w:t>
      </w:r>
    </w:p>
    <w:p>
      <w:pPr>
        <w:numPr>
          <w:ilvl w:val="0"/>
          <w:numId w:val="1001"/>
        </w:numPr>
      </w:pPr>
      <w:r>
        <w:rPr>
          <w:color w:val="000000"/>
        </w:rPr>
        <w:t xml:space="preserve">Zuber V, Grinberg NF, Gill D, Manipur I, Slob EAW, Patel A, Wallace C &amp; Burgess S. Combining evidence from Mendelian randomization and colocalization: Review and comparison of approaches.</w:t>
      </w:r>
      <w:r>
        <w:rPr>
          <w:color w:val="000000"/>
        </w:rPr>
        <w:t xml:space="preserve"> </w:t>
      </w:r>
      <w:r>
        <w:rPr>
          <w:iCs/>
          <w:i/>
          <w:color w:val="000000"/>
        </w:rPr>
        <w:t xml:space="preserve">American Journal of Human Genetics</w:t>
      </w:r>
      <w:r>
        <w:rPr>
          <w:color w:val="000000"/>
        </w:rPr>
        <w:t xml:space="preserve"> </w:t>
      </w:r>
      <w:r>
        <w:rPr>
          <w:color w:val="000000"/>
        </w:rPr>
        <w:t xml:space="preserve">2022</w:t>
      </w:r>
      <w:r>
        <w:rPr>
          <w:color w:val="000000"/>
        </w:rPr>
        <w:t xml:space="preserve"> </w:t>
      </w:r>
      <w:r>
        <w:rPr>
          <w:bCs/>
          <w:b/>
          <w:color w:val="000000"/>
        </w:rPr>
        <w:t xml:space="preserve">109</w:t>
      </w:r>
      <w:r>
        <w:rPr>
          <w:color w:val="000000"/>
        </w:rPr>
        <w:t xml:space="preserve"> </w:t>
      </w:r>
      <w:r>
        <w:rPr>
          <w:color w:val="000000"/>
        </w:rPr>
        <w:t xml:space="preserve">767–782. (https://doi.org/10.1016/j.ajhg.2022.04.001)</w:t>
      </w:r>
    </w:p>
    <w:p>
      <w:pPr>
        <w:numPr>
          <w:ilvl w:val="0"/>
          <w:numId w:val="1001"/>
        </w:numPr>
      </w:pPr>
      <w:r>
        <w:rPr>
          <w:color w:val="000000"/>
        </w:rPr>
        <w:t xml:space="preserve">Zheng J, Haberland V, Baird D, Walker V, Haycock PC, Hurle MR, Gutteridge A, Erola P, Liu Y, Luo S,</w:t>
      </w:r>
      <w:r>
        <w:rPr>
          <w:color w:val="000000"/>
        </w:rPr>
        <w:t xml:space="preserve"> </w:t>
      </w:r>
      <w:r>
        <w:rPr>
          <w:iCs/>
          <w:i/>
          <w:color w:val="000000"/>
        </w:rPr>
        <w:t xml:space="preserve">et al.</w:t>
      </w:r>
      <w:r>
        <w:rPr>
          <w:color w:val="000000"/>
        </w:rPr>
        <w:t xml:space="preserve"> </w:t>
      </w:r>
      <w:r>
        <w:rPr>
          <w:color w:val="000000"/>
        </w:rPr>
        <w:t xml:space="preserve">Phenome-wide Mendelian randomization mapping the influence of the plasma proteome on complex diseases.</w:t>
      </w:r>
      <w:r>
        <w:rPr>
          <w:color w:val="000000"/>
        </w:rPr>
        <w:t xml:space="preserve"> </w:t>
      </w:r>
      <w:r>
        <w:rPr>
          <w:iCs/>
          <w:i/>
          <w:color w:val="000000"/>
        </w:rPr>
        <w:t xml:space="preserve">Nature Genetics</w:t>
      </w:r>
      <w:r>
        <w:rPr>
          <w:color w:val="000000"/>
        </w:rPr>
        <w:t xml:space="preserve"> </w:t>
      </w:r>
      <w:r>
        <w:rPr>
          <w:color w:val="000000"/>
        </w:rPr>
        <w:t xml:space="preserve">2020</w:t>
      </w:r>
      <w:r>
        <w:rPr>
          <w:color w:val="000000"/>
        </w:rPr>
        <w:t xml:space="preserve"> </w:t>
      </w:r>
      <w:r>
        <w:rPr>
          <w:bCs/>
          <w:b/>
          <w:color w:val="000000"/>
        </w:rPr>
        <w:t xml:space="preserve">52</w:t>
      </w:r>
      <w:r>
        <w:rPr>
          <w:color w:val="000000"/>
        </w:rPr>
        <w:t xml:space="preserve"> </w:t>
      </w:r>
      <w:r>
        <w:rPr>
          <w:color w:val="000000"/>
        </w:rPr>
        <w:t xml:space="preserve">1122–1131. (https://doi.org/10.1038/s41588-020-0682-6)</w:t>
      </w:r>
    </w:p>
    <w:p>
      <w:pPr>
        <w:numPr>
          <w:ilvl w:val="0"/>
          <w:numId w:val="1001"/>
        </w:numPr>
      </w:pPr>
      <w:r>
        <w:rPr>
          <w:color w:val="000000"/>
        </w:rPr>
        <w:t xml:space="preserve">Ji Q, Xu H, Chen H, Chen X, Wang S &amp; Zou J. Pathogenic genes associated with immune-related genes in graves’ disease: a multi-omics Mendelian randomization analysis.</w:t>
      </w:r>
      <w:r>
        <w:rPr>
          <w:color w:val="000000"/>
        </w:rPr>
        <w:t xml:space="preserve"> </w:t>
      </w:r>
      <w:r>
        <w:rPr>
          <w:iCs/>
          <w:i/>
          <w:color w:val="000000"/>
        </w:rPr>
        <w:t xml:space="preserve">Scientific Reports</w:t>
      </w:r>
      <w:r>
        <w:rPr>
          <w:color w:val="000000"/>
        </w:rPr>
        <w:t xml:space="preserve"> </w:t>
      </w:r>
      <w:r>
        <w:rPr>
          <w:color w:val="000000"/>
        </w:rPr>
        <w:t xml:space="preserve">2025</w:t>
      </w:r>
      <w:r>
        <w:rPr>
          <w:color w:val="000000"/>
        </w:rPr>
        <w:t xml:space="preserve"> </w:t>
      </w:r>
      <w:r>
        <w:rPr>
          <w:bCs/>
          <w:b/>
          <w:color w:val="000000"/>
        </w:rPr>
        <w:t xml:space="preserve">15</w:t>
      </w:r>
      <w:r>
        <w:rPr>
          <w:color w:val="000000"/>
        </w:rPr>
        <w:t xml:space="preserve"> </w:t>
      </w:r>
      <w:r>
        <w:rPr>
          <w:color w:val="000000"/>
        </w:rPr>
        <w:t xml:space="preserve">37875. (https://doi.org/10.1038/s41598-025-21754-4)</w:t>
      </w:r>
    </w:p>
    <w:p>
      <w:pPr>
        <w:numPr>
          <w:ilvl w:val="0"/>
          <w:numId w:val="1001"/>
        </w:numPr>
      </w:pPr>
      <w:r>
        <w:rPr>
          <w:color w:val="000000"/>
        </w:rPr>
        <w:t xml:space="preserve">Zhang H, Jiang S, Zhu T, Liu Y, Li J, Fang S, Li Y, Sun J, He X, Tong C,</w:t>
      </w:r>
      <w:r>
        <w:rPr>
          <w:color w:val="000000"/>
        </w:rPr>
        <w:t xml:space="preserve"> </w:t>
      </w:r>
      <w:r>
        <w:rPr>
          <w:iCs/>
          <w:i/>
          <w:color w:val="000000"/>
        </w:rPr>
        <w:t xml:space="preserve">et al.</w:t>
      </w:r>
      <w:r>
        <w:rPr>
          <w:color w:val="000000"/>
        </w:rPr>
        <w:t xml:space="preserve"> </w:t>
      </w:r>
      <w:r>
        <w:rPr>
          <w:color w:val="000000"/>
        </w:rPr>
        <w:t xml:space="preserve">Thyroid-stimulating hormone receptor mediates peripheral-central neuroimmune crosstalk in autoimmune thyroid diseases.</w:t>
      </w:r>
      <w:r>
        <w:rPr>
          <w:color w:val="000000"/>
        </w:rPr>
        <w:t xml:space="preserve"> </w:t>
      </w:r>
      <w:r>
        <w:rPr>
          <w:iCs/>
          <w:i/>
          <w:color w:val="000000"/>
        </w:rPr>
        <w:t xml:space="preserve">BMC Medicine</w:t>
      </w:r>
      <w:r>
        <w:rPr>
          <w:color w:val="000000"/>
        </w:rPr>
        <w:t xml:space="preserve"> </w:t>
      </w:r>
      <w:r>
        <w:rPr>
          <w:color w:val="000000"/>
        </w:rPr>
        <w:t xml:space="preserve">2026</w:t>
      </w:r>
      <w:r>
        <w:rPr>
          <w:color w:val="000000"/>
        </w:rPr>
        <w:t xml:space="preserve"> </w:t>
      </w:r>
      <w:r>
        <w:rPr>
          <w:bCs/>
          <w:b/>
          <w:color w:val="000000"/>
        </w:rPr>
        <w:t xml:space="preserve">24</w:t>
      </w:r>
      <w:r>
        <w:rPr>
          <w:color w:val="000000"/>
        </w:rPr>
        <w:t xml:space="preserve"> </w:t>
      </w:r>
      <w:r>
        <w:rPr>
          <w:color w:val="000000"/>
        </w:rPr>
        <w:t xml:space="preserve">404. (https://doi.org/10.1186/s12916-026-04957-y)</w:t>
      </w:r>
    </w:p>
    <w:p>
      <w:pPr>
        <w:numPr>
          <w:ilvl w:val="0"/>
          <w:numId w:val="1001"/>
        </w:numPr>
      </w:pPr>
      <w:r>
        <w:rPr>
          <w:color w:val="000000"/>
        </w:rPr>
        <w:t xml:space="preserve">Ke C, Yu Y, Li J, Yu Y, Sun Y, Wang Y, Wang B, Lu Y, Tang M, Wang N,</w:t>
      </w:r>
      <w:r>
        <w:rPr>
          <w:color w:val="000000"/>
        </w:rPr>
        <w:t xml:space="preserve"> </w:t>
      </w:r>
      <w:r>
        <w:rPr>
          <w:iCs/>
          <w:i/>
          <w:color w:val="000000"/>
        </w:rPr>
        <w:t xml:space="preserve">et al.</w:t>
      </w:r>
      <w:r>
        <w:rPr>
          <w:color w:val="000000"/>
        </w:rPr>
        <w:t xml:space="preserve"> </w:t>
      </w:r>
      <w:r>
        <w:rPr>
          <w:color w:val="000000"/>
        </w:rPr>
        <w:t xml:space="preserve">Genetic and Plasma Proteomic Approaches to Identify Therapeutic Targets for Graves’ Disease and Graves’ Ophthalmopathy.</w:t>
      </w:r>
      <w:r>
        <w:rPr>
          <w:color w:val="000000"/>
        </w:rPr>
        <w:t xml:space="preserve"> </w:t>
      </w:r>
      <w:r>
        <w:rPr>
          <w:iCs/>
          <w:i/>
          <w:color w:val="000000"/>
        </w:rPr>
        <w:t xml:space="preserve">ImmunoTargets and Therapy</w:t>
      </w:r>
      <w:r>
        <w:rPr>
          <w:color w:val="000000"/>
        </w:rPr>
        <w:t xml:space="preserve"> </w:t>
      </w:r>
      <w:r>
        <w:rPr>
          <w:color w:val="000000"/>
        </w:rPr>
        <w:t xml:space="preserve">2025</w:t>
      </w:r>
      <w:r>
        <w:rPr>
          <w:color w:val="000000"/>
        </w:rPr>
        <w:t xml:space="preserve"> </w:t>
      </w:r>
      <w:r>
        <w:rPr>
          <w:bCs/>
          <w:b/>
          <w:color w:val="000000"/>
        </w:rPr>
        <w:t xml:space="preserve">14</w:t>
      </w:r>
      <w:r>
        <w:rPr>
          <w:color w:val="000000"/>
        </w:rPr>
        <w:t xml:space="preserve"> </w:t>
      </w:r>
      <w:r>
        <w:rPr>
          <w:color w:val="000000"/>
        </w:rPr>
        <w:t xml:space="preserve">87–98. (https://doi.org/10.2147/ITT.S494692)</w:t>
      </w:r>
    </w:p>
    <w:p>
      <w:pPr>
        <w:numPr>
          <w:ilvl w:val="0"/>
          <w:numId w:val="1001"/>
        </w:numPr>
      </w:pPr>
      <w:r>
        <w:rPr>
          <w:color w:val="000000"/>
        </w:rPr>
        <w:t xml:space="preserve">Finan C, Gaulton A, Kruger FA, Lumbers RT, Shah T, Engmann J, Galver L, Kelley R, Karlsson A, Santos R,</w:t>
      </w:r>
      <w:r>
        <w:rPr>
          <w:color w:val="000000"/>
        </w:rPr>
        <w:t xml:space="preserve"> </w:t>
      </w:r>
      <w:r>
        <w:rPr>
          <w:iCs/>
          <w:i/>
          <w:color w:val="000000"/>
        </w:rPr>
        <w:t xml:space="preserve">et al.</w:t>
      </w:r>
      <w:r>
        <w:rPr>
          <w:color w:val="000000"/>
        </w:rPr>
        <w:t xml:space="preserve"> </w:t>
      </w:r>
      <w:r>
        <w:rPr>
          <w:color w:val="000000"/>
        </w:rPr>
        <w:t xml:space="preserve">The druggable genome and support for target identification and validation in drug development.</w:t>
      </w:r>
      <w:r>
        <w:rPr>
          <w:color w:val="000000"/>
        </w:rPr>
        <w:t xml:space="preserve"> </w:t>
      </w:r>
      <w:r>
        <w:rPr>
          <w:iCs/>
          <w:i/>
          <w:color w:val="000000"/>
        </w:rPr>
        <w:t xml:space="preserve">Science Translational Medicine</w:t>
      </w:r>
      <w:r>
        <w:rPr>
          <w:color w:val="000000"/>
        </w:rPr>
        <w:t xml:space="preserve"> </w:t>
      </w:r>
      <w:r>
        <w:rPr>
          <w:color w:val="000000"/>
        </w:rPr>
        <w:t xml:space="preserve">2017</w:t>
      </w:r>
      <w:r>
        <w:rPr>
          <w:color w:val="000000"/>
        </w:rPr>
        <w:t xml:space="preserve"> </w:t>
      </w:r>
      <w:r>
        <w:rPr>
          <w:bCs/>
          <w:b/>
          <w:color w:val="000000"/>
        </w:rPr>
        <w:t xml:space="preserve">9</w:t>
      </w:r>
      <w:r>
        <w:rPr>
          <w:color w:val="000000"/>
        </w:rPr>
        <w:t xml:space="preserve"> </w:t>
      </w:r>
      <w:r>
        <w:rPr>
          <w:color w:val="000000"/>
        </w:rPr>
        <w:t xml:space="preserve">eaag1166. (https://doi.org/10.1126/scitranslmed.aag1166)</w:t>
      </w:r>
    </w:p>
    <w:p>
      <w:pPr>
        <w:numPr>
          <w:ilvl w:val="0"/>
          <w:numId w:val="1001"/>
        </w:numPr>
      </w:pPr>
      <w:r>
        <w:rPr>
          <w:color w:val="000000"/>
        </w:rPr>
        <w:t xml:space="preserve">Ueda H, Howson JM, Esposito L, Heward J, Snook H, Chamberlain G, Rainbow DB, Hunter KM, Smith AN, Di Genova G,</w:t>
      </w:r>
      <w:r>
        <w:rPr>
          <w:color w:val="000000"/>
        </w:rPr>
        <w:t xml:space="preserve"> </w:t>
      </w:r>
      <w:r>
        <w:rPr>
          <w:iCs/>
          <w:i/>
          <w:color w:val="000000"/>
        </w:rPr>
        <w:t xml:space="preserve">et al.</w:t>
      </w:r>
      <w:r>
        <w:rPr>
          <w:color w:val="000000"/>
        </w:rPr>
        <w:t xml:space="preserve"> </w:t>
      </w:r>
      <w:r>
        <w:rPr>
          <w:color w:val="000000"/>
        </w:rPr>
        <w:t xml:space="preserve">Association of the T-cell regulatory gene</w:t>
      </w:r>
      <w:r>
        <w:rPr>
          <w:color w:val="000000"/>
        </w:rPr>
        <w:t xml:space="preserve"> </w:t>
      </w:r>
      <w:r>
        <w:rPr>
          <w:iCs/>
          <w:i/>
          <w:color w:val="000000"/>
        </w:rPr>
        <w:t xml:space="preserve">CTLA4</w:t>
      </w:r>
      <w:r>
        <w:rPr>
          <w:color w:val="000000"/>
        </w:rPr>
        <w:t xml:space="preserve"> </w:t>
      </w:r>
      <w:r>
        <w:rPr>
          <w:color w:val="000000"/>
        </w:rPr>
        <w:t xml:space="preserve">with susceptibility to autoimmune disease.</w:t>
      </w:r>
      <w:r>
        <w:rPr>
          <w:color w:val="000000"/>
        </w:rPr>
        <w:t xml:space="preserve"> </w:t>
      </w:r>
      <w:r>
        <w:rPr>
          <w:iCs/>
          <w:i/>
          <w:color w:val="000000"/>
        </w:rPr>
        <w:t xml:space="preserve">Nature</w:t>
      </w:r>
      <w:r>
        <w:rPr>
          <w:color w:val="000000"/>
        </w:rPr>
        <w:t xml:space="preserve"> </w:t>
      </w:r>
      <w:r>
        <w:rPr>
          <w:color w:val="000000"/>
        </w:rPr>
        <w:t xml:space="preserve">2003</w:t>
      </w:r>
      <w:r>
        <w:rPr>
          <w:color w:val="000000"/>
        </w:rPr>
        <w:t xml:space="preserve"> </w:t>
      </w:r>
      <w:r>
        <w:rPr>
          <w:bCs/>
          <w:b/>
          <w:color w:val="000000"/>
        </w:rPr>
        <w:t xml:space="preserve">423</w:t>
      </w:r>
      <w:r>
        <w:rPr>
          <w:color w:val="000000"/>
        </w:rPr>
        <w:t xml:space="preserve"> </w:t>
      </w:r>
      <w:r>
        <w:rPr>
          <w:color w:val="000000"/>
        </w:rPr>
        <w:t xml:space="preserve">506–511. (https://doi.org/10.1038/nature01621)</w:t>
      </w:r>
    </w:p>
    <w:p>
      <w:pPr>
        <w:numPr>
          <w:ilvl w:val="0"/>
          <w:numId w:val="1001"/>
        </w:numPr>
      </w:pPr>
      <w:r>
        <w:rPr>
          <w:color w:val="000000"/>
        </w:rPr>
        <w:t xml:space="preserve">Skrivankova VW, Richmond RC, Woolf BAR, Yarmolinsky J, Davies NM, Swanson SA, VanderWeele TJ, Higgins JPT, Timpson NJ, Dimou N,</w:t>
      </w:r>
      <w:r>
        <w:rPr>
          <w:color w:val="000000"/>
        </w:rPr>
        <w:t xml:space="preserve"> </w:t>
      </w:r>
      <w:r>
        <w:rPr>
          <w:iCs/>
          <w:i/>
          <w:color w:val="000000"/>
        </w:rPr>
        <w:t xml:space="preserve">et al.</w:t>
      </w:r>
      <w:r>
        <w:rPr>
          <w:color w:val="000000"/>
        </w:rPr>
        <w:t xml:space="preserve"> </w:t>
      </w:r>
      <w:r>
        <w:rPr>
          <w:color w:val="000000"/>
        </w:rPr>
        <w:t xml:space="preserve">Strengthening the Reporting of Observational Studies in Epidemiology Using Mendelian Randomization: The STROBE-MR Statement.</w:t>
      </w:r>
      <w:r>
        <w:rPr>
          <w:color w:val="000000"/>
        </w:rPr>
        <w:t xml:space="preserve"> </w:t>
      </w:r>
      <w:r>
        <w:rPr>
          <w:iCs/>
          <w:i/>
          <w:color w:val="000000"/>
        </w:rPr>
        <w:t xml:space="preserve">JAMA</w:t>
      </w:r>
      <w:r>
        <w:rPr>
          <w:color w:val="000000"/>
        </w:rPr>
        <w:t xml:space="preserve"> </w:t>
      </w:r>
      <w:r>
        <w:rPr>
          <w:color w:val="000000"/>
        </w:rPr>
        <w:t xml:space="preserve">2021</w:t>
      </w:r>
      <w:r>
        <w:rPr>
          <w:color w:val="000000"/>
        </w:rPr>
        <w:t xml:space="preserve"> </w:t>
      </w:r>
      <w:r>
        <w:rPr>
          <w:bCs/>
          <w:b/>
          <w:color w:val="000000"/>
        </w:rPr>
        <w:t xml:space="preserve">326</w:t>
      </w:r>
      <w:r>
        <w:rPr>
          <w:color w:val="000000"/>
        </w:rPr>
        <w:t xml:space="preserve"> </w:t>
      </w:r>
      <w:r>
        <w:rPr>
          <w:color w:val="000000"/>
        </w:rPr>
        <w:t xml:space="preserve">1614–1621. (https://doi.org/10.1001/jama.2021.18236)</w:t>
      </w:r>
    </w:p>
    <w:p>
      <w:pPr>
        <w:numPr>
          <w:ilvl w:val="0"/>
          <w:numId w:val="1001"/>
        </w:numPr>
      </w:pPr>
      <w:r>
        <w:rPr>
          <w:color w:val="000000"/>
        </w:rPr>
        <w:t xml:space="preserve">Võsa U, Claringbould A, Westra HJ, Bonder MJ, Deelen P, Zeng B, Kirsten H, Saha A, Kreuzhuber R, Yazar S,</w:t>
      </w:r>
      <w:r>
        <w:rPr>
          <w:color w:val="000000"/>
        </w:rPr>
        <w:t xml:space="preserve"> </w:t>
      </w:r>
      <w:r>
        <w:rPr>
          <w:iCs/>
          <w:i/>
          <w:color w:val="000000"/>
        </w:rPr>
        <w:t xml:space="preserve">et al.</w:t>
      </w:r>
      <w:r>
        <w:rPr>
          <w:color w:val="000000"/>
        </w:rPr>
        <w:t xml:space="preserve"> </w:t>
      </w:r>
      <w:r>
        <w:rPr>
          <w:color w:val="000000"/>
        </w:rPr>
        <w:t xml:space="preserve">Large-scale cis- and trans-eQTL analyses identify thousands of genetic loci and polygenic scores that regulate blood gene expression.</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1300–1310. (https://doi.org/10.1038/s41588-021-00913-z)</w:t>
      </w:r>
    </w:p>
    <w:p>
      <w:pPr>
        <w:numPr>
          <w:ilvl w:val="0"/>
          <w:numId w:val="1001"/>
        </w:numPr>
      </w:pPr>
      <w:r>
        <w:rPr>
          <w:color w:val="000000"/>
        </w:rPr>
        <w:t xml:space="preserve">Sakaue S, Kanai M, Tanigawa Y, Karjalainen J, Kurki M, Koshiba S, Narita A, Konuma T, Yamamoto K, Akiyama M,</w:t>
      </w:r>
      <w:r>
        <w:rPr>
          <w:color w:val="000000"/>
        </w:rPr>
        <w:t xml:space="preserve"> </w:t>
      </w:r>
      <w:r>
        <w:rPr>
          <w:iCs/>
          <w:i/>
          <w:color w:val="000000"/>
        </w:rPr>
        <w:t xml:space="preserve">et al.</w:t>
      </w:r>
      <w:r>
        <w:rPr>
          <w:color w:val="000000"/>
        </w:rPr>
        <w:t xml:space="preserve"> </w:t>
      </w:r>
      <w:r>
        <w:rPr>
          <w:color w:val="000000"/>
        </w:rPr>
        <w:t xml:space="preserve">A cross-population atlas of genetic associations for 220 human phenotypes.</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1415–1424. (https://doi.org/10.1038/s41588-021-00931-x)</w:t>
      </w:r>
    </w:p>
    <w:p>
      <w:pPr>
        <w:numPr>
          <w:ilvl w:val="0"/>
          <w:numId w:val="1001"/>
        </w:numPr>
      </w:pPr>
      <w:r>
        <w:rPr>
          <w:color w:val="000000"/>
        </w:rPr>
        <w:t xml:space="preserve">Dönertaş HM, Fabian DK, Valenzuela MF, Partridge L &amp; Thornton JM. Common genetic associations between age-related diseases.</w:t>
      </w:r>
      <w:r>
        <w:rPr>
          <w:color w:val="000000"/>
        </w:rPr>
        <w:t xml:space="preserve"> </w:t>
      </w:r>
      <w:r>
        <w:rPr>
          <w:iCs/>
          <w:i/>
          <w:color w:val="000000"/>
        </w:rPr>
        <w:t xml:space="preserve">Nature Aging</w:t>
      </w:r>
      <w:r>
        <w:rPr>
          <w:color w:val="000000"/>
        </w:rPr>
        <w:t xml:space="preserve"> </w:t>
      </w:r>
      <w:r>
        <w:rPr>
          <w:color w:val="000000"/>
        </w:rPr>
        <w:t xml:space="preserve">2021</w:t>
      </w:r>
      <w:r>
        <w:rPr>
          <w:color w:val="000000"/>
        </w:rPr>
        <w:t xml:space="preserve"> </w:t>
      </w:r>
      <w:r>
        <w:rPr>
          <w:bCs/>
          <w:b/>
          <w:color w:val="000000"/>
        </w:rPr>
        <w:t xml:space="preserve">1</w:t>
      </w:r>
      <w:r>
        <w:rPr>
          <w:color w:val="000000"/>
        </w:rPr>
        <w:t xml:space="preserve"> </w:t>
      </w:r>
      <w:r>
        <w:rPr>
          <w:color w:val="000000"/>
        </w:rPr>
        <w:t xml:space="preserve">400–412. (https://doi.org/10.1038/s43587-021-00051-5)</w:t>
      </w:r>
    </w:p>
    <w:p>
      <w:pPr>
        <w:numPr>
          <w:ilvl w:val="0"/>
          <w:numId w:val="1001"/>
        </w:numPr>
      </w:pPr>
      <w:r>
        <w:rPr>
          <w:color w:val="000000"/>
        </w:rPr>
        <w:t xml:space="preserve">Kurki MI, Karjalainen J, Palta P, Sipilä TP, Kristiansson K, Donner KM, Reeve MP, Laivuori H, Aavikko M, Kaunisto MA,</w:t>
      </w:r>
      <w:r>
        <w:rPr>
          <w:color w:val="000000"/>
        </w:rPr>
        <w:t xml:space="preserve"> </w:t>
      </w:r>
      <w:r>
        <w:rPr>
          <w:iCs/>
          <w:i/>
          <w:color w:val="000000"/>
        </w:rPr>
        <w:t xml:space="preserve">et al.</w:t>
      </w:r>
      <w:r>
        <w:rPr>
          <w:color w:val="000000"/>
        </w:rPr>
        <w:t xml:space="preserve"> </w:t>
      </w:r>
      <w:r>
        <w:rPr>
          <w:color w:val="000000"/>
        </w:rPr>
        <w:t xml:space="preserve">FinnGen provides genetic insights from a well-phenotyped isolated population.</w:t>
      </w:r>
      <w:r>
        <w:rPr>
          <w:color w:val="000000"/>
        </w:rPr>
        <w:t xml:space="preserve"> </w:t>
      </w:r>
      <w:r>
        <w:rPr>
          <w:iCs/>
          <w:i/>
          <w:color w:val="000000"/>
        </w:rPr>
        <w:t xml:space="preserve">Nature</w:t>
      </w:r>
      <w:r>
        <w:rPr>
          <w:color w:val="000000"/>
        </w:rPr>
        <w:t xml:space="preserve"> </w:t>
      </w:r>
      <w:r>
        <w:rPr>
          <w:color w:val="000000"/>
        </w:rPr>
        <w:t xml:space="preserve">2023</w:t>
      </w:r>
      <w:r>
        <w:rPr>
          <w:color w:val="000000"/>
        </w:rPr>
        <w:t xml:space="preserve"> </w:t>
      </w:r>
      <w:r>
        <w:rPr>
          <w:bCs/>
          <w:b/>
          <w:color w:val="000000"/>
        </w:rPr>
        <w:t xml:space="preserve">613</w:t>
      </w:r>
      <w:r>
        <w:rPr>
          <w:color w:val="000000"/>
        </w:rPr>
        <w:t xml:space="preserve"> </w:t>
      </w:r>
      <w:r>
        <w:rPr>
          <w:color w:val="000000"/>
        </w:rPr>
        <w:t xml:space="preserve">508–518. (https://doi.org/10.1038/s41586-022-05473-8)</w:t>
      </w:r>
    </w:p>
    <w:p>
      <w:pPr>
        <w:numPr>
          <w:ilvl w:val="0"/>
          <w:numId w:val="1001"/>
        </w:numPr>
      </w:pPr>
      <w:r>
        <w:rPr>
          <w:color w:val="000000"/>
        </w:rPr>
        <w:t xml:space="preserve">Chang CC, Chow CC, Tellier LC, Vattikuti S, Purcell SM &amp; Lee JJ. Second-generation PLINK: rising to the challenge of larger and richer datasets.</w:t>
      </w:r>
      <w:r>
        <w:rPr>
          <w:color w:val="000000"/>
        </w:rPr>
        <w:t xml:space="preserve"> </w:t>
      </w:r>
      <w:r>
        <w:rPr>
          <w:iCs/>
          <w:i/>
          <w:color w:val="000000"/>
        </w:rPr>
        <w:t xml:space="preserve">GigaScience</w:t>
      </w:r>
      <w:r>
        <w:rPr>
          <w:color w:val="000000"/>
        </w:rPr>
        <w:t xml:space="preserve"> </w:t>
      </w:r>
      <w:r>
        <w:rPr>
          <w:color w:val="000000"/>
        </w:rPr>
        <w:t xml:space="preserve">2015</w:t>
      </w:r>
      <w:r>
        <w:rPr>
          <w:color w:val="000000"/>
        </w:rPr>
        <w:t xml:space="preserve"> </w:t>
      </w:r>
      <w:r>
        <w:rPr>
          <w:bCs/>
          <w:b/>
          <w:color w:val="000000"/>
        </w:rPr>
        <w:t xml:space="preserve">4</w:t>
      </w:r>
      <w:r>
        <w:rPr>
          <w:color w:val="000000"/>
        </w:rPr>
        <w:t xml:space="preserve"> </w:t>
      </w:r>
      <w:r>
        <w:rPr>
          <w:color w:val="000000"/>
        </w:rPr>
        <w:t xml:space="preserve">7. (https://doi.org/10.1186/s13742-015-0047-8)</w:t>
      </w:r>
    </w:p>
    <w:p>
      <w:pPr>
        <w:numPr>
          <w:ilvl w:val="0"/>
          <w:numId w:val="1001"/>
        </w:numPr>
      </w:pPr>
      <w:r>
        <w:rPr>
          <w:color w:val="000000"/>
        </w:rPr>
        <w:t xml:space="preserve">1000 Genomes Project Consortium, Auton A, Brooks LD, Durbin RM, Garrison EP, Kang HM, Korbel JO, Marchini JL, McCarthy S, McVean GA,</w:t>
      </w:r>
      <w:r>
        <w:rPr>
          <w:color w:val="000000"/>
        </w:rPr>
        <w:t xml:space="preserve"> </w:t>
      </w:r>
      <w:r>
        <w:rPr>
          <w:iCs/>
          <w:i/>
          <w:color w:val="000000"/>
        </w:rPr>
        <w:t xml:space="preserve">et al.</w:t>
      </w:r>
      <w:r>
        <w:rPr>
          <w:color w:val="000000"/>
        </w:rPr>
        <w:t xml:space="preserve"> </w:t>
      </w:r>
      <w:r>
        <w:rPr>
          <w:color w:val="000000"/>
        </w:rPr>
        <w:t xml:space="preserve">A global reference for human genetic variation.</w:t>
      </w:r>
      <w:r>
        <w:rPr>
          <w:color w:val="000000"/>
        </w:rPr>
        <w:t xml:space="preserve"> </w:t>
      </w:r>
      <w:r>
        <w:rPr>
          <w:iCs/>
          <w:i/>
          <w:color w:val="000000"/>
        </w:rPr>
        <w:t xml:space="preserve">Nature</w:t>
      </w:r>
      <w:r>
        <w:rPr>
          <w:color w:val="000000"/>
        </w:rPr>
        <w:t xml:space="preserve"> </w:t>
      </w:r>
      <w:r>
        <w:rPr>
          <w:color w:val="000000"/>
        </w:rPr>
        <w:t xml:space="preserve">2015</w:t>
      </w:r>
      <w:r>
        <w:rPr>
          <w:color w:val="000000"/>
        </w:rPr>
        <w:t xml:space="preserve"> </w:t>
      </w:r>
      <w:r>
        <w:rPr>
          <w:bCs/>
          <w:b/>
          <w:color w:val="000000"/>
        </w:rPr>
        <w:t xml:space="preserve">526</w:t>
      </w:r>
      <w:r>
        <w:rPr>
          <w:color w:val="000000"/>
        </w:rPr>
        <w:t xml:space="preserve"> </w:t>
      </w:r>
      <w:r>
        <w:rPr>
          <w:color w:val="000000"/>
        </w:rPr>
        <w:t xml:space="preserve">68–74. (https://doi.org/10.1038/nature15393)</w:t>
      </w:r>
    </w:p>
    <w:p>
      <w:pPr>
        <w:numPr>
          <w:ilvl w:val="0"/>
          <w:numId w:val="1001"/>
        </w:numPr>
      </w:pPr>
      <w:r>
        <w:rPr>
          <w:color w:val="000000"/>
        </w:rPr>
        <w:t xml:space="preserve">Zhu Z, Zhang F, Hu H, Bakshi A, Robinson MR, Powell JE, Montgomery GW, Goddard ME, Wray NR, Visscher PM,</w:t>
      </w:r>
      <w:r>
        <w:rPr>
          <w:color w:val="000000"/>
        </w:rPr>
        <w:t xml:space="preserve"> </w:t>
      </w:r>
      <w:r>
        <w:rPr>
          <w:iCs/>
          <w:i/>
          <w:color w:val="000000"/>
        </w:rPr>
        <w:t xml:space="preserve">et al.</w:t>
      </w:r>
      <w:r>
        <w:rPr>
          <w:color w:val="000000"/>
        </w:rPr>
        <w:t xml:space="preserve"> </w:t>
      </w:r>
      <w:r>
        <w:rPr>
          <w:color w:val="000000"/>
        </w:rPr>
        <w:t xml:space="preserve">Integration of summary data from GWAS and eQTL studies predicts complex trait gene targets.</w:t>
      </w:r>
      <w:r>
        <w:rPr>
          <w:color w:val="000000"/>
        </w:rPr>
        <w:t xml:space="preserve"> </w:t>
      </w:r>
      <w:r>
        <w:rPr>
          <w:iCs/>
          <w:i/>
          <w:color w:val="000000"/>
        </w:rPr>
        <w:t xml:space="preserve">Nature Genetics</w:t>
      </w:r>
      <w:r>
        <w:rPr>
          <w:color w:val="000000"/>
        </w:rPr>
        <w:t xml:space="preserve"> </w:t>
      </w:r>
      <w:r>
        <w:rPr>
          <w:color w:val="000000"/>
        </w:rPr>
        <w:t xml:space="preserve">2016</w:t>
      </w:r>
      <w:r>
        <w:rPr>
          <w:color w:val="000000"/>
        </w:rPr>
        <w:t xml:space="preserve"> </w:t>
      </w:r>
      <w:r>
        <w:rPr>
          <w:bCs/>
          <w:b/>
          <w:color w:val="000000"/>
        </w:rPr>
        <w:t xml:space="preserve">48</w:t>
      </w:r>
      <w:r>
        <w:rPr>
          <w:color w:val="000000"/>
        </w:rPr>
        <w:t xml:space="preserve"> </w:t>
      </w:r>
      <w:r>
        <w:rPr>
          <w:color w:val="000000"/>
        </w:rPr>
        <w:t xml:space="preserve">481–487. (https://doi.org/10.1038/ng.3538)</w:t>
      </w:r>
    </w:p>
    <w:p>
      <w:pPr>
        <w:numPr>
          <w:ilvl w:val="0"/>
          <w:numId w:val="1001"/>
        </w:numPr>
      </w:pPr>
      <w:r>
        <w:rPr>
          <w:color w:val="000000"/>
        </w:rPr>
        <w:t xml:space="preserve">Lloyd-Jones LR, Robinson MR, Yang J &amp; Visscher PM. Transformation of Summary Statistics from Linear Mixed Model Association on All-or-None Traits to Odds Ratio.</w:t>
      </w:r>
      <w:r>
        <w:rPr>
          <w:color w:val="000000"/>
        </w:rPr>
        <w:t xml:space="preserve"> </w:t>
      </w:r>
      <w:r>
        <w:rPr>
          <w:iCs/>
          <w:i/>
          <w:color w:val="000000"/>
        </w:rPr>
        <w:t xml:space="preserve">Genetics</w:t>
      </w:r>
      <w:r>
        <w:rPr>
          <w:color w:val="000000"/>
        </w:rPr>
        <w:t xml:space="preserve"> </w:t>
      </w:r>
      <w:r>
        <w:rPr>
          <w:color w:val="000000"/>
        </w:rPr>
        <w:t xml:space="preserve">2018</w:t>
      </w:r>
      <w:r>
        <w:rPr>
          <w:color w:val="000000"/>
        </w:rPr>
        <w:t xml:space="preserve"> </w:t>
      </w:r>
      <w:r>
        <w:rPr>
          <w:bCs/>
          <w:b/>
          <w:color w:val="000000"/>
        </w:rPr>
        <w:t xml:space="preserve">208</w:t>
      </w:r>
      <w:r>
        <w:rPr>
          <w:color w:val="000000"/>
        </w:rPr>
        <w:t xml:space="preserve"> </w:t>
      </w:r>
      <w:r>
        <w:rPr>
          <w:color w:val="000000"/>
        </w:rPr>
        <w:t xml:space="preserve">1397–1408. (https://doi.org/10.1534/genetics.117.300360)</w:t>
      </w:r>
    </w:p>
    <w:p>
      <w:pPr>
        <w:numPr>
          <w:ilvl w:val="0"/>
          <w:numId w:val="1001"/>
        </w:numPr>
      </w:pPr>
      <w:r>
        <w:rPr>
          <w:color w:val="000000"/>
        </w:rPr>
        <w:t xml:space="preserve">Hemani G, Zheng J, Elsworth B, Wade KH, Haberland V, Baird D, Laurin C, Burgess S, Bowden J, Langdon R,</w:t>
      </w:r>
      <w:r>
        <w:rPr>
          <w:color w:val="000000"/>
        </w:rPr>
        <w:t xml:space="preserve"> </w:t>
      </w:r>
      <w:r>
        <w:rPr>
          <w:iCs/>
          <w:i/>
          <w:color w:val="000000"/>
        </w:rPr>
        <w:t xml:space="preserve">et al.</w:t>
      </w:r>
      <w:r>
        <w:rPr>
          <w:color w:val="000000"/>
        </w:rPr>
        <w:t xml:space="preserve"> </w:t>
      </w:r>
      <w:r>
        <w:rPr>
          <w:color w:val="000000"/>
        </w:rPr>
        <w:t xml:space="preserve">The MR-Base platform supports systematic causal inference across the human phenome.</w:t>
      </w:r>
      <w:r>
        <w:rPr>
          <w:color w:val="000000"/>
        </w:rPr>
        <w:t xml:space="preserve"> </w:t>
      </w:r>
      <w:r>
        <w:rPr>
          <w:iCs/>
          <w:i/>
          <w:color w:val="000000"/>
        </w:rPr>
        <w:t xml:space="preserve">eLife</w:t>
      </w:r>
      <w:r>
        <w:rPr>
          <w:color w:val="000000"/>
        </w:rPr>
        <w:t xml:space="preserve"> </w:t>
      </w:r>
      <w:r>
        <w:rPr>
          <w:color w:val="000000"/>
        </w:rPr>
        <w:t xml:space="preserve">2018</w:t>
      </w:r>
      <w:r>
        <w:rPr>
          <w:color w:val="000000"/>
        </w:rPr>
        <w:t xml:space="preserve"> </w:t>
      </w:r>
      <w:r>
        <w:rPr>
          <w:bCs/>
          <w:b/>
          <w:color w:val="000000"/>
        </w:rPr>
        <w:t xml:space="preserve">7</w:t>
      </w:r>
      <w:r>
        <w:rPr>
          <w:color w:val="000000"/>
        </w:rPr>
        <w:t xml:space="preserve"> </w:t>
      </w:r>
      <w:r>
        <w:rPr>
          <w:color w:val="000000"/>
        </w:rPr>
        <w:t xml:space="preserve">e34408. (https://doi.org/10.7554/eLife.34408)</w:t>
      </w:r>
    </w:p>
    <w:p>
      <w:pPr>
        <w:numPr>
          <w:ilvl w:val="0"/>
          <w:numId w:val="1001"/>
        </w:numPr>
      </w:pPr>
      <w:r>
        <w:rPr>
          <w:color w:val="000000"/>
        </w:rPr>
        <w:t xml:space="preserve">Bowden J, Davey Smith G &amp; Burgess S. Mendelian randomization with invalid instruments: effect estimation and bias detection through Egger regression.</w:t>
      </w:r>
      <w:r>
        <w:rPr>
          <w:color w:val="000000"/>
        </w:rPr>
        <w:t xml:space="preserve"> </w:t>
      </w:r>
      <w:r>
        <w:rPr>
          <w:iCs/>
          <w:i/>
          <w:color w:val="000000"/>
        </w:rPr>
        <w:t xml:space="preserve">International Journal of Epidemiology</w:t>
      </w:r>
      <w:r>
        <w:rPr>
          <w:color w:val="000000"/>
        </w:rPr>
        <w:t xml:space="preserve"> </w:t>
      </w:r>
      <w:r>
        <w:rPr>
          <w:color w:val="000000"/>
        </w:rPr>
        <w:t xml:space="preserve">2015</w:t>
      </w:r>
      <w:r>
        <w:rPr>
          <w:color w:val="000000"/>
        </w:rPr>
        <w:t xml:space="preserve"> </w:t>
      </w:r>
      <w:r>
        <w:rPr>
          <w:bCs/>
          <w:b/>
          <w:color w:val="000000"/>
        </w:rPr>
        <w:t xml:space="preserve">44</w:t>
      </w:r>
      <w:r>
        <w:rPr>
          <w:color w:val="000000"/>
        </w:rPr>
        <w:t xml:space="preserve"> </w:t>
      </w:r>
      <w:r>
        <w:rPr>
          <w:color w:val="000000"/>
        </w:rPr>
        <w:t xml:space="preserve">512–525. (https://doi.org/10.1093/ije/dyv080)</w:t>
      </w:r>
    </w:p>
    <w:p>
      <w:pPr>
        <w:numPr>
          <w:ilvl w:val="0"/>
          <w:numId w:val="1001"/>
        </w:numPr>
      </w:pPr>
      <w:r>
        <w:rPr>
          <w:color w:val="000000"/>
        </w:rPr>
        <w:t xml:space="preserve">Bowden J, Davey Smith G, Haycock PC &amp; Burgess S. Consistent Estimation in Mendelian Randomization with Some Invalid Instruments Using a Weighted Median Estimator.</w:t>
      </w:r>
      <w:r>
        <w:rPr>
          <w:color w:val="000000"/>
        </w:rPr>
        <w:t xml:space="preserve"> </w:t>
      </w:r>
      <w:r>
        <w:rPr>
          <w:iCs/>
          <w:i/>
          <w:color w:val="000000"/>
        </w:rPr>
        <w:t xml:space="preserve">Genetic Epidemiology</w:t>
      </w:r>
      <w:r>
        <w:rPr>
          <w:color w:val="000000"/>
        </w:rPr>
        <w:t xml:space="preserve"> </w:t>
      </w:r>
      <w:r>
        <w:rPr>
          <w:color w:val="000000"/>
        </w:rPr>
        <w:t xml:space="preserve">2016</w:t>
      </w:r>
      <w:r>
        <w:rPr>
          <w:color w:val="000000"/>
        </w:rPr>
        <w:t xml:space="preserve"> </w:t>
      </w:r>
      <w:r>
        <w:rPr>
          <w:bCs/>
          <w:b/>
          <w:color w:val="000000"/>
        </w:rPr>
        <w:t xml:space="preserve">40</w:t>
      </w:r>
      <w:r>
        <w:rPr>
          <w:color w:val="000000"/>
        </w:rPr>
        <w:t xml:space="preserve"> </w:t>
      </w:r>
      <w:r>
        <w:rPr>
          <w:color w:val="000000"/>
        </w:rPr>
        <w:t xml:space="preserve">304–314. (https://doi.org/10.1002/gepi.21965)</w:t>
      </w:r>
    </w:p>
    <w:p>
      <w:pPr>
        <w:numPr>
          <w:ilvl w:val="0"/>
          <w:numId w:val="1001"/>
        </w:numPr>
      </w:pPr>
      <w:r>
        <w:rPr>
          <w:color w:val="000000"/>
        </w:rPr>
        <w:t xml:space="preserve">Hartwig FP, Davey Smith G &amp; Bowden J. Robust inference in summary data Mendelian randomization via the zero modal pleiotropy assumption.</w:t>
      </w:r>
      <w:r>
        <w:rPr>
          <w:color w:val="000000"/>
        </w:rPr>
        <w:t xml:space="preserve"> </w:t>
      </w:r>
      <w:r>
        <w:rPr>
          <w:iCs/>
          <w:i/>
          <w:color w:val="000000"/>
        </w:rPr>
        <w:t xml:space="preserve">International Journal of Epidemiology</w:t>
      </w:r>
      <w:r>
        <w:rPr>
          <w:color w:val="000000"/>
        </w:rPr>
        <w:t xml:space="preserve"> </w:t>
      </w:r>
      <w:r>
        <w:rPr>
          <w:color w:val="000000"/>
        </w:rPr>
        <w:t xml:space="preserve">2017</w:t>
      </w:r>
      <w:r>
        <w:rPr>
          <w:color w:val="000000"/>
        </w:rPr>
        <w:t xml:space="preserve"> </w:t>
      </w:r>
      <w:r>
        <w:rPr>
          <w:bCs/>
          <w:b/>
          <w:color w:val="000000"/>
        </w:rPr>
        <w:t xml:space="preserve">46</w:t>
      </w:r>
      <w:r>
        <w:rPr>
          <w:color w:val="000000"/>
        </w:rPr>
        <w:t xml:space="preserve"> </w:t>
      </w:r>
      <w:r>
        <w:rPr>
          <w:color w:val="000000"/>
        </w:rPr>
        <w:t xml:space="preserve">1985–1998. (https://doi.org/10.1093/ije/dyx102)</w:t>
      </w:r>
    </w:p>
    <w:p>
      <w:pPr>
        <w:numPr>
          <w:ilvl w:val="0"/>
          <w:numId w:val="1001"/>
        </w:numPr>
      </w:pPr>
      <w:r>
        <w:rPr>
          <w:color w:val="000000"/>
        </w:rPr>
        <w:t xml:space="preserve">Colobran R, Armengol Mdel P, Faner R, Gärtner M, Tykocinski LO, Lucas A, Ruiz M, Juan M, Kyewski B &amp; Pujol-Borrell R. Association of an SNP with intrathymic transcription of</w:t>
      </w:r>
      <w:r>
        <w:rPr>
          <w:color w:val="000000"/>
        </w:rPr>
        <w:t xml:space="preserve"> </w:t>
      </w:r>
      <w:r>
        <w:rPr>
          <w:iCs/>
          <w:i/>
          <w:color w:val="000000"/>
        </w:rPr>
        <w:t xml:space="preserve">TSHR</w:t>
      </w:r>
      <w:r>
        <w:rPr>
          <w:color w:val="000000"/>
        </w:rPr>
        <w:t xml:space="preserve"> </w:t>
      </w:r>
      <w:r>
        <w:rPr>
          <w:color w:val="000000"/>
        </w:rPr>
        <w:t xml:space="preserve">and Graves’ disease: a role for defective thymic tolerance.</w:t>
      </w:r>
      <w:r>
        <w:rPr>
          <w:color w:val="000000"/>
        </w:rPr>
        <w:t xml:space="preserve"> </w:t>
      </w:r>
      <w:r>
        <w:rPr>
          <w:iCs/>
          <w:i/>
          <w:color w:val="000000"/>
        </w:rPr>
        <w:t xml:space="preserve">Human Molecular Genetics</w:t>
      </w:r>
      <w:r>
        <w:rPr>
          <w:color w:val="000000"/>
        </w:rPr>
        <w:t xml:space="preserve"> </w:t>
      </w:r>
      <w:r>
        <w:rPr>
          <w:color w:val="000000"/>
        </w:rPr>
        <w:t xml:space="preserve">2011</w:t>
      </w:r>
      <w:r>
        <w:rPr>
          <w:color w:val="000000"/>
        </w:rPr>
        <w:t xml:space="preserve"> </w:t>
      </w:r>
      <w:r>
        <w:rPr>
          <w:bCs/>
          <w:b/>
          <w:color w:val="000000"/>
        </w:rPr>
        <w:t xml:space="preserve">20</w:t>
      </w:r>
      <w:r>
        <w:rPr>
          <w:color w:val="000000"/>
        </w:rPr>
        <w:t xml:space="preserve"> </w:t>
      </w:r>
      <w:r>
        <w:rPr>
          <w:color w:val="000000"/>
        </w:rPr>
        <w:t xml:space="preserve">3415–3423. (https://doi.org/10.1093/hmg/ddr247)</w:t>
      </w:r>
    </w:p>
    <w:p>
      <w:pPr>
        <w:numPr>
          <w:ilvl w:val="0"/>
          <w:numId w:val="1001"/>
        </w:numPr>
      </w:pPr>
      <w:r>
        <w:rPr>
          <w:color w:val="000000"/>
        </w:rPr>
        <w:t xml:space="preserve">Marín-Sánchez A, Álvarez-Sierra D, González O, Lucas-Martin A, Sellés-Sánchez A, Rudilla F, Enrich E, Colobran R &amp; Pujol-Borrell R. Regulation of</w:t>
      </w:r>
      <w:r>
        <w:rPr>
          <w:color w:val="000000"/>
        </w:rPr>
        <w:t xml:space="preserve"> </w:t>
      </w:r>
      <w:r>
        <w:rPr>
          <w:iCs/>
          <w:i/>
          <w:color w:val="000000"/>
        </w:rPr>
        <w:t xml:space="preserve">TSHR</w:t>
      </w:r>
      <w:r>
        <w:rPr>
          <w:color w:val="000000"/>
        </w:rPr>
        <w:t xml:space="preserve"> </w:t>
      </w:r>
      <w:r>
        <w:rPr>
          <w:color w:val="000000"/>
        </w:rPr>
        <w:t xml:space="preserve">Expression in the Thyroid and Thymus May Contribute to TSHR Tolerance Failure in Graves’ Disease Patients via Two Distinct Mechanisms.</w:t>
      </w:r>
      <w:r>
        <w:rPr>
          <w:color w:val="000000"/>
        </w:rPr>
        <w:t xml:space="preserve"> </w:t>
      </w:r>
      <w:r>
        <w:rPr>
          <w:iCs/>
          <w:i/>
          <w:color w:val="000000"/>
        </w:rPr>
        <w:t xml:space="preserve">Frontiers in Immunology</w:t>
      </w:r>
      <w:r>
        <w:rPr>
          <w:color w:val="000000"/>
        </w:rPr>
        <w:t xml:space="preserve"> </w:t>
      </w:r>
      <w:r>
        <w:rPr>
          <w:color w:val="000000"/>
        </w:rPr>
        <w:t xml:space="preserve">2019</w:t>
      </w:r>
      <w:r>
        <w:rPr>
          <w:color w:val="000000"/>
        </w:rPr>
        <w:t xml:space="preserve"> </w:t>
      </w:r>
      <w:r>
        <w:rPr>
          <w:bCs/>
          <w:b/>
          <w:color w:val="000000"/>
        </w:rPr>
        <w:t xml:space="preserve">10</w:t>
      </w:r>
      <w:r>
        <w:rPr>
          <w:color w:val="000000"/>
        </w:rPr>
        <w:t xml:space="preserve"> </w:t>
      </w:r>
      <w:r>
        <w:rPr>
          <w:color w:val="000000"/>
        </w:rPr>
        <w:t xml:space="preserve">1695. (https://doi.org/10.3389/fimmu.2019.01695)</w:t>
      </w:r>
    </w:p>
    <w:p>
      <w:pPr>
        <w:numPr>
          <w:ilvl w:val="0"/>
          <w:numId w:val="1001"/>
        </w:numPr>
      </w:pPr>
      <w:r>
        <w:rPr>
          <w:color w:val="000000"/>
        </w:rPr>
        <w:t xml:space="preserve">Wallace C. Eliciting priors and relaxing the single causal variant assumption in colocalisation analyses.</w:t>
      </w:r>
      <w:r>
        <w:rPr>
          <w:color w:val="000000"/>
        </w:rPr>
        <w:t xml:space="preserve"> </w:t>
      </w:r>
      <w:r>
        <w:rPr>
          <w:iCs/>
          <w:i/>
          <w:color w:val="000000"/>
        </w:rPr>
        <w:t xml:space="preserve">PLoS Genetics</w:t>
      </w:r>
      <w:r>
        <w:rPr>
          <w:color w:val="000000"/>
        </w:rPr>
        <w:t xml:space="preserve"> </w:t>
      </w:r>
      <w:r>
        <w:rPr>
          <w:color w:val="000000"/>
        </w:rPr>
        <w:t xml:space="preserve">2020</w:t>
      </w:r>
      <w:r>
        <w:rPr>
          <w:color w:val="000000"/>
        </w:rPr>
        <w:t xml:space="preserve"> </w:t>
      </w:r>
      <w:r>
        <w:rPr>
          <w:bCs/>
          <w:b/>
          <w:color w:val="000000"/>
        </w:rPr>
        <w:t xml:space="preserve">16</w:t>
      </w:r>
      <w:r>
        <w:rPr>
          <w:color w:val="000000"/>
        </w:rPr>
        <w:t xml:space="preserve"> </w:t>
      </w:r>
      <w:r>
        <w:rPr>
          <w:color w:val="000000"/>
        </w:rPr>
        <w:t xml:space="preserve">e1008720. (https://doi.org/10.1371/journal.pgen.1008720)</w:t>
      </w:r>
    </w:p>
    <w:p>
      <w:pPr>
        <w:numPr>
          <w:ilvl w:val="0"/>
          <w:numId w:val="1001"/>
        </w:numPr>
      </w:pPr>
      <w:r>
        <w:rPr>
          <w:color w:val="000000"/>
        </w:rPr>
        <w:t xml:space="preserve">GTEx Consortium. The GTEx Consortium atlas of genetic regulatory effects across human tissues.</w:t>
      </w:r>
      <w:r>
        <w:rPr>
          <w:color w:val="000000"/>
        </w:rPr>
        <w:t xml:space="preserve"> </w:t>
      </w:r>
      <w:r>
        <w:rPr>
          <w:iCs/>
          <w:i/>
          <w:color w:val="000000"/>
        </w:rPr>
        <w:t xml:space="preserve">Science</w:t>
      </w:r>
      <w:r>
        <w:rPr>
          <w:color w:val="000000"/>
        </w:rPr>
        <w:t xml:space="preserve"> </w:t>
      </w:r>
      <w:r>
        <w:rPr>
          <w:color w:val="000000"/>
        </w:rPr>
        <w:t xml:space="preserve">2020</w:t>
      </w:r>
      <w:r>
        <w:rPr>
          <w:color w:val="000000"/>
        </w:rPr>
        <w:t xml:space="preserve"> </w:t>
      </w:r>
      <w:r>
        <w:rPr>
          <w:bCs/>
          <w:b/>
          <w:color w:val="000000"/>
        </w:rPr>
        <w:t xml:space="preserve">369</w:t>
      </w:r>
      <w:r>
        <w:rPr>
          <w:color w:val="000000"/>
        </w:rPr>
        <w:t xml:space="preserve"> </w:t>
      </w:r>
      <w:r>
        <w:rPr>
          <w:color w:val="000000"/>
        </w:rPr>
        <w:t xml:space="preserve">1318–1330. (https://doi.org/10.1126/science.aaz1776)</w:t>
      </w:r>
    </w:p>
    <w:p>
      <w:pPr>
        <w:numPr>
          <w:ilvl w:val="0"/>
          <w:numId w:val="1001"/>
        </w:numPr>
      </w:pPr>
      <w:r>
        <w:rPr>
          <w:color w:val="000000"/>
        </w:rPr>
        <w:t xml:space="preserve">Chen CR, Pichurin P, Nagayama Y, Latrofa F, Rapoport B &amp; McLachlan SM. The thyrotropin receptor autoantigen in Graves disease is the culprit as well as the victim.</w:t>
      </w:r>
      <w:r>
        <w:rPr>
          <w:color w:val="000000"/>
        </w:rPr>
        <w:t xml:space="preserve"> </w:t>
      </w:r>
      <w:r>
        <w:rPr>
          <w:iCs/>
          <w:i/>
          <w:color w:val="000000"/>
        </w:rPr>
        <w:t xml:space="preserve">Journal of Clinical Investigation</w:t>
      </w:r>
      <w:r>
        <w:rPr>
          <w:color w:val="000000"/>
        </w:rPr>
        <w:t xml:space="preserve"> </w:t>
      </w:r>
      <w:r>
        <w:rPr>
          <w:color w:val="000000"/>
        </w:rPr>
        <w:t xml:space="preserve">2003</w:t>
      </w:r>
      <w:r>
        <w:rPr>
          <w:color w:val="000000"/>
        </w:rPr>
        <w:t xml:space="preserve"> </w:t>
      </w:r>
      <w:r>
        <w:rPr>
          <w:bCs/>
          <w:b/>
          <w:color w:val="000000"/>
        </w:rPr>
        <w:t xml:space="preserve">111</w:t>
      </w:r>
      <w:r>
        <w:rPr>
          <w:color w:val="000000"/>
        </w:rPr>
        <w:t xml:space="preserve"> </w:t>
      </w:r>
      <w:r>
        <w:rPr>
          <w:color w:val="000000"/>
        </w:rPr>
        <w:t xml:space="preserve">1897–1904. (https://doi.org/10.1172/JCI17069)</w:t>
      </w:r>
    </w:p>
    <w:p>
      <w:pPr>
        <w:numPr>
          <w:ilvl w:val="0"/>
          <w:numId w:val="1001"/>
        </w:numPr>
      </w:pPr>
      <w:r>
        <w:rPr>
          <w:color w:val="000000"/>
        </w:rPr>
        <w:t xml:space="preserve">Berchner-Pfannschmidt U, Moshkelgosha S, Diaz-Cano S, Edelmann B, Görtz GE, Horstmann M, Noble A, Hansen W, Eckstein A &amp; Banga JP. Comparative Assessment of Female Mouse Model of Graves’ Orbitopathy Under Different Environments, Accompanied by Proinflammatory Cytokine and T-Cell Responses to Thyrotropin Hormone Receptor Antigen.</w:t>
      </w:r>
      <w:r>
        <w:rPr>
          <w:color w:val="000000"/>
        </w:rPr>
        <w:t xml:space="preserve"> </w:t>
      </w:r>
      <w:r>
        <w:rPr>
          <w:iCs/>
          <w:i/>
          <w:color w:val="000000"/>
        </w:rPr>
        <w:t xml:space="preserve">Endocrinology</w:t>
      </w:r>
      <w:r>
        <w:rPr>
          <w:color w:val="000000"/>
        </w:rPr>
        <w:t xml:space="preserve"> </w:t>
      </w:r>
      <w:r>
        <w:rPr>
          <w:color w:val="000000"/>
        </w:rPr>
        <w:t xml:space="preserve">2016</w:t>
      </w:r>
      <w:r>
        <w:rPr>
          <w:color w:val="000000"/>
        </w:rPr>
        <w:t xml:space="preserve"> </w:t>
      </w:r>
      <w:r>
        <w:rPr>
          <w:bCs/>
          <w:b/>
          <w:color w:val="000000"/>
        </w:rPr>
        <w:t xml:space="preserve">157</w:t>
      </w:r>
      <w:r>
        <w:rPr>
          <w:color w:val="000000"/>
        </w:rPr>
        <w:t xml:space="preserve"> </w:t>
      </w:r>
      <w:r>
        <w:rPr>
          <w:color w:val="000000"/>
        </w:rPr>
        <w:t xml:space="preserve">1673–1682. (https://doi.org/10.1210/en.2015-1829)</w:t>
      </w:r>
    </w:p>
    <w:p>
      <w:pPr>
        <w:numPr>
          <w:ilvl w:val="0"/>
          <w:numId w:val="1001"/>
        </w:numPr>
      </w:pPr>
      <w:r>
        <w:rPr>
          <w:color w:val="000000"/>
        </w:rPr>
        <w:t xml:space="preserve">Daser A, Gulbins A, Horstmann M, Kalisch J, Nolte I, Hashemi Arani F, Lang S, Mattheis S, Bechrakis NE, Banga JP,</w:t>
      </w:r>
      <w:r>
        <w:rPr>
          <w:color w:val="000000"/>
        </w:rPr>
        <w:t xml:space="preserve"> </w:t>
      </w:r>
      <w:r>
        <w:rPr>
          <w:iCs/>
          <w:i/>
          <w:color w:val="000000"/>
        </w:rPr>
        <w:t xml:space="preserve">et al.</w:t>
      </w:r>
      <w:r>
        <w:rPr>
          <w:color w:val="000000"/>
        </w:rPr>
        <w:t xml:space="preserve"> </w:t>
      </w:r>
      <w:r>
        <w:rPr>
          <w:color w:val="000000"/>
        </w:rPr>
        <w:t xml:space="preserve">TNFα drives disease-specific chemokine networks and orbital tissue remodeling in a preclinical model of thyroid eye disease.</w:t>
      </w:r>
      <w:r>
        <w:rPr>
          <w:color w:val="000000"/>
        </w:rPr>
        <w:t xml:space="preserve"> </w:t>
      </w:r>
      <w:r>
        <w:rPr>
          <w:iCs/>
          <w:i/>
          <w:color w:val="000000"/>
        </w:rPr>
        <w:t xml:space="preserve">European Thyroid Journal</w:t>
      </w:r>
      <w:r>
        <w:rPr>
          <w:color w:val="000000"/>
        </w:rPr>
        <w:t xml:space="preserve"> </w:t>
      </w:r>
      <w:r>
        <w:rPr>
          <w:color w:val="000000"/>
        </w:rPr>
        <w:t xml:space="preserve">2026</w:t>
      </w:r>
      <w:r>
        <w:rPr>
          <w:color w:val="000000"/>
        </w:rPr>
        <w:t xml:space="preserve"> </w:t>
      </w:r>
      <w:r>
        <w:rPr>
          <w:bCs/>
          <w:b/>
          <w:color w:val="000000"/>
        </w:rPr>
        <w:t xml:space="preserve">15</w:t>
      </w:r>
      <w:r>
        <w:rPr>
          <w:color w:val="000000"/>
        </w:rPr>
        <w:t xml:space="preserve"> </w:t>
      </w:r>
      <w:r>
        <w:rPr>
          <w:color w:val="000000"/>
        </w:rPr>
        <w:t xml:space="preserve">ETJ250407. (https://doi.org/10.1530/ETJ-25-0407)</w:t>
      </w:r>
    </w:p>
    <w:p>
      <w:pPr>
        <w:numPr>
          <w:ilvl w:val="0"/>
          <w:numId w:val="1001"/>
        </w:numPr>
      </w:pPr>
      <w:r>
        <w:rPr>
          <w:color w:val="000000"/>
        </w:rPr>
        <w:t xml:space="preserve">Eckstein AK, Lösch C, Glowacka D, Schott M, Mann K, Esser J &amp; Morgenthaler NG. Euthyroid and primarily hypothyroid patients develop milder and significantly more asymmetrical Graves ophthalmopathy.</w:t>
      </w:r>
      <w:r>
        <w:rPr>
          <w:color w:val="000000"/>
        </w:rPr>
        <w:t xml:space="preserve"> </w:t>
      </w:r>
      <w:r>
        <w:rPr>
          <w:iCs/>
          <w:i/>
          <w:color w:val="000000"/>
        </w:rPr>
        <w:t xml:space="preserve">British Journal of Ophthalmology</w:t>
      </w:r>
      <w:r>
        <w:rPr>
          <w:color w:val="000000"/>
        </w:rPr>
        <w:t xml:space="preserve"> </w:t>
      </w:r>
      <w:r>
        <w:rPr>
          <w:color w:val="000000"/>
        </w:rPr>
        <w:t xml:space="preserve">2009</w:t>
      </w:r>
      <w:r>
        <w:rPr>
          <w:color w:val="000000"/>
        </w:rPr>
        <w:t xml:space="preserve"> </w:t>
      </w:r>
      <w:r>
        <w:rPr>
          <w:bCs/>
          <w:b/>
          <w:color w:val="000000"/>
        </w:rPr>
        <w:t xml:space="preserve">93</w:t>
      </w:r>
      <w:r>
        <w:rPr>
          <w:color w:val="000000"/>
        </w:rPr>
        <w:t xml:space="preserve"> </w:t>
      </w:r>
      <w:r>
        <w:rPr>
          <w:color w:val="000000"/>
        </w:rPr>
        <w:t xml:space="preserve">1052–1056. (https://doi.org/10.1136/bjo.2007.137265)</w:t>
      </w:r>
    </w:p>
    <w:p>
      <w:pPr>
        <w:numPr>
          <w:ilvl w:val="0"/>
          <w:numId w:val="1001"/>
        </w:numPr>
      </w:pPr>
      <w:r>
        <w:rPr>
          <w:color w:val="000000"/>
        </w:rPr>
        <w:t xml:space="preserve">Douglas RS, Couch S, Wester ST, Fowler BT, Liu CY, Subramanian PS, Tang R, Nguyen QT, Maamari RN, Ugradar S,</w:t>
      </w:r>
      <w:r>
        <w:rPr>
          <w:color w:val="000000"/>
        </w:rPr>
        <w:t xml:space="preserve"> </w:t>
      </w:r>
      <w:r>
        <w:rPr>
          <w:iCs/>
          <w:i/>
          <w:color w:val="000000"/>
        </w:rPr>
        <w:t xml:space="preserve">et al.</w:t>
      </w:r>
      <w:r>
        <w:rPr>
          <w:color w:val="000000"/>
        </w:rPr>
        <w:t xml:space="preserve"> </w:t>
      </w:r>
      <w:r>
        <w:rPr>
          <w:color w:val="000000"/>
        </w:rPr>
        <w:t xml:space="preserve">Efficacy and Safety of Teprotumumab in Patients With Thyroid Eye Disease of Long Duration and Low Disease Activity.</w:t>
      </w:r>
      <w:r>
        <w:rPr>
          <w:color w:val="000000"/>
        </w:rPr>
        <w:t xml:space="preserve"> </w:t>
      </w:r>
      <w:r>
        <w:rPr>
          <w:iCs/>
          <w:i/>
          <w:color w:val="000000"/>
        </w:rPr>
        <w:t xml:space="preserve">Journal of Clinical Endocrinology and Metabolism</w:t>
      </w:r>
      <w:r>
        <w:rPr>
          <w:color w:val="000000"/>
        </w:rPr>
        <w:t xml:space="preserve"> </w:t>
      </w:r>
      <w:r>
        <w:rPr>
          <w:color w:val="000000"/>
        </w:rPr>
        <w:t xml:space="preserve">2024</w:t>
      </w:r>
      <w:r>
        <w:rPr>
          <w:color w:val="000000"/>
        </w:rPr>
        <w:t xml:space="preserve"> </w:t>
      </w:r>
      <w:r>
        <w:rPr>
          <w:bCs/>
          <w:b/>
          <w:color w:val="000000"/>
        </w:rPr>
        <w:t xml:space="preserve">109</w:t>
      </w:r>
      <w:r>
        <w:rPr>
          <w:color w:val="000000"/>
        </w:rPr>
        <w:t xml:space="preserve"> </w:t>
      </w:r>
      <w:r>
        <w:rPr>
          <w:color w:val="000000"/>
        </w:rPr>
        <w:t xml:space="preserve">25–35. (https://doi.org/10.1210/clinem/dgad637)</w:t>
      </w:r>
    </w:p>
    <w:p>
      <w:pPr>
        <w:numPr>
          <w:ilvl w:val="0"/>
          <w:numId w:val="1001"/>
        </w:numPr>
      </w:pPr>
      <w:r>
        <w:rPr>
          <w:color w:val="000000"/>
        </w:rPr>
        <w:t xml:space="preserve">Wallace C. A more accurate method for colocalisation analysis allowing for multiple causal variants.</w:t>
      </w:r>
      <w:r>
        <w:rPr>
          <w:color w:val="000000"/>
        </w:rPr>
        <w:t xml:space="preserve"> </w:t>
      </w:r>
      <w:r>
        <w:rPr>
          <w:iCs/>
          <w:i/>
          <w:color w:val="000000"/>
        </w:rPr>
        <w:t xml:space="preserve">PLoS Genetics</w:t>
      </w:r>
      <w:r>
        <w:rPr>
          <w:color w:val="000000"/>
        </w:rPr>
        <w:t xml:space="preserve"> </w:t>
      </w:r>
      <w:r>
        <w:rPr>
          <w:color w:val="000000"/>
        </w:rPr>
        <w:t xml:space="preserve">2021</w:t>
      </w:r>
      <w:r>
        <w:rPr>
          <w:color w:val="000000"/>
        </w:rPr>
        <w:t xml:space="preserve"> </w:t>
      </w:r>
      <w:r>
        <w:rPr>
          <w:bCs/>
          <w:b/>
          <w:color w:val="000000"/>
        </w:rPr>
        <w:t xml:space="preserve">17</w:t>
      </w:r>
      <w:r>
        <w:rPr>
          <w:color w:val="000000"/>
        </w:rPr>
        <w:t xml:space="preserve"> </w:t>
      </w:r>
      <w:r>
        <w:rPr>
          <w:color w:val="000000"/>
        </w:rPr>
        <w:t xml:space="preserve">e1009440. (https://doi.org/10.1371/journal.pgen.1009440)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2026-10-22T10:15:15Z</dcterms:created>
  <dcterms:modified xsi:type="dcterms:W3CDTF">2026-10-22T10:15:15Z</dcterms:modified>
  <cp:lastModifiedBy/>
  <dc:description/>
</cp:coreProperties>
</file>

<file path=docProps/custom.xml><?xml version="1.0" encoding="utf-8"?>
<Properties xmlns="http://schemas.openxmlformats.org/officeDocument/2006/custom-properties" xmlns:vt="http://schemas.openxmlformats.org/officeDocument/2006/docPropsVTypes"/>
</file>