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 The screen therefore recovered a known autoimmune association — in BBJ on a single instrument —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(Supplementary Methods).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The prior assumption was a different matter: under the most conservative prior,</w:t>
      </w:r>
      <w:r>
        <w:t xml:space="preserve"> </w:t>
      </w:r>
      <w:r>
        <w:rPr>
          <w:iCs/>
          <w:i/>
        </w:rPr>
        <w:t xml:space="preserve">TSHR</w:t>
      </w:r>
      <w:r>
        <w:t xml:space="preserve"> </w:t>
      </w:r>
      <w:r>
        <w:t xml:space="preserve">support in BBJ fell from 0.951 to 0.661, below the 0.80 threshold, while FinnGen remained above it at 0.875 (Figure 3B; Supplementary Data 3). Stability to the frequency substitution therefore does not imply stability to the prior.</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the precision of MR association detection, not the probability of passing the complete colocalization filter,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Failure to identify an additional candidate therefore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2026-09-15T08:31:39Z</dcterms:created>
  <dcterms:modified xsi:type="dcterms:W3CDTF">2026-09-15T08:31:39Z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