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Running head:</w:t>
      </w:r>
      <w:r>
        <w:t xml:space="preserve"> </w:t>
      </w:r>
      <w:r>
        <w:t xml:space="preserve">Diverging genetic architecture of TSHR and IGF1R in GD/TED</w:t>
      </w:r>
    </w:p>
    <w:bookmarkStart w:id="42" w:name="X14fa581d7eccf933d0c504c185d9a2d8cdf7a99"/>
    <w:p>
      <w:pPr>
        <w:pStyle w:val="Heading1"/>
      </w:pPr>
      <w:r>
        <w:t xml:space="preserve">Genetic susceptibility and therapeutic target biology diverge at TSHR and IGF1R in Graves disease and thyroid eye disease</w:t>
      </w:r>
    </w:p>
    <w:p>
      <w:pPr>
        <w:pStyle w:val="FirstParagraph"/>
      </w:pPr>
      <w:r>
        <w:t xml:space="preserve">Jungyul Park¹, Min-Seon Kim², Kyung-Hwa Shin³⁎, Suk-Woo Yang¹⁎</w:t>
      </w:r>
    </w:p>
    <w:p>
      <w:pPr>
        <w:pStyle w:val="BodyText"/>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pPr>
      <w:r>
        <w:t xml:space="preserve">* These authors contributed equally as corresponding authors.</w:t>
      </w:r>
    </w:p>
    <w:p>
      <w:pPr>
        <w:pStyle w:val="BodyText"/>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Teprotumumab targets IGF-1R in thyroid eye disease (TED), but whether</w:t>
      </w:r>
      <w:r>
        <w:t xml:space="preserve"> </w:t>
      </w:r>
      <w:r>
        <w:rPr>
          <w:iCs/>
          <w:i/>
        </w:rPr>
        <w:t xml:space="preserve">IGF1R</w:t>
      </w:r>
      <w:r>
        <w:t xml:space="preserve"> </w:t>
      </w:r>
      <w:r>
        <w:t xml:space="preserve">carries the genetic architecture of a susceptibility locus, as the established autoantigen</w:t>
      </w:r>
      <w:r>
        <w:t xml:space="preserve"> </w:t>
      </w:r>
      <w:r>
        <w:rPr>
          <w:iCs/>
          <w:i/>
        </w:rPr>
        <w:t xml:space="preserve">TSHR</w:t>
      </w:r>
      <w:r>
        <w:t xml:space="preserve"> </w:t>
      </w:r>
      <w:r>
        <w:t xml:space="preserve">does, remains unclear. We applied a druggable-gene-wide Mendelian randomization (MR) and colocalization framework to separate susceptibility from effector axes in Graves disease (GD) and TED.</w:t>
      </w:r>
      <w:r>
        <w:t xml:space="preserve"> </w:t>
      </w:r>
      <w:r>
        <w:rPr>
          <w:bCs/>
          <w:b/>
        </w:rPr>
        <w:t xml:space="preserve">Methods:</w:t>
      </w:r>
      <w:r>
        <w:t xml:space="preserve"> </w:t>
      </w:r>
      <w:r>
        <w:t xml:space="preserve">eQTLGen blood</w:t>
      </w:r>
      <w:r>
        <w:t xml:space="preserve"> </w:t>
      </w:r>
      <w:r>
        <w:rPr>
          <w:iCs/>
          <w:i/>
        </w:rPr>
        <w:t xml:space="preserve">cis</w:t>
      </w:r>
      <w:r>
        <w:t xml:space="preserve">-eQTL instruments were used for two-sample MR across 2,544 druggable genes. Outcomes were Biobank Japan (BBJ) Graves disease (discovery), UK Biobank (UKB) hyperthyroidism (replication), and FinnGen R12 Graves ophthalmopathy (TED-enriched sensitivity). Bonferroni-significant hits underwent cross-outcome evaluation and Bayesian colocalization against all three outcomes, with prior sensitivity analysis.</w:t>
      </w:r>
      <w:r>
        <w:t xml:space="preserve"> </w:t>
      </w:r>
      <w:r>
        <w:rPr>
          <w:bCs/>
          <w:b/>
        </w:rPr>
        <w:t xml:space="preserve">Results:</w:t>
      </w:r>
      <w:r>
        <w:t xml:space="preserve"> </w:t>
      </w:r>
      <w:r>
        <w:t xml:space="preserve">Thirteen genes reached Bonferroni significance in discovery.</w:t>
      </w:r>
      <w:r>
        <w:t xml:space="preserve"> </w:t>
      </w:r>
      <w:r>
        <w:rPr>
          <w:iCs/>
          <w:i/>
        </w:rPr>
        <w:t xml:space="preserve">TSHR</w:t>
      </w:r>
      <w:r>
        <w:t xml:space="preserve"> </w:t>
      </w:r>
      <w:r>
        <w:t xml:space="preserve">showed protective MR effects across all three outcomes and strong colocalization in both Graves disease phenotypes (PP.H4=0.951 and 0.986; top-posterior variant rs179252), but not in the broader hyperthyroidism phenotype, where distinct causal variants were favoured (PP.H3=0.774).</w:t>
      </w:r>
      <w:r>
        <w:t xml:space="preserve"> </w:t>
      </w:r>
      <w:r>
        <w:rPr>
          <w:iCs/>
          <w:i/>
        </w:rPr>
        <w:t xml:space="preserve">IGF1R</w:t>
      </w:r>
      <w:r>
        <w:t xml:space="preserve"> </w:t>
      </w:r>
      <w:r>
        <w:t xml:space="preserve">showed directionally consistent risk-direction MR estimates, reaching nominal significance in BBJ and UKB but not in the smaller FinnGen outcome, and lacked expression colocalization in every outcome (PP.H4=0.073, 0.404, 0.032).</w:t>
      </w:r>
      <w:r>
        <w:t xml:space="preserve"> </w:t>
      </w:r>
      <w:r>
        <w:rPr>
          <w:iCs/>
          <w:i/>
        </w:rPr>
        <w:t xml:space="preserve">CTLA4</w:t>
      </w:r>
      <w:r>
        <w:t xml:space="preserve">, the positive control, colocalized in both European outcomes but not in discovery. No novel candidate satisfied the dual-phenotype colocalization criterion.</w:t>
      </w:r>
      <w:r>
        <w:t xml:space="preserve"> </w:t>
      </w:r>
      <w:r>
        <w:rPr>
          <w:bCs/>
          <w:b/>
        </w:rPr>
        <w:t xml:space="preserve">Conclusion:</w:t>
      </w:r>
      <w:r>
        <w:t xml:space="preserve"> </w:t>
      </w:r>
      <w:r>
        <w:t xml:space="preserve">This framework supports</w:t>
      </w:r>
      <w:r>
        <w:t xml:space="preserve"> </w:t>
      </w:r>
      <w:r>
        <w:rPr>
          <w:iCs/>
          <w:i/>
        </w:rPr>
        <w:t xml:space="preserve">TSHR</w:t>
      </w:r>
      <w:r>
        <w:t xml:space="preserve"> </w:t>
      </w:r>
      <w:r>
        <w:t xml:space="preserve">as an expression-colocalized susceptibility anchor for GD, whereas the</w:t>
      </w:r>
      <w:r>
        <w:t xml:space="preserve"> </w:t>
      </w:r>
      <w:r>
        <w:rPr>
          <w:iCs/>
          <w:i/>
        </w:rPr>
        <w:t xml:space="preserve">IGF1R</w:t>
      </w:r>
      <w:r>
        <w:t xml:space="preserve"> </w:t>
      </w:r>
      <w:r>
        <w:t xml:space="preserve">profile is more compatible with pharmacologic effector biology than with the</w:t>
      </w:r>
      <w:r>
        <w:t xml:space="preserve"> </w:t>
      </w:r>
      <w:r>
        <w:rPr>
          <w:iCs/>
          <w:i/>
        </w:rPr>
        <w:t xml:space="preserve">TSHR</w:t>
      </w:r>
      <w:r>
        <w:t xml:space="preserve">-like expression-colocalized susceptibility architecture, while not excluding a more modest genetic contribution.</w:t>
      </w:r>
    </w:p>
    <w:p>
      <w:pPr>
        <w:pStyle w:val="BodyText"/>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Cs/>
          <w:i/>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pPr>
      <w:r>
        <w:rPr>
          <w:iCs/>
          <w:i/>
        </w:rPr>
        <w:t xml:space="preserve">TSHR</w:t>
      </w:r>
      <w:r>
        <w:t xml:space="preserve"> </w:t>
      </w:r>
      <w:r>
        <w:t xml:space="preserve">and IGF-1R occupy different but biologically connected positions in GD/TED pathogenesis and therapy.</w:t>
      </w:r>
      <w:r>
        <w:t xml:space="preserve"> </w:t>
      </w:r>
      <w:r>
        <w:rPr>
          <w:iCs/>
          <w:i/>
        </w:rPr>
        <w:t xml:space="preserve">TSHR</w:t>
      </w:r>
      <w:r>
        <w:t xml:space="preserve"> </w:t>
      </w:r>
      <w:r>
        <w:t xml:space="preserve">is the central autoantigen of GD: loss of immune tolerance to the thyrotropin receptor gives rise to TSHR-directed stimulating autoantibodies, and</w:t>
      </w:r>
      <w:r>
        <w:t xml:space="preserve"> </w:t>
      </w:r>
      <w:r>
        <w:rPr>
          <w:iCs/>
          <w:i/>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Cs/>
          <w:i/>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Cs/>
          <w:i/>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predefined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Cs/>
          <w:i/>
        </w:rPr>
        <w:t xml:space="preserve">TSHR</w:t>
      </w:r>
      <w:r>
        <w:t xml:space="preserve"> </w:t>
      </w:r>
      <w:r>
        <w:t xml:space="preserve">and</w:t>
      </w:r>
      <w:r>
        <w:t xml:space="preserve"> </w:t>
      </w:r>
      <w:r>
        <w:rPr>
          <w:iCs/>
          <w:i/>
        </w:rPr>
        <w:t xml:space="preserve">IGF1R</w:t>
      </w:r>
      <w:r>
        <w:t xml:space="preserve"> </w:t>
      </w:r>
      <w:r>
        <w:t xml:space="preserve">occupy different positions as genetically anchored susceptibility versus pharmacologic effector axes. Integrating MR with colocalization can further distinguish expression-colocalized susceptibility signals from non-colocalized or downstream effector biology.</w:t>
      </w:r>
    </w:p>
    <w:p>
      <w:pPr>
        <w:pStyle w:val="BodyText"/>
      </w:pPr>
      <w:r>
        <w:t xml:space="preserve">Despite these advances, existing work has not systematically distinguished genetically anchored susceptibility loci from pharmacologic effector targets across GD- and TED-relevant outcomes. Candidate-focused analyses have examined a limited number of preselected loci, leaving the relative genetic positions of</w:t>
      </w:r>
      <w:r>
        <w:t xml:space="preserve"> </w:t>
      </w:r>
      <w:r>
        <w:rPr>
          <w:iCs/>
          <w:i/>
        </w:rPr>
        <w:t xml:space="preserve">TSHR</w:t>
      </w:r>
      <w:r>
        <w:t xml:space="preserve"> </w:t>
      </w:r>
      <w:r>
        <w:t xml:space="preserve">and</w:t>
      </w:r>
      <w:r>
        <w:t xml:space="preserve"> </w:t>
      </w:r>
      <w:r>
        <w:rPr>
          <w:iCs/>
          <w:i/>
        </w:rPr>
        <w:t xml:space="preserve">IGF1R</w:t>
      </w:r>
      <w:r>
        <w:t xml:space="preserve"> </w:t>
      </w:r>
      <w:r>
        <w:t xml:space="preserve">unresolved within a common framework; single-outcome designs can elevate locus-specific or linkage-driven signals that do not reproduce across related phenotypes, with TED outcomes often underpowered or treated only as secondary; and genetic association has seldom been integrated with colocalization across multiple related outcomes in a way that separates expression-colocalized susceptibility from non-colocalized effector biology.</w:t>
      </w:r>
    </w:p>
    <w:p>
      <w:pPr>
        <w:pStyle w:val="BodyText"/>
      </w:pPr>
      <w:r>
        <w:t xml:space="preserve">We therefore applied a druggable-gene-wide</w:t>
      </w:r>
      <w:r>
        <w:t xml:space="preserve"> </w:t>
      </w:r>
      <w:r>
        <w:rPr>
          <w:iCs/>
          <w:i/>
        </w:rPr>
        <w:t xml:space="preserve">cis</w:t>
      </w:r>
      <w:r>
        <w:t xml:space="preserve">-eQTL MR and colocalization framework across a prespecified GD/TED outcome hierarchy: Biobank Japan Graves disease as the primary discovery outcome, UK Biobank hyperthyroidism as replication, and FinnGen Graves ophthalmopathy as a TED-enriched sensitivity outcome. We evaluated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 the autoantigen, the therapeutic target, and a positive-control autoimmune locus — across every outcome.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p>
      <w:r>
        <w:pict>
          <v:rect style="width:0;height:1.5pt" o:hralign="center" o:hrstd="t" o:hr="t"/>
        </w:pict>
      </w:r>
    </w:p>
    <w:bookmarkEnd w:id="21"/>
    <w:bookmarkStart w:id="29" w:name="methods"/>
    <w:p>
      <w:pPr>
        <w:pStyle w:val="Heading2"/>
      </w:pPr>
      <w:r>
        <w:t xml:space="preserve">Methods</w:t>
      </w:r>
    </w:p>
    <w:bookmarkStart w:id="22" w:name="study-design-and-data-sources"/>
    <w:p>
      <w:pPr>
        <w:pStyle w:val="Heading3"/>
      </w:pPr>
      <w:r>
        <w:t xml:space="preserve">Study design and data sources</w:t>
      </w:r>
    </w:p>
    <w:p>
      <w:pPr>
        <w:pStyle w:val="FirstParagraph"/>
      </w:pPr>
      <w:r>
        <w:t xml:space="preserve">We performed a druggable-gene-wide Mendelian randomization (MR) study integrating MR and colocalization to distinguish genetically anchored susceptibility from pharmacologic effector biology in Graves disease (GD) and thyroid eye disease (TED) (Figure 1), following the STROBE-MR guideline [11] (Table S7). Exposures were blood</w:t>
      </w:r>
      <w:r>
        <w:t xml:space="preserve"> </w:t>
      </w:r>
      <w:r>
        <w:rPr>
          <w:iCs/>
          <w:i/>
        </w:rPr>
        <w:t xml:space="preserve">cis</w:t>
      </w:r>
      <w:r>
        <w:t xml:space="preserve">-eQTL instruments from the eQTLGen Consortium (predominantly European; up to 31,684 participants) [12].</w:t>
      </w:r>
    </w:p>
    <w:p>
      <w:pPr>
        <w:pStyle w:val="BodyText"/>
      </w:pPr>
      <w:r>
        <w:t xml:space="preserve">Disease outcomes followed a prespecified functional hierarchy: Graves disease from Biobank Japan (BBJ; East Asian; 2,809 cases) served as the primary discovery outcome, hyperthyroidism from UK Biobank (UKB; European; 3,731 cases) as a cross-ancestry, broader-phenotype replication outcome [14], and Graves ophthalmopathy from FinnGen R12 (European; 858 cases) as the TED-enriched sensitivity outcome [15] (Table 1). Because adequately powered TED-specific GWAS are unavailable, this design prioritized discovery in Graves disease, assessed generalizability in a broader hyperthyroidism phenotype, and finally examined signal recovery in a smaller TED-enriched outcome. An in-house orbital RNA-seq dataset (Korean; four TED, one control) provided exploratory tissue-level triangulation and was not used for instrument selection. Three genes were designated a priori as the interpretive backbone on biological and therapeutic grounds rather than on screen results:</w:t>
      </w:r>
      <w:r>
        <w:t xml:space="preserve"> </w:t>
      </w:r>
      <w:r>
        <w:rPr>
          <w:iCs/>
          <w:i/>
        </w:rPr>
        <w:t xml:space="preserve">TSHR</w:t>
      </w:r>
      <w:r>
        <w:t xml:space="preserve"> </w:t>
      </w:r>
      <w:r>
        <w:t xml:space="preserve">(the Graves disease autoantigen),</w:t>
      </w:r>
      <w:r>
        <w:t xml:space="preserve"> </w:t>
      </w:r>
      <w:r>
        <w:rPr>
          <w:iCs/>
          <w:i/>
        </w:rPr>
        <w:t xml:space="preserve">IGF1R</w:t>
      </w:r>
      <w:r>
        <w:t xml:space="preserve"> </w:t>
      </w:r>
      <w:r>
        <w:t xml:space="preserve">(the target of teprotumumab), and</w:t>
      </w:r>
      <w:r>
        <w:t xml:space="preserve"> </w:t>
      </w:r>
      <w:r>
        <w:rPr>
          <w:iCs/>
          <w:i/>
        </w:rPr>
        <w:t xml:space="preserve">CTLA4</w:t>
      </w:r>
      <w:r>
        <w:t xml:space="preserve"> </w:t>
      </w:r>
      <w:r>
        <w:t xml:space="preserve">(a positive-control autoimmune locus). All three were evaluated across both evidence layers — MR and colocalization — against every outcome, irrespective of their discovery</w:t>
      </w:r>
      <w:r>
        <w:t xml:space="preserve"> </w:t>
      </w:r>
      <w:r>
        <w:rPr>
          <w:iCs/>
          <w:i/>
        </w:rPr>
        <w:t xml:space="preserve">P</w:t>
      </w:r>
      <w:r>
        <w:t xml:space="preserve"> </w:t>
      </w:r>
      <w:r>
        <w:t xml:space="preserve">values, with an additional LD-clumping sensitivity assessment at the single-instrument</w:t>
      </w:r>
      <w:r>
        <w:t xml:space="preserve"> </w:t>
      </w:r>
      <w:r>
        <w:rPr>
          <w:iCs/>
          <w:i/>
        </w:rPr>
        <w:t xml:space="preserve">TSHR</w:t>
      </w:r>
      <w:r>
        <w:t xml:space="preserve"> </w:t>
      </w:r>
      <w:r>
        <w:t xml:space="preserve">locus.</w:t>
      </w:r>
    </w:p>
    <w:bookmarkEnd w:id="22"/>
    <w:bookmarkStart w:id="23" w:name="X634715aa822f62c21a9e016243f0e5e77653f0b"/>
    <w:p>
      <w:pPr>
        <w:pStyle w:val="Heading3"/>
      </w:pPr>
      <w:r>
        <w:t xml:space="preserve">Druggable gene set and instrument selection</w:t>
      </w:r>
    </w:p>
    <w:p>
      <w:pPr>
        <w:pStyle w:val="FirstParagraph"/>
      </w:pPr>
      <w:r>
        <w:t xml:space="preserve">Analyses were restricted to the druggable genome (Finan et al. [16]; 4,462 genes, GRCh37). For each gene,</w:t>
      </w:r>
      <w:r>
        <w:t xml:space="preserve"> </w:t>
      </w:r>
      <w:r>
        <w:rPr>
          <w:iCs/>
          <w:i/>
        </w:rPr>
        <w:t xml:space="preserve">cis</w:t>
      </w:r>
      <w:r>
        <w:t xml:space="preserve">-eQTL variants within ±1 Mb reaching genome-wide significance (</w:t>
      </w:r>
      <w:r>
        <w:rPr>
          <w:iCs/>
          <w:i/>
        </w:rPr>
        <w:t xml:space="preserve">P</w:t>
      </w:r>
      <w:r>
        <w:t xml:space="preserve"> </w:t>
      </w:r>
      <w:r>
        <w:t xml:space="preserve">&lt; 5×10⁻⁸) were eligible as instruments; a relaxed threshold (</w:t>
      </w:r>
      <w:r>
        <w:rPr>
          <w:iCs/>
          <w:i/>
        </w:rPr>
        <w:t xml:space="preserve">P</w:t>
      </w:r>
      <w:r>
        <w:t xml:space="preserve"> </w:t>
      </w:r>
      <w:r>
        <w:t xml:space="preserve">&lt; 5×10⁻⁶) was used only for secondary or sensitivity analyses and did not define the primary denominator. Exposure effect sizes were reconstructed from the reported Z-scores and per-SNP sample sizes using 1000 Genomes Phase 3 European allele frequencies (n = 503) [17]; the consequences of using the reference panel rather than eQTLGen’s own allele-frequency file are considered in the Limitations. Independent instruments were obtained by LD clumping (</w:t>
      </w:r>
      <w:r>
        <w:rPr>
          <w:iCs/>
          <w:i/>
        </w:rPr>
        <w:t xml:space="preserve">r</w:t>
      </w:r>
      <w:r>
        <w:t xml:space="preserve">² &lt; 0.001, 10-Mb window) using local PLINK v1.9 [18] with the same reference panel. Instrument strength was quantified as</w:t>
      </w:r>
      <w:r>
        <w:t xml:space="preserve"> </w:t>
      </w:r>
      <w:r>
        <w:rPr>
          <w:iCs/>
          <w:i/>
        </w:rPr>
        <w:t xml:space="preserve">F</w:t>
      </w:r>
      <w:r>
        <w:t xml:space="preserve"> </w:t>
      </w:r>
      <w:r>
        <w:t xml:space="preserve">=</w:t>
      </w:r>
      <w:r>
        <w:t xml:space="preserve"> </w:t>
      </w:r>
      <w:r>
        <w:rPr>
          <w:iCs/>
          <w:i/>
        </w:rPr>
        <w:t xml:space="preserve">Z</w:t>
      </w:r>
      <w:r>
        <w:t xml:space="preserve">². Selection at</w:t>
      </w:r>
      <w:r>
        <w:t xml:space="preserve"> </w:t>
      </w:r>
      <w:r>
        <w:rPr>
          <w:iCs/>
          <w:i/>
        </w:rPr>
        <w:t xml:space="preserve">P</w:t>
      </w:r>
      <w:r>
        <w:t xml:space="preserve"> </w:t>
      </w:r>
      <w:r>
        <w:t xml:space="preserve">&lt; 5×10⁻⁸ implies |</w:t>
      </w:r>
      <w:r>
        <w:rPr>
          <w:iCs/>
          <w:i/>
        </w:rPr>
        <w:t xml:space="preserve">Z</w:t>
      </w:r>
      <w:r>
        <w:t xml:space="preserve">| &gt; 5.45 and therefore</w:t>
      </w:r>
      <w:r>
        <w:t xml:space="preserve"> </w:t>
      </w:r>
      <w:r>
        <w:rPr>
          <w:iCs/>
          <w:i/>
        </w:rPr>
        <w:t xml:space="preserve">F</w:t>
      </w:r>
      <w:r>
        <w:t xml:space="preserve"> </w:t>
      </w:r>
      <w:r>
        <w:t xml:space="preserve">&gt; 29.7; the observed minimum was 29.7 (no weak instruments).</w:t>
      </w:r>
    </w:p>
    <w:p>
      <w:pPr>
        <w:pStyle w:val="BodyText"/>
      </w:pPr>
      <w:r>
        <w:t xml:space="preserve">After clumping, 2,544 of 4,462 genes retained at least one valid instrument and formed the MR-testable denominator (6,135 SNP-level instruments; Table S4), which defined the study-wide significance threshold (Bonferroni</w:t>
      </w:r>
      <w:r>
        <w:t xml:space="preserve"> </w:t>
      </w:r>
      <w:r>
        <w:rPr>
          <w:iCs/>
          <w:i/>
        </w:rPr>
        <w:t xml:space="preserve">P</w:t>
      </w:r>
      <w:r>
        <w:t xml:space="preserve"> </w:t>
      </w:r>
      <w:r>
        <w:t xml:space="preserve">&lt; 1.965×10⁻⁵; 0.05/2,544).</w:t>
      </w:r>
    </w:p>
    <w:bookmarkEnd w:id="23"/>
    <w:bookmarkStart w:id="24" w:name="outcome-data-and-harmonization"/>
    <w:p>
      <w:pPr>
        <w:pStyle w:val="Heading3"/>
      </w:pPr>
      <w:r>
        <w:t xml:space="preserve">Outcome data and harmonization</w:t>
      </w:r>
    </w:p>
    <w:p>
      <w:pPr>
        <w:pStyle w:val="FirstParagraph"/>
      </w:pPr>
      <w:r>
        <w:t xml:space="preserve">Exposure and outcome data were harmonized with TwoSampleMR [19] (harmonise_data, action = 2), aligning alleles to a common effect allele and inferring strand for complementary alleles where possible; palindromic variants with intermediate frequency (MAF &gt; 0.42) were removed to avoid strand ambiguity.</w:t>
      </w:r>
    </w:p>
    <w:p>
      <w:pPr>
        <w:pStyle w:val="BodyText"/>
      </w:pPr>
      <w:r>
        <w:t xml:space="preserve">Outcome estimates were placed on a common log-odds scale: BBJ and FinnGen were used directly, while UKB hyperthyroidism (reported on a linear mixed-model scale) was rescaled to log-odds using case prevalence before MR. Given differences in ancestry, phenotype, and effect-scale reconstruction across cohorts, cross-outcome interpretation emphasized direction, replication, and colocalization rather than exact equality of effect magnitudes.</w:t>
      </w:r>
    </w:p>
    <w:bookmarkEnd w:id="24"/>
    <w:bookmarkStart w:id="25" w:name="mendelian-randomization"/>
    <w:p>
      <w:pPr>
        <w:pStyle w:val="Heading3"/>
      </w:pPr>
      <w:r>
        <w:t xml:space="preserve">Mendelian randomization</w:t>
      </w:r>
    </w:p>
    <w:p>
      <w:pPr>
        <w:pStyle w:val="FirstParagraph"/>
      </w:pPr>
      <w:r>
        <w:t xml:space="preserve">Two-sample MR was performed for each gene against all three outcomes. For single-instrument loci, the Wald ratio was used; for multi-instrument loci, the inverse-variance-weighted (IVW) method was the primary estimator, with MR-Egger [20], weighted median [21], and weighted mode as sensitivity estimators. Directional pleiotropy was assessed using the MR-Egger intercept, between-instrument heterogeneity using Cochran’s Q, and exposure–outcome direction using the Steiger test [22] where estimable (Table S6). Discovery significance was defined at the study-wide Bonferroni threshold (</w:t>
      </w:r>
      <w:r>
        <w:rPr>
          <w:iCs/>
          <w:i/>
        </w:rPr>
        <w:t xml:space="preserve">P</w:t>
      </w:r>
      <w:r>
        <w:t xml:space="preserve"> </w:t>
      </w:r>
      <w:r>
        <w:t xml:space="preserve">&lt; 1.965×10⁻⁵; 0.05/2,544). Replication and TED-enriched support were evaluated using direction-consistent nominal association (</w:t>
      </w:r>
      <w:r>
        <w:rPr>
          <w:iCs/>
          <w:i/>
        </w:rPr>
        <w:t xml:space="preserve">P</w:t>
      </w:r>
      <w:r>
        <w:t xml:space="preserve"> </w:t>
      </w:r>
      <w:r>
        <w:t xml:space="preserve">&lt; 0.05).</w:t>
      </w:r>
    </w:p>
    <w:p>
      <w:pPr>
        <w:pStyle w:val="BodyText"/>
      </w:pPr>
      <w:r>
        <w:t xml:space="preserve">Because a screen that advances no novel target is interpretable only in relation to the effect sizes it could have detected, we quantified the detectable effect range of the screen itself. For each gene and outcome, the minimum effect detectable with 80% power at the applicable significance threshold was computed from the empirical standard error of the primary MR estimate as |β|min = (</w:t>
      </w:r>
      <w:r>
        <w:rPr>
          <w:iCs/>
          <w:i/>
        </w:rPr>
        <w:t xml:space="preserve">z</w:t>
      </w:r>
      <w:r>
        <w:t xml:space="preserve">1−α/2 +</w:t>
      </w:r>
      <w:r>
        <w:t xml:space="preserve"> </w:t>
      </w:r>
      <w:r>
        <w:rPr>
          <w:iCs/>
          <w:i/>
        </w:rPr>
        <w:t xml:space="preserve">z</w:t>
      </w:r>
      <w:r>
        <w:t xml:space="preserve">0.80) × SE, using α = 1.965×10⁻⁵ for the discovery outcome and α = 0.05 for the replication and TED-enriched outcomes. This design-based approach uses the standard errors actually obtained after harmonization rather than reconstructed variance components, and is reported for all genes and for the three backbone loci (Table S8).</w:t>
      </w:r>
    </w:p>
    <w:bookmarkEnd w:id="25"/>
    <w:bookmarkStart w:id="26" w:name="X1edee38d501dca86da97fa75ab43b5991b95eff"/>
    <w:p>
      <w:pPr>
        <w:pStyle w:val="Heading3"/>
      </w:pPr>
      <w:r>
        <w:t xml:space="preserve">Instrument resolution at TSHR and colocalization</w:t>
      </w:r>
    </w:p>
    <w:p>
      <w:pPr>
        <w:pStyle w:val="FirstParagraph"/>
      </w:pPr>
      <w:r>
        <w:t xml:space="preserve">To test whether the single</w:t>
      </w:r>
      <w:r>
        <w:t xml:space="preserve"> </w:t>
      </w:r>
      <w:r>
        <w:rPr>
          <w:iCs/>
          <w:i/>
        </w:rPr>
        <w:t xml:space="preserve">TSHR</w:t>
      </w:r>
      <w:r>
        <w:t xml:space="preserve"> </w:t>
      </w:r>
      <w:r>
        <w:t xml:space="preserve">instrument reflected an independent locus-level signal rather than unresolved allelic heterogeneity, LD clumping at the locus was repeated across a grid of</w:t>
      </w:r>
      <w:r>
        <w:t xml:space="preserve"> </w:t>
      </w:r>
      <w:r>
        <w:rPr>
          <w:iCs/>
          <w:i/>
        </w:rPr>
        <w:t xml:space="preserve">P</w:t>
      </w:r>
      <w:r>
        <w:t xml:space="preserve">-value and</w:t>
      </w:r>
      <w:r>
        <w:t xml:space="preserve"> </w:t>
      </w:r>
      <w:r>
        <w:rPr>
          <w:iCs/>
          <w:i/>
        </w:rPr>
        <w:t xml:space="preserve">r</w:t>
      </w:r>
      <w:r>
        <w:t xml:space="preserve">² thresholds in both 1000 Genomes Phase 3 panels (European,</w:t>
      </w:r>
      <w:r>
        <w:t xml:space="preserve"> </w:t>
      </w:r>
      <w:r>
        <w:rPr>
          <w:iCs/>
          <w:i/>
        </w:rPr>
        <w:t xml:space="preserve">n</w:t>
      </w:r>
      <w:r>
        <w:t xml:space="preserve"> </w:t>
      </w:r>
      <w:r>
        <w:t xml:space="preserve">= 503; East Asian,</w:t>
      </w:r>
      <w:r>
        <w:t xml:space="preserve"> </w:t>
      </w:r>
      <w:r>
        <w:rPr>
          <w:iCs/>
          <w:i/>
        </w:rPr>
        <w:t xml:space="preserve">n</w:t>
      </w:r>
      <w:r>
        <w:t xml:space="preserve"> </w:t>
      </w:r>
      <w:r>
        <w:t xml:space="preserve">= 504). At the primary threshold (</w:t>
      </w:r>
      <w:r>
        <w:rPr>
          <w:iCs/>
          <w:i/>
        </w:rPr>
        <w:t xml:space="preserve">P</w:t>
      </w:r>
      <w:r>
        <w:t xml:space="preserve"> </w:t>
      </w:r>
      <w:r>
        <w:t xml:space="preserve">&lt; 5×10⁻⁸,</w:t>
      </w:r>
      <w:r>
        <w:t xml:space="preserve"> </w:t>
      </w:r>
      <w:r>
        <w:rPr>
          <w:iCs/>
          <w:i/>
        </w:rPr>
        <w:t xml:space="preserve">r</w:t>
      </w:r>
      <w:r>
        <w:t xml:space="preserve">² &lt; 0.001) the European panel — the one matching the eQTL data and therefore used for selection — yielded exactly one independent instrument, rs179252, which remained an index variant under every threshold tested.</w:t>
      </w:r>
      <w:r>
        <w:t xml:space="preserve"> </w:t>
      </w:r>
      <w:r>
        <w:rPr>
          <w:iCs/>
          <w:i/>
        </w:rPr>
        <w:t xml:space="preserve">TSHR</w:t>
      </w:r>
      <w:r>
        <w:t xml:space="preserve"> </w:t>
      </w:r>
      <w:r>
        <w:t xml:space="preserve">was accordingly treated as a single-instrument, locus-level anchor rather than reconstructed as a multi-instrument exposure (Table S3).</w:t>
      </w:r>
    </w:p>
    <w:p>
      <w:pPr>
        <w:pStyle w:val="BodyText"/>
      </w:pPr>
      <w:r>
        <w:t xml:space="preserve">For prioritized loci, we tested whether the</w:t>
      </w:r>
      <w:r>
        <w:t xml:space="preserve"> </w:t>
      </w:r>
      <w:r>
        <w:rPr>
          <w:iCs/>
          <w:i/>
        </w:rPr>
        <w:t xml:space="preserve">cis</w:t>
      </w:r>
      <w:r>
        <w:t xml:space="preserve">-eQTL and outcome-association signals shared a causal variant using coloc.abf [8] (coloc) within ±1 Mb of the gene, under the single-causal-variant assumption and default priors (p1 = p2 = 10⁻⁴, p12 = 10⁻⁵) [23]. In this implementation dataset 1 was the outcome GWAS and dataset 2 the</w:t>
      </w:r>
      <w:r>
        <w:t xml:space="preserve"> </w:t>
      </w:r>
      <w:r>
        <w:rPr>
          <w:iCs/>
          <w:i/>
        </w:rPr>
        <w:t xml:space="preserve">cis</w:t>
      </w:r>
      <w:r>
        <w:t xml:space="preserve">-eQTL, so the posterior probabilities distinguish association with the outcome only (H1), with the</w:t>
      </w:r>
      <w:r>
        <w:t xml:space="preserve"> </w:t>
      </w:r>
      <w:r>
        <w:rPr>
          <w:iCs/>
          <w:i/>
        </w:rPr>
        <w:t xml:space="preserve">cis</w:t>
      </w:r>
      <w:r>
        <w:t xml:space="preserve">-eQTL only (H2), with both traits at distinct causal variants (H3), and with both traits at a shared causal variant (H4). Colocalization was evaluated against each outcome from beta and varbeta with ancestry-matched allele frequencies and the case fractions in Table 1. Strong colocalization was defined as PP.H4 ≥ 0.80, with prior sensitivity at p12 = 10⁻⁶ and 5×10⁻⁶ (Tables S2, S9; Figure S2).</w:t>
      </w:r>
    </w:p>
    <w:bookmarkEnd w:id="26"/>
    <w:bookmarkStart w:id="27" w:name="orbital-tissue-transcriptomic-analysis"/>
    <w:p>
      <w:pPr>
        <w:pStyle w:val="Heading3"/>
      </w:pPr>
      <w:r>
        <w:t xml:space="preserve">Orbital tissue transcriptomic analysis</w:t>
      </w:r>
    </w:p>
    <w:p>
      <w:pPr>
        <w:pStyle w:val="FirstParagraph"/>
      </w:pPr>
      <w:r>
        <w:t xml:space="preserve">Exploratory tissue-level support was assessed using an in-house bulk RNA-seq dataset of orbital tissue from a Korean cohort comprising four TED patients and one control. Technical replicates were collapsed to the biological-sample level and abundance expressed as transcripts per million. With one control, control-side biological variance cannot be estimated, so no differential-expression testing was performed and no</w:t>
      </w:r>
      <w:r>
        <w:t xml:space="preserve"> </w:t>
      </w:r>
      <w:r>
        <w:rPr>
          <w:iCs/>
          <w:i/>
        </w:rPr>
        <w:t xml:space="preserve">P</w:t>
      </w:r>
      <w:r>
        <w:t xml:space="preserve"> </w:t>
      </w:r>
      <w:r>
        <w:t xml:space="preserve">values are reported; abundance is described for the three backbone genes only (Figure S1). No transcriptomic catalogue, differential-expression list or pathway-enrichment result is presented, the dataset was not used for instrument selection, and it contributes to no inference here.</w:t>
      </w:r>
    </w:p>
    <w:bookmarkEnd w:id="27"/>
    <w:bookmarkStart w:id="28" w:name="software-reporting-and-data-availability"/>
    <w:p>
      <w:pPr>
        <w:pStyle w:val="Heading3"/>
      </w:pPr>
      <w:r>
        <w:t xml:space="preserve">Software, reporting, and data availability</w:t>
      </w:r>
    </w:p>
    <w:p>
      <w:pPr>
        <w:pStyle w:val="FirstParagraph"/>
      </w:pPr>
      <w:r>
        <w:t xml:space="preserve">Analyses used R 4.3.3 with TwoSampleMR (v0.7.4), ieugwasr, and coloc (v5.2.3); LD operations used PLINK v1.9. Reporting follows the STROBE-MR guideline (Table S7).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p>
      <w:r>
        <w:pict>
          <v:rect style="width:0;height:1.5pt" o:hralign="center" o:hrstd="t" o:hr="t"/>
        </w:pict>
      </w:r>
    </w:p>
    <w:bookmarkEnd w:id="28"/>
    <w:bookmarkEnd w:id="29"/>
    <w:bookmarkStart w:id="35" w:name="results"/>
    <w:p>
      <w:pPr>
        <w:pStyle w:val="Heading2"/>
      </w:pPr>
      <w:r>
        <w:t xml:space="preserve">Results</w:t>
      </w:r>
    </w:p>
    <w:bookmarkStart w:id="30" w:name="druggable-gene-wide-mr-discovery"/>
    <w:p>
      <w:pPr>
        <w:pStyle w:val="Heading3"/>
      </w:pPr>
      <w:r>
        <w:t xml:space="preserve">Druggable-gene-wide MR discovery</w:t>
      </w:r>
    </w:p>
    <w:p>
      <w:pPr>
        <w:pStyle w:val="FirstParagraph"/>
      </w:pPr>
      <w:r>
        <w:t xml:space="preserve">The attrition of the screen and the resulting contrast between the two backbone receptors are summarized in</w:t>
      </w:r>
      <w:r>
        <w:t xml:space="preserve"> </w:t>
      </w:r>
      <w:r>
        <w:rPr>
          <w:bCs/>
          <w:b/>
        </w:rPr>
        <w:t xml:space="preserve">Figure 1</w:t>
      </w:r>
      <w:r>
        <w:t xml:space="preserve">. The analysis followed the prespecified outcome hierarchy of BBJ Graves disease (discovery), UKB hyperthyroidism (replication), and FinnGen R12 Graves ophthalmopathy (TED-enriched sensitivity), with data sources in</w:t>
      </w:r>
      <w:r>
        <w:t xml:space="preserve"> </w:t>
      </w:r>
      <w:r>
        <w:rPr>
          <w:bCs/>
          <w:b/>
        </w:rPr>
        <w:t xml:space="preserve">Table 1</w:t>
      </w:r>
      <w:r>
        <w:t xml:space="preserve">.</w:t>
      </w:r>
    </w:p>
    <w:p>
      <w:pPr>
        <w:pStyle w:val="BodyText"/>
      </w:pPr>
      <w:r>
        <w:t xml:space="preserve">Of 4,462 druggable genes, 2,544 had at least one valid</w:t>
      </w:r>
      <w:r>
        <w:t xml:space="preserve"> </w:t>
      </w:r>
      <w:r>
        <w:rPr>
          <w:iCs/>
          <w:i/>
        </w:rPr>
        <w:t xml:space="preserve">cis</w:t>
      </w:r>
      <w:r>
        <w:t xml:space="preserve">-eQTL instrument in eQTLGen and formed the MR-testable denominator; across these genes, 6,135 SNP-level instruments were retained, all exceeding conventional instrument-strength criteria (minimum F-statistic = 29.7, the value implied by the</w:t>
      </w:r>
      <w:r>
        <w:t xml:space="preserve"> </w:t>
      </w:r>
      <w:r>
        <w:rPr>
          <w:iCs/>
          <w:i/>
        </w:rPr>
        <w:t xml:space="preserve">P</w:t>
      </w:r>
      <w:r>
        <w:t xml:space="preserve"> </w:t>
      </w:r>
      <w:r>
        <w:t xml:space="preserve">&lt; 5×10⁻⁸ selection threshold;</w:t>
      </w:r>
      <w:r>
        <w:t xml:space="preserve"> </w:t>
      </w:r>
      <w:r>
        <w:rPr>
          <w:bCs/>
          <w:b/>
        </w:rPr>
        <w:t xml:space="preserve">Table S4</w:t>
      </w:r>
      <w:r>
        <w:t xml:space="preserve">). Primary MR estimates against the BBJ Graves disease discovery outcome were obtainable for 2,234 genes.</w:t>
      </w:r>
    </w:p>
    <w:p>
      <w:pPr>
        <w:pStyle w:val="BodyText"/>
      </w:pPr>
      <w:r>
        <w:t xml:space="preserve">Applying a Bonferroni threshold corrected for the MR-testable denominator (</w:t>
      </w:r>
      <w:r>
        <w:rPr>
          <w:iCs/>
          <w:i/>
        </w:rPr>
        <w:t xml:space="preserve">P</w:t>
      </w:r>
      <w:r>
        <w:t xml:space="preserve"> </w:t>
      </w:r>
      <w:r>
        <w:t xml:space="preserve">&lt; 1.965×10⁻⁵; 0.05/2,544), 13 genes reached significance in discovery (</w:t>
      </w:r>
      <w:r>
        <w:rPr>
          <w:bCs/>
          <w:b/>
        </w:rPr>
        <w:t xml:space="preserve">Figure 2</w:t>
      </w:r>
      <w:r>
        <w:t xml:space="preserve">). These hits included the established Graves disease autoantigen</w:t>
      </w:r>
      <w:r>
        <w:t xml:space="preserve"> </w:t>
      </w:r>
      <w:r>
        <w:rPr>
          <w:iCs/>
          <w:i/>
        </w:rPr>
        <w:t xml:space="preserve">TSHR</w:t>
      </w:r>
      <w:r>
        <w:t xml:space="preserve"> </w:t>
      </w:r>
      <w:r>
        <w:t xml:space="preserve">and the known autoimmune locus</w:t>
      </w:r>
      <w:r>
        <w:t xml:space="preserve"> </w:t>
      </w:r>
      <w:r>
        <w:rPr>
          <w:iCs/>
          <w:i/>
        </w:rPr>
        <w:t xml:space="preserve">CTLA4</w:t>
      </w:r>
      <w:r>
        <w:t xml:space="preserve">, both with strongly significant protective-direction estimates, together with additional loci that were carried forward for replication and colocalization-based filtering. The discovery volcano (</w:t>
      </w:r>
      <w:r>
        <w:rPr>
          <w:bCs/>
          <w:b/>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Cs/>
          <w:b/>
        </w:rPr>
        <w:t xml:space="preserve">Table 3</w:t>
      </w:r>
      <w:r>
        <w:t xml:space="preserve"> </w:t>
      </w:r>
      <w:r>
        <w:t xml:space="preserve">(with extended detail in</w:t>
      </w:r>
      <w:r>
        <w:t xml:space="preserve"> </w:t>
      </w:r>
      <w:r>
        <w:rPr>
          <w:bCs/>
          <w:b/>
        </w:rPr>
        <w:t xml:space="preserve">Table S1</w:t>
      </w:r>
      <w:r>
        <w:t xml:space="preserve">).</w:t>
      </w:r>
    </w:p>
    <w:bookmarkEnd w:id="30"/>
    <w:bookmarkStart w:id="31" w:name="Xd06e6820abe0d3ab443817f0f342bb6c6cf9bc3"/>
    <w:p>
      <w:pPr>
        <w:pStyle w:val="Heading3"/>
      </w:pPr>
      <w:r>
        <w:t xml:space="preserve">Cross-outcome classification and colocalization filtering</w:t>
      </w:r>
    </w:p>
    <w:p>
      <w:pPr>
        <w:pStyle w:val="FirstParagraph"/>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TED-enriched signals. Two hits—</w:t>
      </w:r>
      <w:r>
        <w:rPr>
          <w:iCs/>
          <w:i/>
        </w:rPr>
        <w:t xml:space="preserve">TSHR</w:t>
      </w:r>
      <w:r>
        <w:t xml:space="preserve"> </w:t>
      </w:r>
      <w:r>
        <w:t xml:space="preserve">and</w:t>
      </w:r>
      <w:r>
        <w:t xml:space="preserve"> </w:t>
      </w:r>
      <w:r>
        <w:rPr>
          <w:iCs/>
          <w:i/>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Cs/>
          <w:i/>
        </w:rPr>
        <w:t xml:space="preserve">HSD3B7</w:t>
      </w:r>
      <w:r>
        <w:t xml:space="preserve">,</w:t>
      </w:r>
      <w:r>
        <w:t xml:space="preserve"> </w:t>
      </w:r>
      <w:r>
        <w:rPr>
          <w:iCs/>
          <w:i/>
        </w:rPr>
        <w:t xml:space="preserve">VKORC1</w:t>
      </w:r>
      <w:r>
        <w:t xml:space="preserve">, and</w:t>
      </w:r>
      <w:r>
        <w:t xml:space="preserve"> </w:t>
      </w:r>
      <w:r>
        <w:rPr>
          <w:iCs/>
          <w:i/>
        </w:rPr>
        <w:t xml:space="preserve">PRSS36</w:t>
      </w:r>
      <w:r>
        <w:t xml:space="preserve">) whose top eQTL instruments were co-located within a narrow approximately 143-kb linkage-disequilibrium window (Table S5).</w:t>
      </w:r>
    </w:p>
    <w:p>
      <w:pPr>
        <w:pStyle w:val="BodyText"/>
      </w:pPr>
      <w:r>
        <w:t xml:space="preserve">Candidate colocalization showed outcome-dependent patterns (Table S2; Figure S2).</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showed strong colocalization with the BBJ discovery signal (PP.H4 = 0.994 and 0.989, respectively), but did not colocalize with the TED-enriched outcome (PP.H4 = 0.019 for both), where the posterior instead favored an eQTL-only pattern (PP.H2 = 0.63 and 0.64): the</w:t>
      </w:r>
      <w:r>
        <w:t xml:space="preserve"> </w:t>
      </w:r>
      <w:r>
        <w:rPr>
          <w:iCs/>
          <w:i/>
        </w:rPr>
        <w:t xml:space="preserve">cis</w:t>
      </w:r>
      <w:r>
        <w:t xml:space="preserve">-eQTL signal was present, but no association with the TED outcome was detectable at these loci.</w:t>
      </w:r>
      <w:r>
        <w:t xml:space="preserve"> </w:t>
      </w:r>
      <w:r>
        <w:rPr>
          <w:iCs/>
          <w:i/>
        </w:rPr>
        <w:t xml:space="preserve">MAPKAPK5</w:t>
      </w:r>
      <w:r>
        <w:t xml:space="preserve"> </w:t>
      </w:r>
      <w:r>
        <w:t xml:space="preserve">showed a distinct-signal pattern in discovery (PP.H3 ≈ 1.0), whereas the chr16p11.2 candidates showed only weak or ambiguous colocalization in discovery (PP.H4 ≤ 0.62) and no shared colocalization support in the TED-enriched outcome, where they too showed an eQTL-only pattern (PP.H2 = 0.73–0.74).</w:t>
      </w:r>
    </w:p>
    <w:p>
      <w:pPr>
        <w:pStyle w:val="BodyText"/>
      </w:pPr>
      <w:r>
        <w:t xml:space="preserve">Overall, no non-known candidate showed strong colocalization in both BBJ Graves disease and the TED-enriched outcome. Thus, after cross-outcome colocalization filtering, no novel candidate satisfied the dual-phenotype criterion. This filtering result was retained as part of the final interpretation because it prevented overinterpretation of single-outcome or LD-driven discovery signals and strengthened the focus on the three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p>
    <w:p>
      <w:pPr>
        <w:pStyle w:val="BodyText"/>
      </w:pPr>
      <w:r>
        <w:t xml:space="preserve">The detectable range of the screen defines what this null does and does not exclude (</w:t>
      </w:r>
      <w:r>
        <w:rPr>
          <w:bCs/>
          <w:b/>
        </w:rPr>
        <w:t xml:space="preserve">Table S8</w:t>
      </w:r>
      <w:r>
        <w:t xml:space="preserve">). At the study-wide discovery threshold and 80% power, the median gene was powered to detect an odds ratio of approximately 2.55 per unit genetically proxied expression (interquartile range 1.71–5.19); 35.6% of genes were powered for OR ≥ 2.0 and 14.6% for OR ≥ 1.5. In the TED-enriched outcome at nominal significance, the corresponding median detectable OR was approximately 2.12. The screen was therefore well powered for large expression-mediated effects — consistent with its recovery of</w:t>
      </w:r>
      <w:r>
        <w:t xml:space="preserve"> </w:t>
      </w:r>
      <w:r>
        <w:rPr>
          <w:iCs/>
          <w:i/>
        </w:rPr>
        <w:t xml:space="preserve">TSHR</w:t>
      </w:r>
      <w:r>
        <w:t xml:space="preserve"> </w:t>
      </w:r>
      <w:r>
        <w:t xml:space="preserve">(β = −2.10) and</w:t>
      </w:r>
      <w:r>
        <w:t xml:space="preserve"> </w:t>
      </w:r>
      <w:r>
        <w:rPr>
          <w:iCs/>
          <w:i/>
        </w:rPr>
        <w:t xml:space="preserve">CTLA4</w:t>
      </w:r>
      <w:r>
        <w:t xml:space="preserve"> </w:t>
      </w:r>
      <w:r>
        <w:t xml:space="preserve">(β = −1.74), both of which exceeded their gene-specific detection thresholds — but not for modest effects. The absence of a qualifying novel candidate should accordingly be read as constraining additional large, expression-colocalized druggable effects, particularly among well-powered genes, rather than as excluding moderate ones, which larger GD- and TED-specific GWAS will be required to resolve.</w:t>
      </w:r>
    </w:p>
    <w:bookmarkEnd w:id="31"/>
    <w:bookmarkStart w:id="32" w:name="X3e3b2638da6e3ab8c932c509709916afd5b572e"/>
    <w:p>
      <w:pPr>
        <w:pStyle w:val="Heading3"/>
      </w:pPr>
      <w:r>
        <w:t xml:space="preserve">TSHR: an expression-colocalized susceptibility anchor</w:t>
      </w:r>
    </w:p>
    <w:p>
      <w:pPr>
        <w:pStyle w:val="FirstParagraph"/>
      </w:pPr>
      <w:r>
        <w:t xml:space="preserve">Among the established hits,</w:t>
      </w:r>
      <w:r>
        <w:t xml:space="preserve"> </w:t>
      </w:r>
      <w:r>
        <w:rPr>
          <w:iCs/>
          <w:i/>
        </w:rPr>
        <w:t xml:space="preserve">TSHR</w:t>
      </w:r>
      <w:r>
        <w:t xml:space="preserve"> </w:t>
      </w:r>
      <w:r>
        <w:t xml:space="preserve">showed the strongest convergence between the MR and colocalization layers of the framework (Table 2; Figure 3). In MR, the</w:t>
      </w:r>
      <w:r>
        <w:t xml:space="preserve"> </w:t>
      </w:r>
      <w:r>
        <w:rPr>
          <w:iCs/>
          <w:i/>
        </w:rPr>
        <w:t xml:space="preserve">TSHR</w:t>
      </w:r>
      <w:r>
        <w:t xml:space="preserve"> </w:t>
      </w:r>
      <w:r>
        <w:rPr>
          <w:iCs/>
          <w:i/>
        </w:rPr>
        <w:t xml:space="preserve">cis</w:t>
      </w:r>
      <w:r>
        <w:t xml:space="preserve">-eQTL instrument was associated with protective-direction estimates across all three outcomes: BBJ Graves disease (β = −2.10,</w:t>
      </w:r>
      <w:r>
        <w:t xml:space="preserve"> </w:t>
      </w:r>
      <w:r>
        <w:rPr>
          <w:iCs/>
          <w:i/>
        </w:rPr>
        <w:t xml:space="preserve">P</w:t>
      </w:r>
      <w:r>
        <w:t xml:space="preserve"> </w:t>
      </w:r>
      <w:r>
        <w:t xml:space="preserve">= 1.1×10⁻¹⁴), UKB hyperthyroidism (β = −2.44,</w:t>
      </w:r>
      <w:r>
        <w:t xml:space="preserve"> </w:t>
      </w:r>
      <w:r>
        <w:rPr>
          <w:iCs/>
          <w:i/>
        </w:rPr>
        <w:t xml:space="preserve">P</w:t>
      </w:r>
      <w:r>
        <w:t xml:space="preserve"> </w:t>
      </w:r>
      <w:r>
        <w:t xml:space="preserve">= 8.8×10⁻²⁸), and the TED-enriched outcome (β = −2.33,</w:t>
      </w:r>
      <w:r>
        <w:t xml:space="preserve"> </w:t>
      </w:r>
      <w:r>
        <w:rPr>
          <w:iCs/>
          <w:i/>
        </w:rPr>
        <w:t xml:space="preserve">P</w:t>
      </w:r>
      <w:r>
        <w:t xml:space="preserve"> </w:t>
      </w:r>
      <w:r>
        <w:t xml:space="preserve">= 2.8×10⁻⁷). The consistency of direction and approximate magnitude across the independently ascertained Graves disease and hyperthyroidism outcomes argues against an outcome-specific artifact (Figure 3B). The concordant estimate in the TED-enriched outcome is interpreted more conservatively, because Graves ophthalmopathy cases are ascertained among patients with Graves disease and compared with population controls, so that outcome substantially re-measures shared Graves disease susceptibility rather than liability specific to orbital involvement (see Limitations).</w:t>
      </w:r>
    </w:p>
    <w:p>
      <w:pPr>
        <w:pStyle w:val="BodyText"/>
      </w:pPr>
      <w:r>
        <w:t xml:space="preserve">Colocalization supported a shared causal variant between</w:t>
      </w:r>
      <w:r>
        <w:t xml:space="preserve"> </w:t>
      </w:r>
      <w:r>
        <w:rPr>
          <w:iCs/>
          <w:i/>
        </w:rPr>
        <w:t xml:space="preserve">TSHR</w:t>
      </w:r>
      <w:r>
        <w:t xml:space="preserve"> </w:t>
      </w:r>
      <w:r>
        <w:t xml:space="preserve">expression and disease association in the Graves disease discovery outcome and in the TED-enriched outcome (PP.H4 = 0.951 and 0.986; rs179252 the top-posterior variant in both; Figure 3A), but not in the broader UKB hyperthyroidism phenotype, where the posterior instead favoured distinct causal variants (PP.H3 = 0.774; PP.H4 = 0.226; lead variant rs1023586). This discordance is not attributable to limited power: UKB carried the strongest locus-wide association of the three outcomes (minimum</w:t>
      </w:r>
      <w:r>
        <w:t xml:space="preserve"> </w:t>
      </w:r>
      <w:r>
        <w:rPr>
          <w:iCs/>
          <w:i/>
        </w:rPr>
        <w:t xml:space="preserve">P</w:t>
      </w:r>
      <w:r>
        <w:t xml:space="preserve"> </w:t>
      </w:r>
      <w:r>
        <w:t xml:space="preserve">= 1.4×10⁻⁴³) and the largest set of overlapping variants. We therefore report</w:t>
      </w:r>
      <w:r>
        <w:t xml:space="preserve"> </w:t>
      </w:r>
      <w:r>
        <w:rPr>
          <w:iCs/>
          <w:i/>
        </w:rPr>
        <w:t xml:space="preserve">TSHR</w:t>
      </w:r>
      <w:r>
        <w:t xml:space="preserve"> </w:t>
      </w:r>
      <w:r>
        <w:t xml:space="preserve">colocalization as specific to the two Graves disease phenotypes rather than as a property of thyroid autoimmunity in general (Table 2).</w:t>
      </w:r>
    </w:p>
    <w:p>
      <w:pPr>
        <w:pStyle w:val="BodyText"/>
      </w:pPr>
      <w:r>
        <w:t xml:space="preserve">In the in-house orbital dataset,</w:t>
      </w:r>
      <w:r>
        <w:t xml:space="preserve"> </w:t>
      </w:r>
      <w:r>
        <w:rPr>
          <w:iCs/>
          <w:i/>
        </w:rPr>
        <w:t xml:space="preserve">TSHR</w:t>
      </w:r>
      <w:r>
        <w:t xml:space="preserve"> </w:t>
      </w:r>
      <w:r>
        <w:t xml:space="preserve">transcript abundance was higher in the four TED samples than in the single control (log2 fold-change = +2.59; Figure S1). With one control, this dataset cannot support differential-expression inference; it is reported as a descriptive observation and no statistical claim is drawn from it. Together, the genetic results position</w:t>
      </w:r>
      <w:r>
        <w:t xml:space="preserve"> </w:t>
      </w:r>
      <w:r>
        <w:rPr>
          <w:iCs/>
          <w:i/>
        </w:rPr>
        <w:t xml:space="preserve">TSHR</w:t>
      </w:r>
      <w:r>
        <w:t xml:space="preserve"> </w:t>
      </w:r>
      <w:r>
        <w:t xml:space="preserve">as an expression-colocalized upstream susceptibility anchor for Graves disease whose signal is also recovered in a TED-enriched Graves ophthalmopathy outcome, although a TED-specific effect separable from Graves disease liability is not established by these data. The apparent contrast between the protective-direction germline MR estimate and higher orbital</w:t>
      </w:r>
      <w:r>
        <w:t xml:space="preserve"> </w:t>
      </w:r>
      <w:r>
        <w:rPr>
          <w:iCs/>
          <w:i/>
        </w:rPr>
        <w:t xml:space="preserve">TSHR</w:t>
      </w:r>
      <w:r>
        <w:t xml:space="preserve"> </w:t>
      </w:r>
      <w:r>
        <w:t xml:space="preserve">abundance in disease-state tissue is addressed in the Discussion.</w:t>
      </w:r>
    </w:p>
    <w:bookmarkEnd w:id="32"/>
    <w:bookmarkStart w:id="33" w:name="X6dee7cf910b544125566daa54a1d09f0b91dad3"/>
    <w:p>
      <w:pPr>
        <w:pStyle w:val="Heading3"/>
      </w:pPr>
      <w:r>
        <w:t xml:space="preserve">IGF1R: nominal genetic association without expression colocalization</w:t>
      </w:r>
    </w:p>
    <w:p>
      <w:pPr>
        <w:pStyle w:val="FirstParagraph"/>
      </w:pPr>
      <w:r>
        <w:t xml:space="preserve">In contrast to</w:t>
      </w:r>
      <w:r>
        <w:t xml:space="preserve"> </w:t>
      </w:r>
      <w:r>
        <w:rPr>
          <w:iCs/>
          <w:i/>
        </w:rPr>
        <w:t xml:space="preserve">TSHR</w:t>
      </w:r>
      <w:r>
        <w:t xml:space="preserve">,</w:t>
      </w:r>
      <w:r>
        <w:t xml:space="preserve"> </w:t>
      </w:r>
      <w:r>
        <w:rPr>
          <w:iCs/>
          <w:i/>
        </w:rPr>
        <w:t xml:space="preserve">IGF1R</w:t>
      </w:r>
      <w:r>
        <w:t xml:space="preserve">, the therapeutic target of teprotumumab, showed a markedly different evidence profile (Table 2; Figure 3).</w:t>
      </w:r>
      <w:r>
        <w:t xml:space="preserve"> </w:t>
      </w:r>
      <w:r>
        <w:rPr>
          <w:iCs/>
          <w:i/>
        </w:rPr>
        <w:t xml:space="preserve">IGF1R</w:t>
      </w:r>
      <w:r>
        <w:t xml:space="preserve"> </w:t>
      </w:r>
      <w:r>
        <w:t xml:space="preserve">was instrumented by multiple independent</w:t>
      </w:r>
      <w:r>
        <w:t xml:space="preserve"> </w:t>
      </w:r>
      <w:r>
        <w:rPr>
          <w:iCs/>
          <w:i/>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Cs/>
          <w:i/>
        </w:rPr>
        <w:t xml:space="preserve">P</w:t>
      </w:r>
      <w:r>
        <w:t xml:space="preserve"> </w:t>
      </w:r>
      <w:r>
        <w:t xml:space="preserve">= 0.021) and UKB hyperthyroidism (β = +0.30,</w:t>
      </w:r>
      <w:r>
        <w:t xml:space="preserve"> </w:t>
      </w:r>
      <w:r>
        <w:rPr>
          <w:iCs/>
          <w:i/>
        </w:rPr>
        <w:t xml:space="preserve">P</w:t>
      </w:r>
      <w:r>
        <w:t xml:space="preserve"> </w:t>
      </w:r>
      <w:r>
        <w:t xml:space="preserve">= 0.012); the TED-enriched estimate was directionally consistent but non-significant (β = +0.34,</w:t>
      </w:r>
      <w:r>
        <w:t xml:space="preserve"> </w:t>
      </w:r>
      <w:r>
        <w:rPr>
          <w:iCs/>
          <w:i/>
        </w:rPr>
        <w:t xml:space="preserve">P</w:t>
      </w:r>
      <w:r>
        <w:t xml:space="preserve"> </w:t>
      </w:r>
      <w:r>
        <w:t xml:space="preserve">= 0.18). Sensitivity estimators were broadly concordant in direction without evidence of directional pleiotropy, although statistical significance was not uniform across estimators, consistent with a modest effect (Table S6). The magnitude of this effect lay below the gene-specific detection threshold of the discovery screen (minimum effect detectable with 80% power at the study-wide threshold, |β| = 0.99 for</w:t>
      </w:r>
      <w:r>
        <w:t xml:space="preserve"> </w:t>
      </w:r>
      <w:r>
        <w:rPr>
          <w:iCs/>
          <w:i/>
        </w:rPr>
        <w:t xml:space="preserve">IGF1R</w:t>
      </w:r>
      <w:r>
        <w:t xml:space="preserve">; Table S8), so its failure to reach study-wide significance is expected for an effect of this size and does not by itself constitute evidence against a genetic contribution. This is one reason</w:t>
      </w:r>
      <w:r>
        <w:t xml:space="preserve"> </w:t>
      </w:r>
      <w:r>
        <w:rPr>
          <w:iCs/>
          <w:i/>
        </w:rPr>
        <w:t xml:space="preserve">IGF1R</w:t>
      </w:r>
      <w:r>
        <w:t xml:space="preserve"> </w:t>
      </w:r>
      <w:r>
        <w:t xml:space="preserve">was carried forward as a backbone gene evaluated across multiple evidence layers rather than judged on discovery significance alone.</w:t>
      </w:r>
    </w:p>
    <w:p>
      <w:pPr>
        <w:pStyle w:val="BodyText"/>
      </w:pPr>
      <w:r>
        <w:t xml:space="preserve">Critically, this nominal MR signal was not accompanied by expression colocalization in any outcome. At the</w:t>
      </w:r>
      <w:r>
        <w:t xml:space="preserve"> </w:t>
      </w:r>
      <w:r>
        <w:rPr>
          <w:iCs/>
          <w:i/>
        </w:rPr>
        <w:t xml:space="preserve">IGF1R</w:t>
      </w:r>
      <w:r>
        <w:t xml:space="preserve"> </w:t>
      </w:r>
      <w:r>
        <w:t xml:space="preserve">locus the posterior never approached the shared-variant threshold — PP.H4 = 0.073 (discovery), 0.404 (replication) and 0.032 (TED-enriched) — with an eQTL-only pattern dominating in the two Graves disease phenotypes (PP.H2 = 0.69 and 0.62; Figure 3A). The locus therefore carries a well-defined</w:t>
      </w:r>
      <w:r>
        <w:t xml:space="preserve"> </w:t>
      </w:r>
      <w:r>
        <w:rPr>
          <w:iCs/>
          <w:i/>
        </w:rPr>
        <w:t xml:space="preserve">cis</w:t>
      </w:r>
      <w:r>
        <w:t xml:space="preserve">-eQTL whose signal does not resolve to a variant shared with disease association, in contrast to</w:t>
      </w:r>
      <w:r>
        <w:t xml:space="preserve"> </w:t>
      </w:r>
      <w:r>
        <w:rPr>
          <w:iCs/>
          <w:i/>
        </w:rPr>
        <w:t xml:space="preserve">TSHR</w:t>
      </w:r>
      <w:r>
        <w:t xml:space="preserve">. In orbital tissue,</w:t>
      </w:r>
      <w:r>
        <w:t xml:space="preserve"> </w:t>
      </w:r>
      <w:r>
        <w:rPr>
          <w:iCs/>
          <w:i/>
        </w:rPr>
        <w:t xml:space="preserve">IGF1R</w:t>
      </w:r>
      <w:r>
        <w:t xml:space="preserve"> </w:t>
      </w:r>
      <w:r>
        <w:t xml:space="preserve">abundance differed little between the TED samples and the control (log2 fold-change = +0.80).</w:t>
      </w:r>
    </w:p>
    <w:p>
      <w:pPr>
        <w:pStyle w:val="BodyText"/>
      </w:pPr>
      <w:r>
        <w:t xml:space="preserve">Thus,</w:t>
      </w:r>
      <w:r>
        <w:t xml:space="preserve"> </w:t>
      </w:r>
      <w:r>
        <w:rPr>
          <w:iCs/>
          <w:i/>
        </w:rPr>
        <w:t xml:space="preserve">IGF1R</w:t>
      </w:r>
      <w:r>
        <w:t xml:space="preserve"> </w:t>
      </w:r>
      <w:r>
        <w:t xml:space="preserve">showed nominal positive-direction MR evidence that was not supported by eQTL–GWAS colocalization or by significant orbital tissue upregulation. This combination distinguishes the genetic profile of</w:t>
      </w:r>
      <w:r>
        <w:t xml:space="preserve"> </w:t>
      </w:r>
      <w:r>
        <w:rPr>
          <w:iCs/>
          <w:i/>
        </w:rPr>
        <w:t xml:space="preserve">IGF1R</w:t>
      </w:r>
      <w:r>
        <w:t xml:space="preserve"> </w:t>
      </w:r>
      <w:r>
        <w:t xml:space="preserve">from that of an expression-colocalized susceptibility locus such as</w:t>
      </w:r>
      <w:r>
        <w:t xml:space="preserve"> </w:t>
      </w:r>
      <w:r>
        <w:rPr>
          <w:iCs/>
          <w:i/>
        </w:rPr>
        <w:t xml:space="preserve">TSHR</w:t>
      </w:r>
      <w:r>
        <w:t xml:space="preserve">. The interpretation of this profile—in particular its relationship to the established therapeutic role of IGF-1R blockade—is considered in the Discussion.</w:t>
      </w:r>
    </w:p>
    <w:bookmarkEnd w:id="33"/>
    <w:bookmarkStart w:id="34" w:name="Xea91494630e083bf2b9afeee02d0e5b1f5ff1a2"/>
    <w:p>
      <w:pPr>
        <w:pStyle w:val="Heading3"/>
      </w:pPr>
      <w:r>
        <w:t xml:space="preserve">CTLA4: a positive-control autoimmune locus</w:t>
      </w:r>
    </w:p>
    <w:p>
      <w:pPr>
        <w:pStyle w:val="FirstParagraph"/>
      </w:pPr>
      <w:r>
        <w:rPr>
          <w:iCs/>
          <w:i/>
        </w:rPr>
        <w:t xml:space="preserve">CTLA4</w:t>
      </w:r>
      <w:r>
        <w:t xml:space="preserve"> </w:t>
      </w:r>
      <w:r>
        <w:t xml:space="preserve">(chromosome 2q33), a well-established autoimmune susceptibility locus [24], was included as a positive control to calibrate the framework against a gene of known relevance to Graves disease. Consistent with its role as a known autoimmune locus,</w:t>
      </w:r>
      <w:r>
        <w:t xml:space="preserve"> </w:t>
      </w:r>
      <w:r>
        <w:rPr>
          <w:iCs/>
          <w:i/>
        </w:rPr>
        <w:t xml:space="preserve">CTLA4</w:t>
      </w:r>
      <w:r>
        <w:t xml:space="preserve"> </w:t>
      </w:r>
      <w:r>
        <w:t xml:space="preserve">showed strong protective-direction MR estimates in the discovery analysis (BBJ Graves disease, β = −1.74,</w:t>
      </w:r>
      <w:r>
        <w:t xml:space="preserve"> </w:t>
      </w:r>
      <w:r>
        <w:rPr>
          <w:iCs/>
          <w:i/>
        </w:rPr>
        <w:t xml:space="preserve">P</w:t>
      </w:r>
      <w:r>
        <w:t xml:space="preserve"> </w:t>
      </w:r>
      <w:r>
        <w:t xml:space="preserve">= 5.5×10⁻¹⁵), with concordant protective-direction estimates in replication (UKB hyperthyroidism, β = −1.57,</w:t>
      </w:r>
      <w:r>
        <w:t xml:space="preserve"> </w:t>
      </w:r>
      <w:r>
        <w:rPr>
          <w:iCs/>
          <w:i/>
        </w:rPr>
        <w:t xml:space="preserve">P</w:t>
      </w:r>
      <w:r>
        <w:t xml:space="preserve"> </w:t>
      </w:r>
      <w:r>
        <w:t xml:space="preserve">= 0.002) and the TED-enriched outcome (β = −1.77,</w:t>
      </w:r>
      <w:r>
        <w:t xml:space="preserve"> </w:t>
      </w:r>
      <w:r>
        <w:rPr>
          <w:iCs/>
          <w:i/>
        </w:rPr>
        <w:t xml:space="preserve">P</w:t>
      </w:r>
      <w:r>
        <w:t xml:space="preserve"> </w:t>
      </w:r>
      <w:r>
        <w:t xml:space="preserve">= 0.012). The recovery of</w:t>
      </w:r>
      <w:r>
        <w:t xml:space="preserve"> </w:t>
      </w:r>
      <w:r>
        <w:rPr>
          <w:iCs/>
          <w:i/>
        </w:rPr>
        <w:t xml:space="preserve">CTLA4</w:t>
      </w:r>
      <w:r>
        <w:t xml:space="preserve"> </w:t>
      </w:r>
      <w:r>
        <w:t xml:space="preserve">as a strong autoimmune signal supports the sensitivity of the discovery screen.</w:t>
      </w:r>
    </w:p>
    <w:p>
      <w:pPr>
        <w:pStyle w:val="BodyText"/>
      </w:pPr>
      <w:r>
        <w:t xml:space="preserve">Colocalization at</w:t>
      </w:r>
      <w:r>
        <w:t xml:space="preserve"> </w:t>
      </w:r>
      <w:r>
        <w:rPr>
          <w:iCs/>
          <w:i/>
        </w:rPr>
        <w:t xml:space="preserve">CTLA4</w:t>
      </w:r>
      <w:r>
        <w:t xml:space="preserve"> </w:t>
      </w:r>
      <w:r>
        <w:t xml:space="preserve">was ancestry-dependent: the posterior supported a shared causal variant in both European outcomes (UKB PP.H4 = 0.953, lead rs3087243; TED-enriched PP.H4 = 0.978, lead rs1863800) but favoured distinct causal variants in the East Asian discovery outcome (PP.H3 = 0.80; Figure 3A). Together with between-instrument heterogeneity in the replication analysis (Table S6), this pattern is consistent with cross-ancestry locus complexity at</w:t>
      </w:r>
      <w:r>
        <w:t xml:space="preserve"> </w:t>
      </w:r>
      <w:r>
        <w:rPr>
          <w:iCs/>
          <w:i/>
        </w:rPr>
        <w:t xml:space="preserve">CTLA4</w:t>
      </w:r>
      <w:r>
        <w:t xml:space="preserve">. Recovery of the positive control in two of three outcomes indicates that the combined MR-plus-colocalization filter can detect a known autoimmune locus, while its failure in the discovery arm shows that detection is ancestry-dependent. In orbital tissue,</w:t>
      </w:r>
      <w:r>
        <w:t xml:space="preserve"> </w:t>
      </w:r>
      <w:r>
        <w:rPr>
          <w:iCs/>
          <w:i/>
        </w:rPr>
        <w:t xml:space="preserve">CTLA4</w:t>
      </w:r>
      <w:r>
        <w:t xml:space="preserve"> </w:t>
      </w:r>
      <w:r>
        <w:t xml:space="preserve">abundance differed little between the TED samples and the control (log2 fold-change = +1.58).</w:t>
      </w:r>
    </w:p>
    <w:p>
      <w:r>
        <w:pict>
          <v:rect style="width:0;height:1.5pt" o:hralign="center" o:hrstd="t" o:hr="t"/>
        </w:pict>
      </w:r>
    </w:p>
    <w:bookmarkEnd w:id="34"/>
    <w:bookmarkEnd w:id="35"/>
    <w:bookmarkStart w:id="36" w:name="discussion"/>
    <w:p>
      <w:pPr>
        <w:pStyle w:val="Heading2"/>
      </w:pPr>
      <w:r>
        <w:t xml:space="preserve">Discussion</w:t>
      </w:r>
    </w:p>
    <w:p>
      <w:pPr>
        <w:pStyle w:val="FirstParagraph"/>
      </w:pPr>
      <w:r>
        <w:t xml:space="preserve">We set out to distinguish genetically anchored susceptibility from pharmacologic effector biology in Graves disease (GD) and thyroid eye disease (TED). Two contrasting evidence profiles emerged.</w:t>
      </w:r>
      <w:r>
        <w:t xml:space="preserve"> </w:t>
      </w:r>
      <w:r>
        <w:rPr>
          <w:iCs/>
          <w:i/>
        </w:rPr>
        <w:t xml:space="preserve">TSHR</w:t>
      </w:r>
      <w:r>
        <w:t xml:space="preserve">, the canonical thyroid autoantigen, showed convergent support across MR and expression colocalization in both Graves disease phenotypes, supporting its role as an expression-colocalized susceptibility anchor.</w:t>
      </w:r>
      <w:r>
        <w:t xml:space="preserve"> </w:t>
      </w:r>
      <w:r>
        <w:rPr>
          <w:iCs/>
          <w:i/>
        </w:rPr>
        <w:t xml:space="preserve">IGF1R</w:t>
      </w:r>
      <w:r>
        <w:t xml:space="preserve">, the target of teprotumumab, showed directionally consistent MR evidence that reached nominal significance in discovery and replication but lacked expression colocalization in every outcome — a profile more compatible with pharmacologic effector biology than with expression-colocalized susceptibility. Across 2,544 MR-testable druggable genes, no novel candidate satisfied our dual-phenotype colocalization criterion, so the principal contribution of this work is not target discovery but the separation of susceptibility anchoring from effector biology.</w:t>
      </w:r>
    </w:p>
    <w:p>
      <w:pPr>
        <w:pStyle w:val="BodyText"/>
      </w:pPr>
      <w:r>
        <w:rPr>
          <w:iCs/>
          <w:i/>
        </w:rPr>
        <w:t xml:space="preserve">TSHR</w:t>
      </w:r>
      <w:r>
        <w:t xml:space="preserve"> </w:t>
      </w:r>
      <w:r>
        <w:t xml:space="preserve">is the central autoantigen of GD and a well-established genetic susceptibility locus [2]; a genetic association alone would therefore add little to the literature. The contribution of the present framework is not the rediscovery of</w:t>
      </w:r>
      <w:r>
        <w:t xml:space="preserve"> </w:t>
      </w:r>
      <w:r>
        <w:rPr>
          <w:iCs/>
          <w:i/>
        </w:rPr>
        <w:t xml:space="preserve">TSHR</w:t>
      </w:r>
      <w:r>
        <w:t xml:space="preserve"> </w:t>
      </w:r>
      <w:r>
        <w:t xml:space="preserve">but its resolution into a coherent expression-colocalized anchor: consistent protective-direction estimates across all three outcomes, and colocalization support for a shared signal in both Graves disease phenotypes, with rs179252 as the top-posterior variant. That resolution is phenotype-specific rather than universal — the broader hyperthyroidism outcome favours a distinct causal variant — which is itself informative, and it provides a reference profile against which other candidates, including</w:t>
      </w:r>
      <w:r>
        <w:t xml:space="preserve"> </w:t>
      </w:r>
      <w:r>
        <w:rPr>
          <w:iCs/>
          <w:i/>
        </w:rPr>
        <w:t xml:space="preserve">IGF1R</w:t>
      </w:r>
      <w:r>
        <w:t xml:space="preserve">, can be compared, in keeping with a triangulation approach that integrates evidence from methods with differing assumptions [7].</w:t>
      </w:r>
    </w:p>
    <w:p>
      <w:pPr>
        <w:pStyle w:val="BodyText"/>
      </w:pPr>
      <w:r>
        <w:t xml:space="preserve">A notable feature of the</w:t>
      </w:r>
      <w:r>
        <w:t xml:space="preserve"> </w:t>
      </w:r>
      <w:r>
        <w:rPr>
          <w:iCs/>
          <w:i/>
        </w:rPr>
        <w:t xml:space="preserve">TSHR</w:t>
      </w:r>
      <w:r>
        <w:t xml:space="preserve"> </w:t>
      </w:r>
      <w:r>
        <w:t xml:space="preserve">signal is an apparent directional mismatch: the protective-direction blood</w:t>
      </w:r>
      <w:r>
        <w:t xml:space="preserve"> </w:t>
      </w:r>
      <w:r>
        <w:rPr>
          <w:iCs/>
          <w:i/>
        </w:rPr>
        <w:t xml:space="preserve">cis</w:t>
      </w:r>
      <w:r>
        <w:t xml:space="preserve">-eQTL MR estimate indicates that genetically proxied higher blood</w:t>
      </w:r>
      <w:r>
        <w:t xml:space="preserve"> </w:t>
      </w:r>
      <w:r>
        <w:rPr>
          <w:iCs/>
          <w:i/>
        </w:rPr>
        <w:t xml:space="preserve">TSHR</w:t>
      </w:r>
      <w:r>
        <w:t xml:space="preserve"> </w:t>
      </w:r>
      <w:r>
        <w:t xml:space="preserve">expression is associated with lower disease odds, whereas</w:t>
      </w:r>
      <w:r>
        <w:t xml:space="preserve"> </w:t>
      </w:r>
      <w:r>
        <w:rPr>
          <w:iCs/>
          <w:i/>
        </w:rPr>
        <w:t xml:space="preserve">TSHR</w:t>
      </w:r>
      <w:r>
        <w:t xml:space="preserve"> </w:t>
      </w:r>
      <w:r>
        <w:t xml:space="preserve">is upregulated in TED orbital tissue. These observations operate on different biological layers and are not necessarily contradictory. The MR estimate reflects inherited</w:t>
      </w:r>
      <w:r>
        <w:t xml:space="preserve"> </w:t>
      </w:r>
      <w:r>
        <w:rPr>
          <w:iCs/>
          <w:i/>
        </w:rPr>
        <w:t xml:space="preserve">cis</w:t>
      </w:r>
      <w:r>
        <w:t xml:space="preserve">-regulatory variation captured in blood, indexing lifelong liability, whereas the orbital observation reflects local disease-state expression in already-affected tissue, where higher</w:t>
      </w:r>
      <w:r>
        <w:t xml:space="preserve"> </w:t>
      </w:r>
      <w:r>
        <w:rPr>
          <w:iCs/>
          <w:i/>
        </w:rPr>
        <w:t xml:space="preserve">TSHR</w:t>
      </w:r>
      <w:r>
        <w:t xml:space="preserve"> </w:t>
      </w:r>
      <w:r>
        <w:t xml:space="preserve">abundance may reflect remodeling, inflammatory activation, or cellular-state shifts. Because genetic regulatory effects on gene expression are frequently tissue-specific and shaped by local cell-type composition [25], a protective-direction blood</w:t>
      </w:r>
      <w:r>
        <w:t xml:space="preserve"> </w:t>
      </w:r>
      <w:r>
        <w:rPr>
          <w:iCs/>
          <w:i/>
        </w:rPr>
        <w:t xml:space="preserve">cis</w:t>
      </w:r>
      <w:r>
        <w:t xml:space="preserve">-eQTL signal [12] and a disease-state increase in orbital expression are not expected to align in sign. Accordingly, we interpret the convergence across modalities as locus-level prioritization of</w:t>
      </w:r>
      <w:r>
        <w:t xml:space="preserve"> </w:t>
      </w:r>
      <w:r>
        <w:rPr>
          <w:iCs/>
          <w:i/>
        </w:rPr>
        <w:t xml:space="preserve">TSHR</w:t>
      </w:r>
      <w:r>
        <w:t xml:space="preserve">, not as evidence that the direction of tissue expression change is itself causal for orbital disease.</w:t>
      </w:r>
    </w:p>
    <w:p>
      <w:pPr>
        <w:pStyle w:val="BodyText"/>
      </w:pPr>
      <w:r>
        <w:rPr>
          <w:iCs/>
          <w:i/>
        </w:rPr>
        <w:t xml:space="preserve">IGF1R</w:t>
      </w:r>
      <w:r>
        <w:t xml:space="preserve"> </w:t>
      </w:r>
      <w:r>
        <w:t xml:space="preserve">presented a distinct evidence profile from</w:t>
      </w:r>
      <w:r>
        <w:t xml:space="preserve"> </w:t>
      </w:r>
      <w:r>
        <w:rPr>
          <w:iCs/>
          <w:i/>
        </w:rPr>
        <w:t xml:space="preserve">TSHR</w:t>
      </w:r>
      <w:r>
        <w:t xml:space="preserve">. Although it showed nominal positive-direction MR evidence in the discovery and replication outcomes, this signal was not accompanied by expression colocalization—the posterior favored an eQTL-only pattern rather than a shared causal variant—and</w:t>
      </w:r>
      <w:r>
        <w:t xml:space="preserve"> </w:t>
      </w:r>
      <w:r>
        <w:rPr>
          <w:iCs/>
          <w:i/>
        </w:rPr>
        <w:t xml:space="preserve">IGF1R</w:t>
      </w:r>
      <w:r>
        <w:t xml:space="preserve"> </w:t>
      </w:r>
      <w:r>
        <w:t xml:space="preserve">was not significantly differentially expressed in orbital tissue. Importantly, the absence of expression colocalization is not evidence against the biological or therapeutic relevance of IGF-1R: colocalization tests one hypothesis — that a single shared causal variant links</w:t>
      </w:r>
      <w:r>
        <w:t xml:space="preserve"> </w:t>
      </w:r>
      <w:r>
        <w:rPr>
          <w:iCs/>
          <w:i/>
        </w:rPr>
        <w:t xml:space="preserve">cis</w:t>
      </w:r>
      <w:r>
        <w:t xml:space="preserve">-regulated expression to disease liability — and a gene can be a mechanistically important effector without satisfying it, particularly where its relevance is mediated through receptor signaling rather than germline expression-level regulation. We therefore read the</w:t>
      </w:r>
      <w:r>
        <w:t xml:space="preserve"> </w:t>
      </w:r>
      <w:r>
        <w:rPr>
          <w:iCs/>
          <w:i/>
        </w:rPr>
        <w:t xml:space="preserve">IGF1R</w:t>
      </w:r>
      <w:r>
        <w:t xml:space="preserve"> </w:t>
      </w:r>
      <w:r>
        <w:t xml:space="preserve">profile as more compatible with pharmacologic effector biology than with a primary expression-colocalized susceptibility anchor, an interpretation these data support indirectly rather than establish. This interpretation is compatible with the clinical efficacy of teprotumumab [3], which targets IGF-1R signaling: an effective therapeutic target need not be a primary genetic determinant of disease. The therapeutic rationale for IGF-1R blockade can be understood in relation to physical and functional crosstalk with TSHR in orbital fibroblasts [4, 5], without requiring</w:t>
      </w:r>
      <w:r>
        <w:t xml:space="preserve"> </w:t>
      </w:r>
      <w:r>
        <w:rPr>
          <w:iCs/>
          <w:i/>
        </w:rPr>
        <w:t xml:space="preserve">IGF1R</w:t>
      </w:r>
      <w:r>
        <w:t xml:space="preserve"> </w:t>
      </w:r>
      <w:r>
        <w:t xml:space="preserve">to be an independent germline susceptibility locus.</w:t>
      </w:r>
    </w:p>
    <w:p>
      <w:pPr>
        <w:pStyle w:val="BodyText"/>
      </w:pPr>
      <w:r>
        <w:t xml:space="preserve">The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illustrates a broader principle: genetic susceptibility loci and pharmacologic targets are overlapping but not identical categories, consistent with the observation that human genetic support for a target increases the likelihood of success in drug development even though not every effective target is a primary susceptibility locus [26]. That principle is already established; this study contributes a worked demonstration within a single disease area, resolving the anchor and the candidate effector side by side under the same outcome hierarchy, analytic framework, and filters. Our findings do not test whether targeting an upstream anchor would offer clinical advantages over established effector-directed therapy.</w:t>
      </w:r>
    </w:p>
    <w:p>
      <w:pPr>
        <w:pStyle w:val="BodyText"/>
      </w:pPr>
      <w:r>
        <w:t xml:space="preserve">A systematic screen of 2,544 MR-testable druggable genes advanced no novel candidate satisfying the dual-phenotype colocalization criterion, and we regard this as an informative result rather than a negative one. Several candidates were significant in the discovery outcome alone; for example,</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Graves disease signal but failed to show shared-variant colocalization in the TED-enriched outcome, while the chromosome 16p11.2 candidates showed only weak or ambiguous colocalization within a narrow linkage-disequilibrium window. Requiring cross-outcome support and colocalization-based filtering guarded against the overinterpretation of single-outcome or LD-driven signals that can arise in large druggable-gene screens. This conservative outcome is compatible with the currently available genetic evidence, in which strong autoimmune and thyroid-specific loci are more consistently recovered than novel druggable candidates [9, 10]; it does not exclude additional contributors of smaller effect that larger TED-specific GWAS may eventually reveal.</w:t>
      </w:r>
    </w:p>
    <w:p>
      <w:pPr>
        <w:pStyle w:val="BodyText"/>
      </w:pPr>
      <w:r>
        <w:t xml:space="preserve">Several methodological features support the robustness of these conclusions: the outcome hierarchy was prespecified, so interpretation rested on cross-outcome consistency rather than any single dataset; prioritization required both direction-consistent cross-outcome association and Bayesian colocalization [8] before a non-known signal was advanced as robust; the positive-control locus</w:t>
      </w:r>
      <w:r>
        <w:t xml:space="preserve"> </w:t>
      </w:r>
      <w:r>
        <w:rPr>
          <w:iCs/>
          <w:i/>
        </w:rPr>
        <w:t xml:space="preserve">CTLA4</w:t>
      </w:r>
      <w:r>
        <w:t xml:space="preserve"> </w:t>
      </w:r>
      <w:r>
        <w:t xml:space="preserve">[24] was recovered as a strong direction-consistent signal, indicating sensitivity to known autoimmune biology; and</w:t>
      </w:r>
      <w:r>
        <w:t xml:space="preserve"> </w:t>
      </w:r>
      <w:r>
        <w:rPr>
          <w:iCs/>
          <w:i/>
        </w:rPr>
        <w:t xml:space="preserve">TSHR</w:t>
      </w:r>
      <w:r>
        <w:t xml:space="preserve"> </w:t>
      </w:r>
      <w:r>
        <w:t xml:space="preserve">instrument selection was tested across a grid of LD-clumping thresholds rather than accepted at face value, with rs179252 retained as the single independent instrument under every threshold.</w:t>
      </w:r>
    </w:p>
    <w:p>
      <w:pPr>
        <w:pStyle w:val="BodyText"/>
      </w:pPr>
      <w:r>
        <w:t xml:space="preserve">This study has several limitations. First, the instruments were blood</w:t>
      </w:r>
      <w:r>
        <w:t xml:space="preserve"> </w:t>
      </w:r>
      <w:r>
        <w:rPr>
          <w:iCs/>
          <w:i/>
        </w:rPr>
        <w:t xml:space="preserve">cis</w:t>
      </w:r>
      <w:r>
        <w:t xml:space="preserve">-eQTLs [12], which capture blood</w:t>
      </w:r>
      <w:r>
        <w:t xml:space="preserve"> </w:t>
      </w:r>
      <w:r>
        <w:rPr>
          <w:iCs/>
          <w:i/>
        </w:rPr>
        <w:t xml:space="preserve">cis</w:t>
      </w:r>
      <w:r>
        <w:t xml:space="preserve">-regulatory variation rather than local expression in orbital or thyroid tissue, and genetic regulatory effects differ substantially across tissues [25]. Second, the eQTL data were predominantly European whereas the discovery outcome was East Asian [13]; concordant effects provide a form of cross-ancestry assessment, but allele-frequency and linkage-disequilibrium differences may attenuate or bias instrument performance. Exposure effect sizes were reconstructed using 1000 Genomes European allele frequencies rather than the file distributed by eQTLGen itself; because that reconstruction enters β and its standard error, the reported effect magnitudes and detectable effect range are approximations, although each estimate’s direction and significance are set by the Z-score and are unaffected. Third, the UKB replication phenotype was broader than Graves disease and may include heterogeneous causes of hyperthyroidism. Fourth, the</w:t>
      </w:r>
      <w:r>
        <w:t xml:space="preserve"> </w:t>
      </w:r>
      <w:r>
        <w:rPr>
          <w:iCs/>
          <w:i/>
        </w:rPr>
        <w:t xml:space="preserve">TSHR</w:t>
      </w:r>
      <w:r>
        <w:t xml:space="preserve"> </w:t>
      </w:r>
      <w:r>
        <w:t xml:space="preserve">signal rested on a single instrument. Selection used the European panel, matching the predominantly European eQTL data; an ancestry-matched East Asian panel yields two independent variants at the same threshold (Table S3), so the single-instrument treatment follows from the reference panel rather than from the locus in every ancestry. Single-instrument analyses also preclude pleiotropy diagnostics such as the MR-Egger intercept, and colocalization cannot exclude that the shared variant acts through a neighbouring gene rather than through</w:t>
      </w:r>
      <w:r>
        <w:t xml:space="preserve"> </w:t>
      </w:r>
      <w:r>
        <w:rPr>
          <w:iCs/>
          <w:i/>
        </w:rPr>
        <w:t xml:space="preserve">TSHR</w:t>
      </w:r>
      <w:r>
        <w:t xml:space="preserve"> </w:t>
      </w:r>
      <w:r>
        <w:t xml:space="preserve">expression. Fifth, the TED-enriched outcome was the smallest (858 cases), limiting power for colocalization and restricting the detectable effect range (Table S8); the eQTL-only posterior pattern seen for candidate loci in that outcome is therefore consistent with insufficient power to detect an outcome association and should not be read as positive evidence for distinct causal architecture. Sixth, and more fundamentally, that outcome ascertains Graves ophthalmopathy cases among individuals with Graves disease and compares them with population controls, so its associations substantially reflect shared Graves disease susceptibility rather than liability specific to orbital involvement; consistency of the</w:t>
      </w:r>
      <w:r>
        <w:t xml:space="preserve"> </w:t>
      </w:r>
      <w:r>
        <w:rPr>
          <w:iCs/>
          <w:i/>
        </w:rPr>
        <w:t xml:space="preserve">TSHR</w:t>
      </w:r>
      <w:r>
        <w:t xml:space="preserve"> </w:t>
      </w:r>
      <w:r>
        <w:t xml:space="preserve">estimate there should be read as reproducibility of the underlying Graves disease signal, not as evidence of a TED-specific causal effect. Separating the two would require a within-Graves contrast of patients with and without orbitopathy, which available GWAS do not provide at adequate power. Seventh, coloc.abf was applied under the single-causal-variant assumption without a multi-causal-variant extension, and no formal colocalization power analysis was performed. Posteriors were also sensitive to the prior: at p12 = 10⁻⁶ the</w:t>
      </w:r>
      <w:r>
        <w:t xml:space="preserve"> </w:t>
      </w:r>
      <w:r>
        <w:rPr>
          <w:iCs/>
          <w:i/>
        </w:rPr>
        <w:t xml:space="preserve">TSHR</w:t>
      </w:r>
      <w:r>
        <w:t xml:space="preserve"> </w:t>
      </w:r>
      <w:r>
        <w:t xml:space="preserve">discovery posterior fell to 0.661 and the</w:t>
      </w:r>
      <w:r>
        <w:t xml:space="preserve"> </w:t>
      </w:r>
      <w:r>
        <w:rPr>
          <w:iCs/>
          <w:i/>
        </w:rPr>
        <w:t xml:space="preserve">CTLA4</w:t>
      </w:r>
      <w:r>
        <w:t xml:space="preserve"> </w:t>
      </w:r>
      <w:r>
        <w:t xml:space="preserve">replication posterior to 0.672, both</w:t>
      </w:r>
      <w:r>
        <w:t xml:space="preserve"> </w:t>
      </w:r>
      <w:r>
        <w:rPr>
          <w:bCs/>
          <w:b/>
        </w:rPr>
        <w:t xml:space="preserve">below</w:t>
      </w:r>
      <w:r>
        <w:t xml:space="preserve"> </w:t>
      </w:r>
      <w:r>
        <w:t xml:space="preserve">the conventional 0.80 threshold, whereas the TED-enriched</w:t>
      </w:r>
      <w:r>
        <w:t xml:space="preserve"> </w:t>
      </w:r>
      <w:r>
        <w:rPr>
          <w:iCs/>
          <w:i/>
        </w:rPr>
        <w:t xml:space="preserve">TSHR</w:t>
      </w:r>
      <w:r>
        <w:t xml:space="preserve"> </w:t>
      </w:r>
      <w:r>
        <w:t xml:space="preserve">posterior remained above it (0.875). Full sensitivity results are given in Table S9. Eighth, the framework included a single positive control, and its behaviour was ancestry-dependent:</w:t>
      </w:r>
      <w:r>
        <w:t xml:space="preserve"> </w:t>
      </w:r>
      <w:r>
        <w:rPr>
          <w:iCs/>
          <w:i/>
        </w:rPr>
        <w:t xml:space="preserve">CTLA4</w:t>
      </w:r>
      <w:r>
        <w:t xml:space="preserve"> </w:t>
      </w:r>
      <w:r>
        <w:t xml:space="preserve">colocalized in both European outcomes (PP.H4 = 0.953 and 0.978) but not in the East Asian discovery arm (PP.H3 = 0.80). The sensitivity of the combined MR-plus-colocalization filter is therefore demonstrated but not fully characterized by one control locus. Finally, the in-house orbital dataset comprises four TED samples and a single control. It cannot support differential-expression inference, was not externally replicated, and is reported as a descriptive observation only; no conclusion depends on it. These constraints should be weighed when interpreting individual estimates, but the central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rests on MR and colocalization across three outcomes.</w:t>
      </w:r>
    </w:p>
    <w:p>
      <w:pPr>
        <w:pStyle w:val="BodyText"/>
      </w:pPr>
      <w:r>
        <w:t xml:space="preserve">In this druggable-gene-wide Mendelian randomization and colocalization framework,</w:t>
      </w:r>
      <w:r>
        <w:t xml:space="preserve"> </w:t>
      </w:r>
      <w:r>
        <w:rPr>
          <w:iCs/>
          <w:i/>
        </w:rPr>
        <w:t xml:space="preserve">TSHR</w:t>
      </w:r>
      <w:r>
        <w:t xml:space="preserve"> </w:t>
      </w:r>
      <w:r>
        <w:t xml:space="preserve">emerged as an expression-colocalized susceptibility anchor for GD — supported by consistent cross-outcome genetic effects and shared-variant colocalization at rs179252 — with its signal also recovered in a TED-enriched Graves ophthalmopathy outcome.</w:t>
      </w:r>
      <w:r>
        <w:t xml:space="preserve"> </w:t>
      </w:r>
      <w:r>
        <w:rPr>
          <w:iCs/>
          <w:i/>
        </w:rPr>
        <w:t xml:space="preserve">IGF1R</w:t>
      </w:r>
      <w:r>
        <w:t xml:space="preserve"> </w:t>
      </w:r>
      <w:r>
        <w:t xml:space="preserve">showed directionally consistent risk-direction estimates, nominally significant in BBJ and UKB but not FinnGen, without evidence of expression colocalization or a significant orbital tissue association. This profile is more compatible with pharmacologic effector biology than with the</w:t>
      </w:r>
      <w:r>
        <w:t xml:space="preserve"> </w:t>
      </w:r>
      <w:r>
        <w:rPr>
          <w:iCs/>
          <w:i/>
        </w:rPr>
        <w:t xml:space="preserve">TSHR</w:t>
      </w:r>
      <w:r>
        <w:t xml:space="preserve">-like expression-colocalized susceptibility architecture, although it does not establish</w:t>
      </w:r>
      <w:r>
        <w:t xml:space="preserve"> </w:t>
      </w:r>
      <w:r>
        <w:rPr>
          <w:iCs/>
          <w:i/>
        </w:rPr>
        <w:t xml:space="preserve">IGF1R</w:t>
      </w:r>
      <w:r>
        <w:t xml:space="preserve"> </w:t>
      </w:r>
      <w:r>
        <w:t xml:space="preserve">as an effector axis or exclude a modest genetic contribution. No novel druggable candidate satisfied the dual-phenotype colocalization criterion. Distinguishing susceptibility anchoring from effector biology may help interpret existing therapies and guide the genetic prioritization of future targets in GD and TED.</w:t>
      </w:r>
    </w:p>
    <w:p>
      <w:r>
        <w:pict>
          <v:rect style="width:0;height:1.5pt" o:hralign="center" o:hrstd="t" o:hr="t"/>
        </w:pict>
      </w:r>
    </w:p>
    <w:bookmarkEnd w:id="36"/>
    <w:bookmarkStart w:id="37"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 of interest.</w:t>
      </w:r>
    </w:p>
    <w:p>
      <w:pPr>
        <w:pStyle w:val="BodyText"/>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rPr>
        <w:t xml:space="preserve">Informed consent.</w:t>
      </w:r>
      <w:r>
        <w:t xml:space="preserve"> </w:t>
      </w:r>
      <w:r>
        <w:t xml:space="preserve">Written informed consent was obtained from all individual participants included in the in-house orbital tissue study.</w:t>
      </w:r>
    </w:p>
    <w:p>
      <w:pPr>
        <w:pStyle w:val="BodyText"/>
      </w:pPr>
      <w:r>
        <w:rPr>
          <w:bCs/>
          <w:b/>
        </w:rPr>
        <w:t xml:space="preserve">Data availability.</w:t>
      </w:r>
      <w:r>
        <w:t xml:space="preserve"> </w:t>
      </w:r>
      <w:r>
        <w:t xml:space="preserve">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 All authors read and approved the final manuscript.</w:t>
      </w:r>
    </w:p>
    <w:p>
      <w:pPr>
        <w:pStyle w:val="BodyText"/>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p>
      <w:r>
        <w:pict>
          <v:rect style="width:0;height:1.5pt" o:hralign="center" o:hrstd="t" o:hr="t"/>
        </w:pict>
      </w:r>
    </w:p>
    <w:bookmarkEnd w:id="37"/>
    <w:bookmarkStart w:id="38" w:name="references"/>
    <w:p>
      <w:pPr>
        <w:pStyle w:val="Heading2"/>
      </w:pPr>
      <w:r>
        <w:t xml:space="preserve">References</w:t>
      </w:r>
    </w:p>
    <w:p>
      <w:pPr>
        <w:numPr>
          <w:ilvl w:val="0"/>
          <w:numId w:val="1001"/>
        </w:numPr>
        <w:pStyle w:val="Compact"/>
      </w:pPr>
      <w:r>
        <w:t xml:space="preserve">Bahn RS (2010) Graves’ ophthalmopathy. N Engl J Med 362:726–738</w:t>
      </w:r>
    </w:p>
    <w:p>
      <w:pPr>
        <w:numPr>
          <w:ilvl w:val="0"/>
          <w:numId w:val="1001"/>
        </w:numPr>
        <w:pStyle w:val="Compact"/>
      </w:pPr>
      <w:r>
        <w:t xml:space="preserve">Smith TJ, Hegedüs L (2016) Graves’ disease. N Engl J Med 375:1552–1565</w:t>
      </w:r>
    </w:p>
    <w:p>
      <w:pPr>
        <w:numPr>
          <w:ilvl w:val="0"/>
          <w:numId w:val="1001"/>
        </w:numPr>
        <w:pStyle w:val="Compact"/>
      </w:pPr>
      <w:r>
        <w:t xml:space="preserve">Douglas RS, Kahaly GJ, Patel A, et al (2020) Teprotumumab for the treatment of active thyroid eye disease. N Engl J Med 382:341–352</w:t>
      </w:r>
    </w:p>
    <w:p>
      <w:pPr>
        <w:numPr>
          <w:ilvl w:val="0"/>
          <w:numId w:val="1001"/>
        </w:numPr>
        <w:pStyle w:val="Compact"/>
      </w:pPr>
      <w:r>
        <w:t xml:space="preserve">Smith TJ (2019) The insulin-like growth factor-I receptor and its role in thyroid-associated ophthalmopathy. Eye (Lond) 33:200–205</w:t>
      </w:r>
    </w:p>
    <w:p>
      <w:pPr>
        <w:numPr>
          <w:ilvl w:val="0"/>
          <w:numId w:val="1001"/>
        </w:numPr>
        <w:pStyle w:val="Compact"/>
      </w:pPr>
      <w:r>
        <w:t xml:space="preserve">Krieger CC, Boutin A, Jang D, et al (2019) Arrestin-β-1 physically scaffolds TSH and IGF1 receptors to enable crosstalk. Endocrinology 160:1468–1479</w:t>
      </w:r>
    </w:p>
    <w:p>
      <w:pPr>
        <w:numPr>
          <w:ilvl w:val="0"/>
          <w:numId w:val="1001"/>
        </w:numPr>
        <w:pStyle w:val="Compact"/>
      </w:pPr>
      <w:r>
        <w:t xml:space="preserve">Smith TJ (2019) Potential roles of CD34+ fibrocytes masquerading as orbital fibroblasts in thyroid-associated ophthalmopathy. J Clin Endocrinol Metab 104:581–594</w:t>
      </w:r>
    </w:p>
    <w:p>
      <w:pPr>
        <w:numPr>
          <w:ilvl w:val="0"/>
          <w:numId w:val="1001"/>
        </w:numPr>
        <w:pStyle w:val="Compact"/>
      </w:pPr>
      <w:r>
        <w:t xml:space="preserve">Sanderson E, Glymour MM, Holmes MV, et al (2022) Mendelian randomization. Nat Rev Methods Primers 2:6</w:t>
      </w:r>
    </w:p>
    <w:p>
      <w:pPr>
        <w:numPr>
          <w:ilvl w:val="0"/>
          <w:numId w:val="1001"/>
        </w:numPr>
        <w:pStyle w:val="Compact"/>
      </w:pPr>
      <w:r>
        <w:t xml:space="preserve">Giambartolomei C, Vukcevic D, Schadt EE, et al (2014) Bayesian test for colocalisation between pairs of genetic association studies using summary statistics. PLoS Genet 10:e1004383</w:t>
      </w:r>
    </w:p>
    <w:p>
      <w:pPr>
        <w:numPr>
          <w:ilvl w:val="0"/>
          <w:numId w:val="1001"/>
        </w:numPr>
        <w:pStyle w:val="Compact"/>
      </w:pPr>
      <w:r>
        <w:t xml:space="preserve">Ji Q, Xu H, Chen H, et al (2025) Pathogenic genes associated with immune-related genes in Graves’ disease: a multi-omics Mendelian randomization analysis. Sci Rep 15:37875</w:t>
      </w:r>
    </w:p>
    <w:p>
      <w:pPr>
        <w:numPr>
          <w:ilvl w:val="0"/>
          <w:numId w:val="1001"/>
        </w:numPr>
        <w:pStyle w:val="Compact"/>
      </w:pPr>
      <w:r>
        <w:t xml:space="preserve">Li Y, Chen L, Lin S, et al (2025) Inflammatory proteins mediate the effect of gut microbiota on Graves’ ophthalmopathy: a Mendelian randomization study. Transl Vis Sci Technol 14:34</w:t>
      </w:r>
    </w:p>
    <w:p>
      <w:pPr>
        <w:numPr>
          <w:ilvl w:val="0"/>
          <w:numId w:val="1001"/>
        </w:numPr>
        <w:pStyle w:val="Compact"/>
      </w:pPr>
      <w:r>
        <w:t xml:space="preserve">Skrivankova VW, Richmond RC, Woolf BAR, et al (2021) Strengthening the reporting of observational studies in epidemiology using Mendelian randomization: the STROBE-MR statement. JAMA 326:1614–1621</w:t>
      </w:r>
    </w:p>
    <w:p>
      <w:pPr>
        <w:numPr>
          <w:ilvl w:val="0"/>
          <w:numId w:val="1001"/>
        </w:numPr>
        <w:pStyle w:val="Compact"/>
      </w:pPr>
      <w:r>
        <w:t xml:space="preserve">Võsa U, Claringbould A, Westra HJ, et al (2021) Large-scale cis- and trans-eQTL analyses identify thousands of genetic loci and polygenic scores that regulate blood gene expression. Nat Genet 53:1300–1310</w:t>
      </w:r>
    </w:p>
    <w:p>
      <w:pPr>
        <w:numPr>
          <w:ilvl w:val="0"/>
          <w:numId w:val="1001"/>
        </w:numPr>
        <w:pStyle w:val="Compact"/>
      </w:pPr>
      <w:r>
        <w:t xml:space="preserve">Sakaue S, Kanai M, Tanigawa Y, et al (2021) A cross-population atlas of genetic associations for 220 human phenotypes. Nat Genet 53:1415–1424</w:t>
      </w:r>
    </w:p>
    <w:p>
      <w:pPr>
        <w:numPr>
          <w:ilvl w:val="0"/>
          <w:numId w:val="1001"/>
        </w:numPr>
        <w:pStyle w:val="Compact"/>
      </w:pPr>
      <w:r>
        <w:t xml:space="preserve">Dönertaş HM, Fabian DK, Valenzuela MF, et al (2021) Common genetic associations between age-related diseases. Nat Aging 1:400–412</w:t>
      </w:r>
    </w:p>
    <w:p>
      <w:pPr>
        <w:numPr>
          <w:ilvl w:val="0"/>
          <w:numId w:val="1001"/>
        </w:numPr>
        <w:pStyle w:val="Compact"/>
      </w:pPr>
      <w:r>
        <w:t xml:space="preserve">Kurki MI, Karjalainen J, Palta P, et al (2023) FinnGen provides genetic insights from a well-phenotyped isolated population. Nature 613:508–518</w:t>
      </w:r>
    </w:p>
    <w:p>
      <w:pPr>
        <w:numPr>
          <w:ilvl w:val="0"/>
          <w:numId w:val="1001"/>
        </w:numPr>
        <w:pStyle w:val="Compact"/>
      </w:pPr>
      <w:r>
        <w:t xml:space="preserve">Finan C, Gaulton A, Kruger FA, et al (2017) The druggable genome and support for target identification and validation in drug development. Sci Transl Med 9:eaag1166</w:t>
      </w:r>
    </w:p>
    <w:p>
      <w:pPr>
        <w:numPr>
          <w:ilvl w:val="0"/>
          <w:numId w:val="1001"/>
        </w:numPr>
        <w:pStyle w:val="Compact"/>
      </w:pPr>
      <w:r>
        <w:t xml:space="preserve">Wood AR, Perry JRB, Tanaka T, et al (2013) Imputation of variants from the 1000 Genomes Project modestly improves known associations and can identify low-frequency variant-phenotype associations undetected by direct genotyping. PLoS One 8:e64343</w:t>
      </w:r>
    </w:p>
    <w:p>
      <w:pPr>
        <w:numPr>
          <w:ilvl w:val="0"/>
          <w:numId w:val="1001"/>
        </w:numPr>
        <w:pStyle w:val="Compact"/>
      </w:pPr>
      <w:r>
        <w:t xml:space="preserve">Chang CC, Chow CC, Tellier LC, et al (2015) Second-generation PLINK: rising to the challenge of larger and richer datasets. Gigascience 4:7</w:t>
      </w:r>
    </w:p>
    <w:p>
      <w:pPr>
        <w:numPr>
          <w:ilvl w:val="0"/>
          <w:numId w:val="1001"/>
        </w:numPr>
        <w:pStyle w:val="Compact"/>
      </w:pPr>
      <w:r>
        <w:t xml:space="preserve">Hemani G, Zheng J, Elsworth B, et al (2018) The MR-Base platform supports systematic causal inference across the human phenome. eLife 7:e34408</w:t>
      </w:r>
    </w:p>
    <w:p>
      <w:pPr>
        <w:numPr>
          <w:ilvl w:val="0"/>
          <w:numId w:val="1001"/>
        </w:numPr>
        <w:pStyle w:val="Compact"/>
      </w:pPr>
      <w:r>
        <w:t xml:space="preserve">Bowden J, Davey Smith G, Burgess S (2015) Mendelian randomization with invalid instruments: effect estimation and bias detection through Egger regression. Int J Epidemiol 44:512–525</w:t>
      </w:r>
    </w:p>
    <w:p>
      <w:pPr>
        <w:numPr>
          <w:ilvl w:val="0"/>
          <w:numId w:val="1001"/>
        </w:numPr>
        <w:pStyle w:val="Compact"/>
      </w:pPr>
      <w:r>
        <w:t xml:space="preserve">Bowden J, Davey Smith G, Haycock PC, Burgess S (2016) Consistent estimation in Mendelian randomization with some invalid instruments using a weighted median estimator. Genet Epidemiol 40:304–314</w:t>
      </w:r>
    </w:p>
    <w:p>
      <w:pPr>
        <w:numPr>
          <w:ilvl w:val="0"/>
          <w:numId w:val="1001"/>
        </w:numPr>
        <w:pStyle w:val="Compact"/>
      </w:pPr>
      <w:r>
        <w:t xml:space="preserve">Hemani G, Tilling K, Davey Smith G (2017) Orienting the causal relationship between imprecisely measured traits using GWAS summary data. PLoS Genet 13:e1007081</w:t>
      </w:r>
    </w:p>
    <w:p>
      <w:pPr>
        <w:numPr>
          <w:ilvl w:val="0"/>
          <w:numId w:val="1001"/>
        </w:numPr>
        <w:pStyle w:val="Compact"/>
      </w:pPr>
      <w:r>
        <w:t xml:space="preserve">Wallace C (2020) Eliciting priors and relaxing the single causal variant assumption in colocalisation analyses. PLoS Genet 16:e1008720</w:t>
      </w:r>
    </w:p>
    <w:p>
      <w:pPr>
        <w:numPr>
          <w:ilvl w:val="0"/>
          <w:numId w:val="1001"/>
        </w:numPr>
        <w:pStyle w:val="Compact"/>
      </w:pPr>
      <w:r>
        <w:t xml:space="preserve">Ueda H, Howson JMM, Esposito L, et al (2003) Association of the T-cell regulatory gene CTLA4 with susceptibility to autoimmune disease. Nature 423:506–511</w:t>
      </w:r>
    </w:p>
    <w:p>
      <w:pPr>
        <w:numPr>
          <w:ilvl w:val="0"/>
          <w:numId w:val="1001"/>
        </w:numPr>
        <w:pStyle w:val="Compact"/>
      </w:pPr>
      <w:r>
        <w:t xml:space="preserve">GTEx Consortium (2020) The GTEx Consortium atlas of genetic regulatory effects across human tissues. Science 369:1318–1330</w:t>
      </w:r>
    </w:p>
    <w:p>
      <w:pPr>
        <w:numPr>
          <w:ilvl w:val="0"/>
          <w:numId w:val="1001"/>
        </w:numPr>
        <w:pStyle w:val="Compact"/>
      </w:pPr>
      <w:r>
        <w:t xml:space="preserve">Nelson MR, Tipney H, Painter JL, et al (2015) The support of human genetic evidence for approved drug indications. Nat Genet 47:856–86027. Nelson MR, Tipney H, Painter JL, et al (2015) The support of human genetic evidence for approved drug indications. Nat Genet 47:856–860</w:t>
      </w:r>
    </w:p>
    <w:p>
      <w:r>
        <w:pict>
          <v:rect style="width:0;height:1.5pt" o:hralign="center" o:hrstd="t" o:hr="t"/>
        </w:pict>
      </w:r>
    </w:p>
    <w:bookmarkEnd w:id="38"/>
    <w:bookmarkStart w:id="39" w:name="figure-legends"/>
    <w:p>
      <w:pPr>
        <w:pStyle w:val="Heading2"/>
      </w:pPr>
      <w:r>
        <w:t xml:space="preserve">Figure Legends</w:t>
      </w:r>
    </w:p>
    <w:p>
      <w:pPr>
        <w:pStyle w:val="FirstParagraph"/>
      </w:pPr>
      <w:r>
        <w:rPr>
          <w:bCs/>
          <w:b/>
        </w:rPr>
        <w:t xml:space="preserve">Figure 1. What survives the screen, and where</w:t>
      </w:r>
      <w:r>
        <w:rPr>
          <w:bCs/>
          <w:b/>
        </w:rPr>
        <w:t xml:space="preserve"> </w:t>
      </w:r>
      <w:r>
        <w:rPr>
          <w:iCs/>
          <w:i/>
          <w:bCs/>
          <w:b/>
        </w:rPr>
        <w:t xml:space="preserve">TSHR</w:t>
      </w:r>
      <w:r>
        <w:rPr>
          <w:bCs/>
          <w:b/>
        </w:rPr>
        <w:t xml:space="preserve"> </w:t>
      </w:r>
      <w:r>
        <w:rPr>
          <w:bCs/>
          <w:b/>
        </w:rPr>
        <w:t xml:space="preserve">and</w:t>
      </w:r>
      <w:r>
        <w:rPr>
          <w:bCs/>
          <w:b/>
        </w:rPr>
        <w:t xml:space="preserve"> </w:t>
      </w:r>
      <w:r>
        <w:rPr>
          <w:iCs/>
          <w:i/>
          <w:bCs/>
          <w:b/>
        </w:rPr>
        <w:t xml:space="preserve">IGF1R</w:t>
      </w:r>
      <w:r>
        <w:rPr>
          <w:bCs/>
          <w:b/>
        </w:rPr>
        <w:t xml:space="preserve"> </w:t>
      </w:r>
      <w:r>
        <w:rPr>
          <w:bCs/>
          <w:b/>
        </w:rPr>
        <w:t xml:space="preserve">diverge.</w:t>
      </w:r>
      <w:r>
        <w:t xml:space="preserve"> </w:t>
      </w:r>
      <w:r>
        <w:rPr>
          <w:bCs/>
          <w:b/>
        </w:rPr>
        <w:t xml:space="preserve">(A)</w:t>
      </w:r>
      <w:r>
        <w:t xml:space="preserve"> </w:t>
      </w:r>
      <w:r>
        <w:t xml:space="preserve">Attrition through the druggable-gene-wide screen, labelled by the reason genes were removed. Of 4,462 druggable genes [16], 2,544 carried a valid eQTLGen</w:t>
      </w:r>
      <w:r>
        <w:t xml:space="preserve"> </w:t>
      </w:r>
      <w:r>
        <w:rPr>
          <w:iCs/>
          <w:i/>
        </w:rPr>
        <w:t xml:space="preserve">cis</w:t>
      </w:r>
      <w:r>
        <w:t xml:space="preserve"> </w:t>
      </w:r>
      <w:r>
        <w:t xml:space="preserve">instrument (6,135 instruments) and 2,234 yielded an estimable effect against the BBJ Graves disease discovery outcome; 13 reached the study-wide Bonferroni threshold (</w:t>
      </w:r>
      <w:r>
        <w:rPr>
          <w:iCs/>
          <w:i/>
        </w:rPr>
        <w:t xml:space="preserve">P</w:t>
      </w:r>
      <w:r>
        <w:t xml:space="preserve"> </w:t>
      </w:r>
      <w:r>
        <w:t xml:space="preserve">&lt; 1.965×10⁻⁵). Resolving those 13 (right) leaves no qualifying novel candidate: five are MHC-region signals, three fall in a single chromosome 16p11.2 linkage-disequilibrium block rather than representing three independent associations, two colocalized with the discovery outcome only (</w:t>
      </w:r>
      <w:r>
        <w:rPr>
          <w:iCs/>
          <w:i/>
        </w:rPr>
        <w:t xml:space="preserve">TNFSF14</w:t>
      </w:r>
      <w:r>
        <w:t xml:space="preserve"> </w:t>
      </w:r>
      <w:r>
        <w:t xml:space="preserve">and</w:t>
      </w:r>
      <w:r>
        <w:t xml:space="preserve"> </w:t>
      </w:r>
      <w:r>
        <w:rPr>
          <w:iCs/>
          <w:i/>
        </w:rPr>
        <w:t xml:space="preserve">IFNGR1</w:t>
      </w:r>
      <w:r>
        <w:t xml:space="preserve">, PP.H4 0.994 and 0.989, with no shared-variant colocalization in either secondary outcome), one reflects a distinct causal variant (</w:t>
      </w:r>
      <w:r>
        <w:rPr>
          <w:iCs/>
          <w:i/>
        </w:rPr>
        <w:t xml:space="preserve">MAPKAPK5</w:t>
      </w:r>
      <w:r>
        <w:t xml:space="preserve">), and two are established loci retained as the susceptibility anchor (</w:t>
      </w:r>
      <w:r>
        <w:rPr>
          <w:iCs/>
          <w:i/>
        </w:rPr>
        <w:t xml:space="preserve">TSHR</w:t>
      </w:r>
      <w:r>
        <w:t xml:space="preserve">) and the positive control (</w:t>
      </w:r>
      <w:r>
        <w:rPr>
          <w:iCs/>
          <w:i/>
        </w:rPr>
        <w:t xml:space="preserve">CTLA4</w:t>
      </w:r>
      <w:r>
        <w:t xml:space="preserve">). The screen was powered at 80% to detect a median odds ratio of 2.55 (Table S8), so this null constrains additional large expression-mediated effects, particularly among well-powered genes, but does not exclude moderate effects.</w:t>
      </w:r>
      <w:r>
        <w:t xml:space="preserve"> </w:t>
      </w:r>
      <w:r>
        <w:rPr>
          <w:bCs/>
          <w:b/>
        </w:rPr>
        <w:t xml:space="preserve">(B)</w:t>
      </w:r>
      <w:r>
        <w:t xml:space="preserve"> </w:t>
      </w:r>
      <w:r>
        <w:t xml:space="preserve">The same two evidence layers were applied to</w:t>
      </w:r>
      <w:r>
        <w:t xml:space="preserve"> </w:t>
      </w:r>
      <w:r>
        <w:rPr>
          <w:iCs/>
          <w:i/>
        </w:rPr>
        <w:t xml:space="preserve">TSHR</w:t>
      </w:r>
      <w:r>
        <w:t xml:space="preserve"> </w:t>
      </w:r>
      <w:r>
        <w:t xml:space="preserve">and</w:t>
      </w:r>
      <w:r>
        <w:t xml:space="preserve"> </w:t>
      </w:r>
      <w:r>
        <w:rPr>
          <w:iCs/>
          <w:i/>
        </w:rPr>
        <w:t xml:space="preserve">IGF1R</w:t>
      </w:r>
      <w:r>
        <w:t xml:space="preserve"> </w:t>
      </w:r>
      <w:r>
        <w:t xml:space="preserve">using the same outcome hierarchy and analytic framework, with gene-specific</w:t>
      </w:r>
      <w:r>
        <w:t xml:space="preserve"> </w:t>
      </w:r>
      <w:r>
        <w:rPr>
          <w:iCs/>
          <w:i/>
        </w:rPr>
        <w:t xml:space="preserve">cis</w:t>
      </w:r>
      <w:r>
        <w:t xml:space="preserve">-eQTL instruments.</w:t>
      </w:r>
      <w:r>
        <w:t xml:space="preserve"> </w:t>
      </w:r>
      <w:r>
        <w:rPr>
          <w:iCs/>
          <w:i/>
        </w:rPr>
        <w:t xml:space="preserve">TSHR</w:t>
      </w:r>
      <w:r>
        <w:t xml:space="preserve"> </w:t>
      </w:r>
      <w:r>
        <w:t xml:space="preserve">satisfies both in the two Graves disease phenotypes;</w:t>
      </w:r>
      <w:r>
        <w:t xml:space="preserve"> </w:t>
      </w:r>
      <w:r>
        <w:rPr>
          <w:iCs/>
          <w:i/>
        </w:rPr>
        <w:t xml:space="preserve">IGF1R</w:t>
      </w:r>
      <w:r>
        <w:t xml:space="preserve"> </w:t>
      </w:r>
      <w:r>
        <w:t xml:space="preserve">shows a nominal genetic association in discovery (β = +0.45,</w:t>
      </w:r>
      <w:r>
        <w:t xml:space="preserve"> </w:t>
      </w:r>
      <w:r>
        <w:rPr>
          <w:iCs/>
          <w:i/>
        </w:rPr>
        <w:t xml:space="preserve">P</w:t>
      </w:r>
      <w:r>
        <w:t xml:space="preserve"> </w:t>
      </w:r>
      <w:r>
        <w:t xml:space="preserve">= 0.021) but no shared-variant colocalization in any outcome, with a</w:t>
      </w:r>
      <w:r>
        <w:t xml:space="preserve"> </w:t>
      </w:r>
      <w:r>
        <w:rPr>
          <w:iCs/>
          <w:i/>
        </w:rPr>
        <w:t xml:space="preserve">cis</w:t>
      </w:r>
      <w:r>
        <w:t xml:space="preserve">-eQTL-only posterior in the Graves disease phenotypes (PP.H2 = 0.69 and 0.62) — the therapeutic target does not display the susceptibility architecture seen at</w:t>
      </w:r>
      <w:r>
        <w:t xml:space="preserve"> </w:t>
      </w:r>
      <w:r>
        <w:rPr>
          <w:iCs/>
          <w:i/>
        </w:rPr>
        <w:t xml:space="preserve">TSHR</w:t>
      </w:r>
      <w:r>
        <w:t xml:space="preserve">.</w:t>
      </w:r>
    </w:p>
    <w:p>
      <w:pPr>
        <w:pStyle w:val="BodyText"/>
      </w:pPr>
      <w:r>
        <w:rPr>
          <w:bCs/>
          <w:b/>
        </w:rPr>
        <w:t xml:space="preserve">Figure 2. Druggable-gene-wide BBJ discovery Mendelian randomization.</w:t>
      </w:r>
      <w:r>
        <w:t xml:space="preserve"> </w:t>
      </w:r>
      <w:r>
        <w:t xml:space="preserve">Volcano plot of</w:t>
      </w:r>
      <w:r>
        <w:t xml:space="preserve"> </w:t>
      </w:r>
      <w:r>
        <w:rPr>
          <w:iCs/>
          <w:i/>
        </w:rPr>
        <w:t xml:space="preserve">cis</w:t>
      </w:r>
      <w:r>
        <w:t xml:space="preserve">-eQTL MR effects on Graves disease (BBJ discovery cohort, log-odds scale) for 2,234 druggable genes with estimable BBJ MR effects, among 2,544 MR-testable genes drawn from the druggable genome [16] with valid eQTLGen instruments. The horizontal dashed line marks the Bonferroni significance threshold (</w:t>
      </w:r>
      <w:r>
        <w:rPr>
          <w:iCs/>
          <w:i/>
        </w:rPr>
        <w:t xml:space="preserve">P</w:t>
      </w:r>
      <w:r>
        <w:t xml:space="preserve"> </w:t>
      </w:r>
      <w:r>
        <w:t xml:space="preserve">= 1.965 × 10⁻⁵), computed against all 2,544 MR-testable genes. Thirteen genes exceed this threshold.</w:t>
      </w:r>
      <w:r>
        <w:t xml:space="preserve"> </w:t>
      </w:r>
      <w:r>
        <w:rPr>
          <w:iCs/>
          <w:i/>
        </w:rPr>
        <w:t xml:space="preserve">TSHR</w:t>
      </w:r>
      <w:r>
        <w:t xml:space="preserve"> </w:t>
      </w:r>
      <w:r>
        <w:t xml:space="preserve">and</w:t>
      </w:r>
      <w:r>
        <w:t xml:space="preserve"> </w:t>
      </w:r>
      <w:r>
        <w:rPr>
          <w:iCs/>
          <w:i/>
        </w:rPr>
        <w:t xml:space="preserve">CTLA4</w:t>
      </w:r>
      <w:r>
        <w:t xml:space="preserve"> </w:t>
      </w:r>
      <w:r>
        <w:t xml:space="preserve">(red), both established Graves disease loci, show strong protective-direction associations and serve as internal anchors/positive control.</w:t>
      </w:r>
      <w:r>
        <w:t xml:space="preserve"> </w:t>
      </w:r>
      <w:r>
        <w:rPr>
          <w:iCs/>
          <w:i/>
        </w:rPr>
        <w:t xml:space="preserve">HLA-A</w:t>
      </w:r>
      <w:r>
        <w:t xml:space="preserve"> </w:t>
      </w:r>
      <w:r>
        <w:t xml:space="preserve">and</w:t>
      </w:r>
      <w:r>
        <w:t xml:space="preserve"> </w:t>
      </w:r>
      <w:r>
        <w:rPr>
          <w:iCs/>
          <w:i/>
        </w:rPr>
        <w:t xml:space="preserve">HLA-DQA2</w:t>
      </w:r>
      <w:r>
        <w:t xml:space="preserve"> </w:t>
      </w:r>
      <w:r>
        <w:t xml:space="preserve">reflect MHC-region signal (grey). Three genes within the chr16p11.2 LD block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light purple) represent a single linkage-disequilibrium signal rather than independent associations (Supplementary Table S5).</w:t>
      </w:r>
      <w:r>
        <w:t xml:space="preserve"> </w:t>
      </w:r>
      <w:r>
        <w:rPr>
          <w:iCs/>
          <w:i/>
        </w:rPr>
        <w:t xml:space="preserve">IGF1R</w:t>
      </w:r>
      <w:r>
        <w:t xml:space="preserve"> </w:t>
      </w:r>
      <w:r>
        <w:t xml:space="preserve">(blue), the therapeutic backbone gene, lies below the Bonferroni threshold with nominal association and is evaluated in the backbone-gene analysis. No druggable gene outside the known anchors and LD/MHC artifacts achieved colocalization-supported novel association in more than one outcome (Supplementary Tables S1–S2).</w:t>
      </w:r>
    </w:p>
    <w:p>
      <w:pPr>
        <w:pStyle w:val="BodyText"/>
      </w:pPr>
      <w:r>
        <w:rPr>
          <w:bCs/>
          <w:b/>
        </w:rPr>
        <w:t xml:space="preserve">Figure 3. Genetic evidence for the backbone genes across three outcomes.</w:t>
      </w:r>
      <w:r>
        <w:t xml:space="preserve"> </w:t>
      </w:r>
      <w:r>
        <w:rPr>
          <w:bCs/>
          <w:b/>
        </w:rPr>
        <w:t xml:space="preserve">(A)</w:t>
      </w:r>
      <w:r>
        <w:t xml:space="preserve"> </w:t>
      </w:r>
      <w:r>
        <w:t xml:space="preserve">Bayesian colocalization posterior probabilities (coloc.abf, computed from beta and varbeta with ancestry-matched allele frequencies) for</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against each of the three outcomes. Bars show PP.H2 (</w:t>
      </w:r>
      <w:r>
        <w:rPr>
          <w:iCs/>
          <w:i/>
        </w:rPr>
        <w:t xml:space="preserve">cis</w:t>
      </w:r>
      <w:r>
        <w:t xml:space="preserve">-eQTL association only), PP.H3 (distinct causal variants) and PP.H4 (shared causal variant); the dashed line marks PP.H4 = 0.8.</w:t>
      </w:r>
      <w:r>
        <w:t xml:space="preserve"> </w:t>
      </w:r>
      <w:r>
        <w:rPr>
          <w:iCs/>
          <w:i/>
        </w:rPr>
        <w:t xml:space="preserve">TSHR</w:t>
      </w:r>
      <w:r>
        <w:t xml:space="preserve"> </w:t>
      </w:r>
      <w:r>
        <w:t xml:space="preserve">colocalizes strongly in both Graves disease phenotypes (PP.H4 = 0.951 and 0.986, lead variant rs179252) but not in the broader UKB hyperthyroidism phenotype, where distinct causal variants are favoured (PP.H3 = 0.774).</w:t>
      </w:r>
      <w:r>
        <w:t xml:space="preserve"> </w:t>
      </w:r>
      <w:r>
        <w:rPr>
          <w:iCs/>
          <w:i/>
        </w:rPr>
        <w:t xml:space="preserve">IGF1R</w:t>
      </w:r>
      <w:r>
        <w:t xml:space="preserve"> </w:t>
      </w:r>
      <w:r>
        <w:t xml:space="preserve">reaches the shared-variant threshold in no outcome and is PP.H2-dominant in both Graves disease phenotypes.</w:t>
      </w:r>
      <w:r>
        <w:t xml:space="preserve"> </w:t>
      </w:r>
      <w:r>
        <w:rPr>
          <w:iCs/>
          <w:i/>
        </w:rPr>
        <w:t xml:space="preserve">CTLA4</w:t>
      </w:r>
      <w:r>
        <w:t xml:space="preserve"> </w:t>
      </w:r>
      <w:r>
        <w:t xml:space="preserve">colocalizes in both European outcomes but not in the East Asian discovery arm. Posteriors are shown at the default prior p12 = 10⁻⁵; sensitivity analysis is given in Table S9.</w:t>
      </w:r>
      <w:r>
        <w:t xml:space="preserve"> </w:t>
      </w:r>
      <w:r>
        <w:rPr>
          <w:bCs/>
          <w:b/>
        </w:rPr>
        <w:t xml:space="preserve">(B)</w:t>
      </w:r>
      <w:r>
        <w:t xml:space="preserve"> </w:t>
      </w:r>
      <w:r>
        <w:t xml:space="preserve">MR effect estimates (β, log-odds) with 95% confidence intervals across the three outcomes.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 consistent protective-direction effects;</w:t>
      </w:r>
      <w:r>
        <w:t xml:space="preserve"> </w:t>
      </w:r>
      <w:r>
        <w:rPr>
          <w:iCs/>
          <w:i/>
        </w:rPr>
        <w:t xml:space="preserve">IGF1R</w:t>
      </w:r>
      <w:r>
        <w:t xml:space="preserve"> </w:t>
      </w:r>
      <w:r>
        <w:t xml:space="preserve">shows directionally consistent risk-direction estimates, with nominal significance in BBJ and UKB but not FinnGen.</w:t>
      </w:r>
    </w:p>
    <w:p>
      <w:r>
        <w:pict>
          <v:rect style="width:0;height:1.5pt" o:hralign="center" o:hrstd="t" o:hr="t"/>
        </w:pict>
      </w:r>
    </w:p>
    <w:bookmarkEnd w:id="39"/>
    <w:bookmarkStart w:id="40" w:name="tables"/>
    <w:p>
      <w:pPr>
        <w:pStyle w:val="Heading2"/>
      </w:pPr>
      <w:r>
        <w:t xml:space="preserve">Tables</w:t>
      </w:r>
    </w:p>
    <w:p>
      <w:pPr>
        <w:pStyle w:val="FirstParagraph"/>
      </w:pPr>
      <w:r>
        <w:rPr>
          <w:bCs/>
          <w:b/>
        </w:rPr>
        <w:t xml:space="preserve">Table 1. Study design and data sources.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Dataset</w:t>
            </w:r>
          </w:p>
        </w:tc>
        <w:tc>
          <w:tcPr/>
          <w:p>
            <w:pPr>
              <w:pStyle w:val="Compact"/>
              <w:jc w:val="left"/>
            </w:pPr>
            <w:r>
              <w:t xml:space="preserve">Accession / endpoint</w:t>
            </w:r>
          </w:p>
        </w:tc>
        <w:tc>
          <w:tcPr/>
          <w:p>
            <w:pPr>
              <w:pStyle w:val="Compact"/>
              <w:jc w:val="left"/>
            </w:pPr>
            <w:r>
              <w:t xml:space="preserve">Role</w:t>
            </w:r>
          </w:p>
        </w:tc>
        <w:tc>
          <w:tcPr/>
          <w:p>
            <w:pPr>
              <w:pStyle w:val="Compact"/>
              <w:jc w:val="left"/>
            </w:pPr>
            <w:r>
              <w:t xml:space="preserve">Ancestry</w:t>
            </w:r>
          </w:p>
        </w:tc>
        <w:tc>
          <w:tcPr/>
          <w:p>
            <w:pPr>
              <w:pStyle w:val="Compact"/>
              <w:jc w:val="left"/>
            </w:pPr>
            <w:r>
              <w:t xml:space="preserve">Cases</w:t>
            </w:r>
          </w:p>
        </w:tc>
        <w:tc>
          <w:tcPr/>
          <w:p>
            <w:pPr>
              <w:pStyle w:val="Compact"/>
              <w:jc w:val="left"/>
            </w:pPr>
            <w:r>
              <w:t xml:space="preserve">Controls</w:t>
            </w:r>
          </w:p>
        </w:tc>
        <w:tc>
          <w:tcPr/>
          <w:p>
            <w:pPr>
              <w:pStyle w:val="Compact"/>
              <w:jc w:val="left"/>
            </w:pPr>
            <w:r>
              <w:t xml:space="preserve">Total</w:t>
            </w:r>
            <w:r>
              <w:t xml:space="preserve"> </w:t>
            </w:r>
            <w:r>
              <w:rPr>
                <w:iCs/>
                <w:i/>
              </w:rPr>
              <w:t xml:space="preserve">N</w:t>
            </w:r>
          </w:p>
        </w:tc>
        <w:tc>
          <w:tcPr/>
          <w:p>
            <w:pPr>
              <w:pStyle w:val="Compact"/>
              <w:jc w:val="left"/>
            </w:pPr>
            <w:r>
              <w:t xml:space="preserve">Case fraction</w:t>
            </w:r>
          </w:p>
        </w:tc>
      </w:tr>
      <w:tr>
        <w:tc>
          <w:tcPr/>
          <w:p>
            <w:pPr>
              <w:pStyle w:val="Compact"/>
              <w:jc w:val="left"/>
            </w:pPr>
            <w:r>
              <w:t xml:space="preserve">eQTLGen blood</w:t>
            </w:r>
            <w:r>
              <w:t xml:space="preserve"> </w:t>
            </w:r>
            <w:r>
              <w:rPr>
                <w:iCs/>
                <w:i/>
              </w:rPr>
              <w:t xml:space="preserve">cis</w:t>
            </w:r>
            <w:r>
              <w:t xml:space="preserve">-eQTL [12]</w:t>
            </w:r>
          </w:p>
        </w:tc>
        <w:tc>
          <w:tcPr/>
          <w:p>
            <w:pPr>
              <w:pStyle w:val="Compact"/>
              <w:jc w:val="left"/>
            </w:pPr>
            <w:r>
              <w:t xml:space="preserve">—</w:t>
            </w:r>
          </w:p>
        </w:tc>
        <w:tc>
          <w:tcPr/>
          <w:p>
            <w:pPr>
              <w:pStyle w:val="Compact"/>
              <w:jc w:val="left"/>
            </w:pPr>
            <w:r>
              <w:t xml:space="preserve">Exposure (instruments)</w:t>
            </w:r>
          </w:p>
        </w:tc>
        <w:tc>
          <w:tcPr/>
          <w:p>
            <w:pPr>
              <w:pStyle w:val="Compact"/>
              <w:jc w:val="left"/>
            </w:pPr>
            <w:r>
              <w:t xml:space="preserve">Predominantly European</w:t>
            </w:r>
          </w:p>
        </w:tc>
        <w:tc>
          <w:tcPr/>
          <w:p>
            <w:pPr>
              <w:pStyle w:val="Compact"/>
              <w:jc w:val="left"/>
            </w:pPr>
            <w:r>
              <w:t xml:space="preserve">—</w:t>
            </w:r>
          </w:p>
        </w:tc>
        <w:tc>
          <w:tcPr/>
          <w:p>
            <w:pPr>
              <w:pStyle w:val="Compact"/>
              <w:jc w:val="left"/>
            </w:pPr>
            <w:r>
              <w:t xml:space="preserve">—</w:t>
            </w:r>
          </w:p>
        </w:tc>
        <w:tc>
          <w:tcPr/>
          <w:p>
            <w:pPr>
              <w:pStyle w:val="Compact"/>
              <w:jc w:val="left"/>
            </w:pPr>
            <w:r>
              <w:t xml:space="preserve">up to 31,684</w:t>
            </w:r>
          </w:p>
        </w:tc>
        <w:tc>
          <w:tcPr/>
          <w:p>
            <w:pPr>
              <w:pStyle w:val="Compact"/>
              <w:jc w:val="left"/>
            </w:pPr>
            <w:r>
              <w:t xml:space="preserve">—</w:t>
            </w:r>
          </w:p>
        </w:tc>
      </w:tr>
      <w:tr>
        <w:tc>
          <w:tcPr/>
          <w:p>
            <w:pPr>
              <w:pStyle w:val="Compact"/>
              <w:jc w:val="left"/>
            </w:pPr>
            <w:r>
              <w:t xml:space="preserve">Biobank Japan Graves disease [13]</w:t>
            </w:r>
          </w:p>
        </w:tc>
        <w:tc>
          <w:tcPr/>
          <w:p>
            <w:pPr>
              <w:pStyle w:val="Compact"/>
              <w:jc w:val="left"/>
            </w:pPr>
            <w:r>
              <w:t xml:space="preserve">GCST90018627</w:t>
            </w:r>
          </w:p>
        </w:tc>
        <w:tc>
          <w:tcPr/>
          <w:p>
            <w:pPr>
              <w:pStyle w:val="Compact"/>
              <w:jc w:val="left"/>
            </w:pPr>
            <w:r>
              <w:t xml:space="preserve">Primary discovery outcome</w:t>
            </w:r>
          </w:p>
        </w:tc>
        <w:tc>
          <w:tcPr/>
          <w:p>
            <w:pPr>
              <w:pStyle w:val="Compact"/>
              <w:jc w:val="left"/>
            </w:pPr>
            <w:r>
              <w:t xml:space="preserve">East Asian</w:t>
            </w:r>
          </w:p>
        </w:tc>
        <w:tc>
          <w:tcPr/>
          <w:p>
            <w:pPr>
              <w:pStyle w:val="Compact"/>
              <w:jc w:val="left"/>
            </w:pPr>
            <w:r>
              <w:t xml:space="preserve">2,809</w:t>
            </w:r>
          </w:p>
        </w:tc>
        <w:tc>
          <w:tcPr/>
          <w:p>
            <w:pPr>
              <w:pStyle w:val="Compact"/>
              <w:jc w:val="left"/>
            </w:pPr>
            <w:r>
              <w:t xml:space="preserve">172,656</w:t>
            </w:r>
          </w:p>
        </w:tc>
        <w:tc>
          <w:tcPr/>
          <w:p>
            <w:pPr>
              <w:pStyle w:val="Compact"/>
              <w:jc w:val="left"/>
            </w:pPr>
            <w:r>
              <w:t xml:space="preserve">175,465</w:t>
            </w:r>
          </w:p>
        </w:tc>
        <w:tc>
          <w:tcPr/>
          <w:p>
            <w:pPr>
              <w:pStyle w:val="Compact"/>
              <w:jc w:val="left"/>
            </w:pPr>
            <w:r>
              <w:t xml:space="preserve">0.01601</w:t>
            </w:r>
          </w:p>
        </w:tc>
      </w:tr>
      <w:tr>
        <w:tc>
          <w:tcPr/>
          <w:p>
            <w:pPr>
              <w:pStyle w:val="Compact"/>
              <w:jc w:val="left"/>
            </w:pPr>
            <w:r>
              <w:t xml:space="preserve">UK Biobank hyperthyroidism [14]</w:t>
            </w:r>
          </w:p>
        </w:tc>
        <w:tc>
          <w:tcPr/>
          <w:p>
            <w:pPr>
              <w:pStyle w:val="Compact"/>
              <w:jc w:val="left"/>
            </w:pPr>
            <w:r>
              <w:t xml:space="preserve">GCST90038636</w:t>
            </w:r>
          </w:p>
        </w:tc>
        <w:tc>
          <w:tcPr/>
          <w:p>
            <w:pPr>
              <w:pStyle w:val="Compact"/>
              <w:jc w:val="left"/>
            </w:pPr>
            <w:r>
              <w:t xml:space="preserve">Cross-ancestry replication outcome</w:t>
            </w:r>
          </w:p>
        </w:tc>
        <w:tc>
          <w:tcPr/>
          <w:p>
            <w:pPr>
              <w:pStyle w:val="Compact"/>
              <w:jc w:val="left"/>
            </w:pPr>
            <w:r>
              <w:t xml:space="preserve">European</w:t>
            </w:r>
          </w:p>
        </w:tc>
        <w:tc>
          <w:tcPr/>
          <w:p>
            <w:pPr>
              <w:pStyle w:val="Compact"/>
              <w:jc w:val="left"/>
            </w:pPr>
            <w:r>
              <w:t xml:space="preserve">3,731</w:t>
            </w:r>
          </w:p>
        </w:tc>
        <w:tc>
          <w:tcPr/>
          <w:p>
            <w:pPr>
              <w:pStyle w:val="Compact"/>
              <w:jc w:val="left"/>
            </w:pPr>
            <w:r>
              <w:t xml:space="preserve">480,867</w:t>
            </w:r>
          </w:p>
        </w:tc>
        <w:tc>
          <w:tcPr/>
          <w:p>
            <w:pPr>
              <w:pStyle w:val="Compact"/>
              <w:jc w:val="left"/>
            </w:pPr>
            <w:r>
              <w:t xml:space="preserve">484,598</w:t>
            </w:r>
          </w:p>
        </w:tc>
        <w:tc>
          <w:tcPr/>
          <w:p>
            <w:pPr>
              <w:pStyle w:val="Compact"/>
              <w:jc w:val="left"/>
            </w:pPr>
            <w:r>
              <w:t xml:space="preserve">0.00770</w:t>
            </w:r>
          </w:p>
        </w:tc>
      </w:tr>
      <w:tr>
        <w:tc>
          <w:tcPr/>
          <w:p>
            <w:pPr>
              <w:pStyle w:val="Compact"/>
              <w:jc w:val="left"/>
            </w:pPr>
            <w:r>
              <w:t xml:space="preserve">FinnGen R12 Graves ophthalmopathy [15]</w:t>
            </w:r>
          </w:p>
        </w:tc>
        <w:tc>
          <w:tcPr/>
          <w:p>
            <w:pPr>
              <w:pStyle w:val="Compact"/>
              <w:jc w:val="left"/>
            </w:pPr>
            <w:r>
              <w:t xml:space="preserve">GRAVES_OPHT (R12)</w:t>
            </w:r>
          </w:p>
        </w:tc>
        <w:tc>
          <w:tcPr/>
          <w:p>
            <w:pPr>
              <w:pStyle w:val="Compact"/>
              <w:jc w:val="left"/>
            </w:pPr>
            <w:r>
              <w:t xml:space="preserve">TED-enriched sensitivity outcome</w:t>
            </w:r>
          </w:p>
        </w:tc>
        <w:tc>
          <w:tcPr/>
          <w:p>
            <w:pPr>
              <w:pStyle w:val="Compact"/>
              <w:jc w:val="left"/>
            </w:pPr>
            <w:r>
              <w:t xml:space="preserve">European</w:t>
            </w:r>
          </w:p>
        </w:tc>
        <w:tc>
          <w:tcPr/>
          <w:p>
            <w:pPr>
              <w:pStyle w:val="Compact"/>
              <w:jc w:val="left"/>
            </w:pPr>
            <w:r>
              <w:t xml:space="preserve">858</w:t>
            </w:r>
          </w:p>
        </w:tc>
        <w:tc>
          <w:tcPr/>
          <w:p>
            <w:pPr>
              <w:pStyle w:val="Compact"/>
              <w:jc w:val="left"/>
            </w:pPr>
            <w:r>
              <w:t xml:space="preserve">499,490</w:t>
            </w:r>
          </w:p>
        </w:tc>
        <w:tc>
          <w:tcPr/>
          <w:p>
            <w:pPr>
              <w:pStyle w:val="Compact"/>
              <w:jc w:val="left"/>
            </w:pPr>
            <w:r>
              <w:t xml:space="preserve">500,348</w:t>
            </w:r>
          </w:p>
        </w:tc>
        <w:tc>
          <w:tcPr/>
          <w:p>
            <w:pPr>
              <w:pStyle w:val="Compact"/>
              <w:jc w:val="left"/>
            </w:pPr>
            <w:r>
              <w:t xml:space="preserve">0.00171</w:t>
            </w:r>
          </w:p>
        </w:tc>
      </w:tr>
      <w:tr>
        <w:tc>
          <w:tcPr/>
          <w:p>
            <w:pPr>
              <w:pStyle w:val="Compact"/>
              <w:jc w:val="left"/>
            </w:pPr>
            <w:r>
              <w:t xml:space="preserve">In-house orbital RNA-seq</w:t>
            </w:r>
          </w:p>
        </w:tc>
        <w:tc>
          <w:tcPr/>
          <w:p>
            <w:pPr>
              <w:pStyle w:val="Compact"/>
              <w:jc w:val="left"/>
            </w:pPr>
            <w:r>
              <w:t xml:space="preserve">—</w:t>
            </w:r>
          </w:p>
        </w:tc>
        <w:tc>
          <w:tcPr/>
          <w:p>
            <w:pPr>
              <w:pStyle w:val="Compact"/>
              <w:jc w:val="left"/>
            </w:pPr>
            <w:r>
              <w:t xml:space="preserve">Descriptive tissue observation</w:t>
            </w:r>
          </w:p>
        </w:tc>
        <w:tc>
          <w:tcPr/>
          <w:p>
            <w:pPr>
              <w:pStyle w:val="Compact"/>
              <w:jc w:val="left"/>
            </w:pPr>
            <w:r>
              <w:t xml:space="preserve">Korean</w:t>
            </w:r>
          </w:p>
        </w:tc>
        <w:tc>
          <w:tcPr/>
          <w:p>
            <w:pPr>
              <w:pStyle w:val="Compact"/>
              <w:jc w:val="left"/>
            </w:pPr>
            <w:r>
              <w:t xml:space="preserve">4 TED</w:t>
            </w:r>
          </w:p>
        </w:tc>
        <w:tc>
          <w:tcPr/>
          <w:p>
            <w:pPr>
              <w:pStyle w:val="Compact"/>
              <w:jc w:val="left"/>
            </w:pPr>
            <w:r>
              <w:t xml:space="preserve">1 control</w:t>
            </w:r>
          </w:p>
        </w:tc>
        <w:tc>
          <w:tcPr/>
          <w:p>
            <w:pPr>
              <w:pStyle w:val="Compact"/>
              <w:jc w:val="left"/>
            </w:pPr>
            <w:r>
              <w:t xml:space="preserve">5</w:t>
            </w:r>
          </w:p>
        </w:tc>
        <w:tc>
          <w:tcPr/>
          <w:p>
            <w:pPr>
              <w:pStyle w:val="Compact"/>
              <w:jc w:val="left"/>
            </w:pPr>
            <w:r>
              <w:t xml:space="preserve">—</w:t>
            </w:r>
          </w:p>
        </w:tc>
      </w:tr>
    </w:tbl>
    <w:p>
      <w:pPr>
        <w:pStyle w:val="BodyText"/>
      </w:pPr>
      <w:r>
        <w:rPr>
          <w:iCs/>
          <w:i/>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TED-enriched sensitivity outcome. UKB binary-trait effect estimates were rescaled from a linear mixed-model scale to log-odds using case prevalence.</w:t>
      </w:r>
    </w:p>
    <w:p>
      <w:pPr>
        <w:pStyle w:val="BodyText"/>
      </w:pPr>
      <w:r>
        <w:rPr>
          <w:bCs/>
          <w:b/>
        </w:rPr>
        <w:t xml:space="preserve">Table 2. Mendelian randomization and colocalization evidence for the backbone genes.</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IVW/Wald</w:t>
            </w:r>
            <w:r>
              <w:t xml:space="preserve"> </w:t>
            </w:r>
            <w:r>
              <w:rPr>
                <w:iCs/>
                <w:i/>
              </w:rPr>
              <w:t xml:space="preserve">P</w:t>
            </w:r>
          </w:p>
        </w:tc>
        <w:tc>
          <w:tcPr/>
          <w:p>
            <w:pPr>
              <w:pStyle w:val="Compact"/>
              <w:jc w:val="left"/>
            </w:pPr>
            <w:r>
              <w:t xml:space="preserve">Weighted median</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c>
          <w:tcPr/>
          <w:p>
            <w:pPr>
              <w:pStyle w:val="Compact"/>
              <w:jc w:val="left"/>
            </w:pPr>
            <w:r>
              <w:t xml:space="preserve">Coloc PP.H4</w:t>
            </w:r>
          </w:p>
        </w:tc>
        <w:tc>
          <w:tcPr/>
          <w:p>
            <w:pPr>
              <w:pStyle w:val="Compact"/>
              <w:jc w:val="left"/>
            </w:pPr>
            <w:r>
              <w:t xml:space="preserve">Coloc PP.H3</w:t>
            </w:r>
          </w:p>
        </w:tc>
        <w:tc>
          <w:tcPr/>
          <w:p>
            <w:pPr>
              <w:pStyle w:val="Compact"/>
              <w:jc w:val="left"/>
            </w:pPr>
            <w:r>
              <w:t xml:space="preserve">Coloc lead SNP</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0.951</w:t>
            </w:r>
          </w:p>
        </w:tc>
        <w:tc>
          <w:tcPr/>
          <w:p>
            <w:pPr>
              <w:pStyle w:val="Compact"/>
              <w:jc w:val="left"/>
            </w:pPr>
            <w:r>
              <w:t xml:space="preserve">0.049</w:t>
            </w:r>
          </w:p>
        </w:tc>
        <w:tc>
          <w:tcPr/>
          <w:p>
            <w:pPr>
              <w:pStyle w:val="Compact"/>
              <w:jc w:val="left"/>
            </w:pPr>
            <w:r>
              <w:t xml:space="preserve">rs179252</w:t>
            </w:r>
          </w:p>
        </w:tc>
      </w:tr>
      <w:tr>
        <w:tc>
          <w:tcPr/>
          <w:p>
            <w:pPr>
              <w:pStyle w:val="Compact"/>
            </w:pP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0.09 (0.06–0.14)</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0.226</w:t>
            </w:r>
          </w:p>
        </w:tc>
        <w:tc>
          <w:tcPr/>
          <w:p>
            <w:pPr>
              <w:pStyle w:val="Compact"/>
              <w:jc w:val="left"/>
            </w:pPr>
            <w:r>
              <w:t xml:space="preserve">0.774</w:t>
            </w:r>
          </w:p>
        </w:tc>
        <w:tc>
          <w:tcPr/>
          <w:p>
            <w:pPr>
              <w:pStyle w:val="Compact"/>
              <w:jc w:val="left"/>
            </w:pPr>
            <w:r>
              <w:t xml:space="preserve">rs1023586</w:t>
            </w:r>
          </w:p>
        </w:tc>
      </w:tr>
      <w:tr>
        <w:tc>
          <w:tcPr/>
          <w:p>
            <w:pPr>
              <w:pStyle w:val="Compact"/>
            </w:pP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0.10 (0.04–0.24)</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0.986</w:t>
            </w:r>
          </w:p>
        </w:tc>
        <w:tc>
          <w:tcPr/>
          <w:p>
            <w:pPr>
              <w:pStyle w:val="Compact"/>
              <w:jc w:val="left"/>
            </w:pPr>
            <w:r>
              <w:t xml:space="preserve">0.014</w:t>
            </w:r>
          </w:p>
        </w:tc>
        <w:tc>
          <w:tcPr/>
          <w:p>
            <w:pPr>
              <w:pStyle w:val="Compact"/>
              <w:jc w:val="left"/>
            </w:pPr>
            <w:r>
              <w:t xml:space="preserve">rs179252</w:t>
            </w: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1.56 (1.07–2.28)</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0.663</w:t>
            </w:r>
          </w:p>
        </w:tc>
        <w:tc>
          <w:tcPr/>
          <w:p>
            <w:pPr>
              <w:pStyle w:val="Compact"/>
              <w:jc w:val="left"/>
            </w:pPr>
            <w:r>
              <w:t xml:space="preserve">0.902</w:t>
            </w:r>
          </w:p>
        </w:tc>
        <w:tc>
          <w:tcPr/>
          <w:p>
            <w:pPr>
              <w:pStyle w:val="Compact"/>
              <w:jc w:val="left"/>
            </w:pPr>
            <w:r>
              <w:t xml:space="preserve">0.073</w:t>
            </w:r>
          </w:p>
        </w:tc>
        <w:tc>
          <w:tcPr/>
          <w:p>
            <w:pPr>
              <w:pStyle w:val="Compact"/>
              <w:jc w:val="left"/>
            </w:pPr>
            <w:r>
              <w:t xml:space="preserve">0.236</w:t>
            </w:r>
          </w:p>
        </w:tc>
        <w:tc>
          <w:tcPr/>
          <w:p>
            <w:pPr>
              <w:pStyle w:val="Compact"/>
              <w:jc w:val="left"/>
            </w:pPr>
            <w:r>
              <w:t xml:space="preserve">rs2654980</w:t>
            </w:r>
          </w:p>
        </w:tc>
      </w:tr>
      <w:tr>
        <w:tc>
          <w:tcPr/>
          <w:p>
            <w:pPr>
              <w:pStyle w:val="Compact"/>
            </w:pP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1.35 (1.07–1.70)</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0.562</w:t>
            </w:r>
          </w:p>
        </w:tc>
        <w:tc>
          <w:tcPr/>
          <w:p>
            <w:pPr>
              <w:pStyle w:val="Compact"/>
              <w:jc w:val="left"/>
            </w:pPr>
            <w:r>
              <w:t xml:space="preserve">0.250</w:t>
            </w:r>
          </w:p>
        </w:tc>
        <w:tc>
          <w:tcPr/>
          <w:p>
            <w:pPr>
              <w:pStyle w:val="Compact"/>
              <w:jc w:val="left"/>
            </w:pPr>
            <w:r>
              <w:t xml:space="preserve">0.404</w:t>
            </w:r>
          </w:p>
        </w:tc>
        <w:tc>
          <w:tcPr/>
          <w:p>
            <w:pPr>
              <w:pStyle w:val="Compact"/>
              <w:jc w:val="left"/>
            </w:pPr>
            <w:r>
              <w:t xml:space="preserve">0.196</w:t>
            </w:r>
          </w:p>
        </w:tc>
        <w:tc>
          <w:tcPr/>
          <w:p>
            <w:pPr>
              <w:pStyle w:val="Compact"/>
              <w:jc w:val="left"/>
            </w:pPr>
            <w:r>
              <w:t xml:space="preserve">rs2654980</w:t>
            </w:r>
          </w:p>
        </w:tc>
      </w:tr>
      <w:tr>
        <w:tc>
          <w:tcPr/>
          <w:p>
            <w:pPr>
              <w:pStyle w:val="Compact"/>
            </w:pP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1.41 (0.85–2.33)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0.433</w:t>
            </w:r>
          </w:p>
        </w:tc>
        <w:tc>
          <w:tcPr/>
          <w:p>
            <w:pPr>
              <w:pStyle w:val="Compact"/>
              <w:jc w:val="left"/>
            </w:pPr>
            <w:r>
              <w:t xml:space="preserve">0.309</w:t>
            </w:r>
          </w:p>
        </w:tc>
        <w:tc>
          <w:tcPr/>
          <w:p>
            <w:pPr>
              <w:pStyle w:val="Compact"/>
              <w:jc w:val="left"/>
            </w:pPr>
            <w:r>
              <w:t xml:space="preserve">0.032</w:t>
            </w:r>
          </w:p>
        </w:tc>
        <w:tc>
          <w:tcPr/>
          <w:p>
            <w:pPr>
              <w:pStyle w:val="Compact"/>
              <w:jc w:val="left"/>
            </w:pPr>
            <w:r>
              <w:t xml:space="preserve">0.346</w:t>
            </w:r>
          </w:p>
        </w:tc>
        <w:tc>
          <w:tcPr/>
          <w:p>
            <w:pPr>
              <w:pStyle w:val="Compact"/>
              <w:jc w:val="left"/>
            </w:pPr>
            <w:r>
              <w:t xml:space="preserve">rs2654980</w:t>
            </w: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0.201</w:t>
            </w:r>
          </w:p>
        </w:tc>
        <w:tc>
          <w:tcPr/>
          <w:p>
            <w:pPr>
              <w:pStyle w:val="Compact"/>
              <w:jc w:val="left"/>
            </w:pPr>
            <w:r>
              <w:t xml:space="preserve">0.799</w:t>
            </w:r>
          </w:p>
        </w:tc>
        <w:tc>
          <w:tcPr/>
          <w:p>
            <w:pPr>
              <w:pStyle w:val="Compact"/>
              <w:jc w:val="left"/>
            </w:pPr>
            <w:r>
              <w:t xml:space="preserve">rs231811</w:t>
            </w:r>
          </w:p>
        </w:tc>
      </w:tr>
      <w:tr>
        <w:tc>
          <w:tcPr/>
          <w:p>
            <w:pPr>
              <w:pStyle w:val="Compact"/>
            </w:pP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0.21 (0.08–0.57)</w:t>
            </w:r>
          </w:p>
        </w:tc>
        <w:tc>
          <w:tcPr/>
          <w:p>
            <w:pPr>
              <w:pStyle w:val="Compact"/>
              <w:jc w:val="left"/>
            </w:pPr>
            <w:r>
              <w:t xml:space="preserve">0.002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0.001</w:t>
            </w:r>
          </w:p>
        </w:tc>
        <w:tc>
          <w:tcPr/>
          <w:p>
            <w:pPr>
              <w:pStyle w:val="Compact"/>
              <w:jc w:val="left"/>
            </w:pPr>
            <w:r>
              <w:t xml:space="preserve">0.953</w:t>
            </w:r>
          </w:p>
        </w:tc>
        <w:tc>
          <w:tcPr/>
          <w:p>
            <w:pPr>
              <w:pStyle w:val="Compact"/>
              <w:jc w:val="left"/>
            </w:pPr>
            <w:r>
              <w:t xml:space="preserve">0.047</w:t>
            </w:r>
          </w:p>
        </w:tc>
        <w:tc>
          <w:tcPr/>
          <w:p>
            <w:pPr>
              <w:pStyle w:val="Compact"/>
              <w:jc w:val="left"/>
            </w:pPr>
            <w:r>
              <w:t xml:space="preserve">rs3087243</w:t>
            </w:r>
          </w:p>
        </w:tc>
      </w:tr>
      <w:tr>
        <w:tc>
          <w:tcPr/>
          <w:p>
            <w:pPr>
              <w:pStyle w:val="Compact"/>
            </w:pP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0.17 (0.04–0.68)</w:t>
            </w:r>
          </w:p>
        </w:tc>
        <w:tc>
          <w:tcPr/>
          <w:p>
            <w:pPr>
              <w:pStyle w:val="Compact"/>
              <w:jc w:val="left"/>
            </w:pPr>
            <w:r>
              <w:t xml:space="preserve">0.012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0.049</w:t>
            </w:r>
          </w:p>
        </w:tc>
        <w:tc>
          <w:tcPr/>
          <w:p>
            <w:pPr>
              <w:pStyle w:val="Compact"/>
              <w:jc w:val="left"/>
            </w:pPr>
            <w:r>
              <w:t xml:space="preserve">0.978</w:t>
            </w:r>
          </w:p>
        </w:tc>
        <w:tc>
          <w:tcPr/>
          <w:p>
            <w:pPr>
              <w:pStyle w:val="Compact"/>
              <w:jc w:val="left"/>
            </w:pPr>
            <w:r>
              <w:t xml:space="preserve">0.022</w:t>
            </w:r>
          </w:p>
        </w:tc>
        <w:tc>
          <w:tcPr/>
          <w:p>
            <w:pPr>
              <w:pStyle w:val="Compact"/>
              <w:jc w:val="left"/>
            </w:pPr>
            <w:r>
              <w:t xml:space="preserve">rs1863800</w:t>
            </w:r>
          </w:p>
        </w:tc>
      </w:tr>
    </w:tbl>
    <w:p>
      <w:pPr>
        <w:pStyle w:val="BodyText"/>
      </w:pPr>
      <w:r>
        <w:rPr>
          <w:iCs/>
          <w:i/>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The MR-Egger intercept P values for IGF1R (all &gt; 0.43) indicate no detectable directional pleiotropy; Cochran’s Q indicates significant between-instrument heterogeneity for CTLA4 in the UKB and FinnGen analyses (Q P = 0.001 and 0.049), consistent with cross-ancestry/phenotype locus complexity. Colocalization (coloc.abf) used beta and varbeta with ancestry-matched allele frequencies and the case fractions given in Table 1; PP.H4 ≥ 0.80 indicates strong evidence for a shared causal variant and PP.H3 evidence for distinct causal variants. IGF1R is PP.H2-dominant in both Graves disease phenotypes (PP.H2 = 0.69 and 0.62), i.e. a cis-eQTL signal that does not resolve to a variant shared with the outcome; because colocalization tests only the shared-causal-variant hypothesis, this does not contradict the nominal MR association reported above. Posteriors shown are at the default prior p12 = 10⁻⁵; sensitivity at p12 = 10⁻⁶ and 5×10⁻⁶ is reported in Table S9 (backbone) and Table S2 (candidates). —, not applicable/not computed. All values verified against source analysis files.</w:t>
      </w:r>
    </w:p>
    <w:p>
      <w:pPr>
        <w:pStyle w:val="BodyText"/>
      </w:pPr>
      <w:r>
        <w:rPr>
          <w:bCs/>
          <w:b/>
        </w:rPr>
        <w:t xml:space="preserve">Table 3. All thirteen Bonferroni-significant druggable-gene-wide BBJ discovery hits, with cross-outcome colocalization and classification.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BBJ</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(UKB)</w:t>
            </w:r>
          </w:p>
        </w:tc>
        <w:tc>
          <w:tcPr/>
          <w:p>
            <w:pPr>
              <w:pStyle w:val="Compact"/>
              <w:jc w:val="left"/>
            </w:pPr>
            <w:r>
              <w:t xml:space="preserve">Coloc PP.H4 (FinnGen)</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4</w:t>
            </w:r>
          </w:p>
        </w:tc>
        <w:tc>
          <w:tcPr/>
          <w:p>
            <w:pPr>
              <w:pStyle w:val="Compact"/>
              <w:jc w:val="left"/>
            </w:pPr>
            <w:r>
              <w:t xml:space="preserve">1.98 (1.73–2.27)</w:t>
            </w:r>
          </w:p>
        </w:tc>
        <w:tc>
          <w:tcPr/>
          <w:p>
            <w:pPr>
              <w:pStyle w:val="Compact"/>
              <w:jc w:val="left"/>
            </w:pPr>
            <w:r>
              <w:t xml:space="preserve">2.6×10⁻²³</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1</w:t>
            </w:r>
          </w:p>
        </w:tc>
        <w:tc>
          <w:tcPr/>
          <w:p>
            <w:pPr>
              <w:pStyle w:val="Compact"/>
              <w:jc w:val="left"/>
            </w:pPr>
            <w:r>
              <w:t xml:space="preserve">2.39 (1.95–2.93)</w:t>
            </w:r>
          </w:p>
        </w:tc>
        <w:tc>
          <w:tcPr/>
          <w:p>
            <w:pPr>
              <w:pStyle w:val="Compact"/>
              <w:jc w:val="left"/>
            </w:pPr>
            <w:r>
              <w:t xml:space="preserve">8.3×10⁻¹⁷</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bCs/>
                <w:b/>
              </w:rPr>
              <w:t xml:space="preserve">CTLA4</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0.201</w:t>
            </w:r>
          </w:p>
        </w:tc>
        <w:tc>
          <w:tcPr/>
          <w:p>
            <w:pPr>
              <w:pStyle w:val="Compact"/>
              <w:jc w:val="left"/>
            </w:pPr>
            <w:r>
              <w:t xml:space="preserve">0.953</w:t>
            </w:r>
          </w:p>
        </w:tc>
        <w:tc>
          <w:tcPr/>
          <w:p>
            <w:pPr>
              <w:pStyle w:val="Compact"/>
              <w:jc w:val="left"/>
            </w:pPr>
            <w:r>
              <w:t xml:space="preserve">0.978</w:t>
            </w:r>
          </w:p>
        </w:tc>
        <w:tc>
          <w:tcPr/>
          <w:p>
            <w:pPr>
              <w:pStyle w:val="Compact"/>
              <w:jc w:val="left"/>
            </w:pPr>
            <w:r>
              <w:t xml:space="preserve">Established autoimmune locus (positive control)</w:t>
            </w:r>
          </w:p>
        </w:tc>
      </w:tr>
      <w:tr>
        <w:tc>
          <w:tcPr/>
          <w:p>
            <w:pPr>
              <w:pStyle w:val="Compact"/>
              <w:jc w:val="left"/>
            </w:pPr>
            <w:r>
              <w:rPr>
                <w:iCs/>
                <w:i/>
                <w:bCs/>
                <w:b/>
              </w:rPr>
              <w:t xml:space="preserve">TSHR</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0.951</w:t>
            </w:r>
          </w:p>
        </w:tc>
        <w:tc>
          <w:tcPr/>
          <w:p>
            <w:pPr>
              <w:pStyle w:val="Compact"/>
              <w:jc w:val="left"/>
            </w:pPr>
            <w:r>
              <w:t xml:space="preserve">0.226</w:t>
            </w:r>
          </w:p>
        </w:tc>
        <w:tc>
          <w:tcPr/>
          <w:p>
            <w:pPr>
              <w:pStyle w:val="Compact"/>
              <w:jc w:val="left"/>
            </w:pPr>
            <w:r>
              <w:t xml:space="preserve">0.986</w:t>
            </w:r>
          </w:p>
        </w:tc>
        <w:tc>
          <w:tcPr/>
          <w:p>
            <w:pPr>
              <w:pStyle w:val="Compact"/>
              <w:jc w:val="left"/>
            </w:pPr>
            <w:r>
              <w:t xml:space="preserve">Established GD locus (susceptibility anchor)</w:t>
            </w:r>
          </w:p>
        </w:tc>
      </w:tr>
      <w:tr>
        <w:tc>
          <w:tcPr/>
          <w:p>
            <w:pPr>
              <w:pStyle w:val="Compact"/>
              <w:jc w:val="left"/>
            </w:pPr>
            <w:r>
              <w:rPr>
                <w:iCs/>
                <w:i/>
              </w:rPr>
              <w:t xml:space="preserve">C4A</w:t>
            </w:r>
          </w:p>
        </w:tc>
        <w:tc>
          <w:tcPr/>
          <w:p>
            <w:pPr>
              <w:pStyle w:val="Compact"/>
              <w:jc w:val="left"/>
            </w:pPr>
            <w:r>
              <w:t xml:space="preserve">1</w:t>
            </w:r>
          </w:p>
        </w:tc>
        <w:tc>
          <w:tcPr/>
          <w:p>
            <w:pPr>
              <w:pStyle w:val="Compact"/>
              <w:jc w:val="left"/>
            </w:pPr>
            <w:r>
              <w:t xml:space="preserve">0.45 (0.35–0.57)</w:t>
            </w:r>
          </w:p>
        </w:tc>
        <w:tc>
          <w:tcPr/>
          <w:p>
            <w:pPr>
              <w:pStyle w:val="Compact"/>
              <w:jc w:val="left"/>
            </w:pPr>
            <w:r>
              <w:t xml:space="preserve">2.2×10⁻¹⁰</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w:t>
            </w:r>
          </w:p>
        </w:tc>
        <w:tc>
          <w:tcPr/>
          <w:p>
            <w:pPr>
              <w:pStyle w:val="Compact"/>
              <w:jc w:val="left"/>
            </w:pPr>
            <w:r>
              <w:t xml:space="preserve">0.29 (0.18–0.47)</w:t>
            </w:r>
          </w:p>
        </w:tc>
        <w:tc>
          <w:tcPr/>
          <w:p>
            <w:pPr>
              <w:pStyle w:val="Compact"/>
              <w:jc w:val="left"/>
            </w:pPr>
            <w:r>
              <w:t xml:space="preserve">2.0×10⁻⁷</w:t>
            </w:r>
          </w:p>
        </w:tc>
        <w:tc>
          <w:tcPr/>
          <w:p>
            <w:pPr>
              <w:pStyle w:val="Compact"/>
              <w:jc w:val="left"/>
            </w:pPr>
            <w:r>
              <w:t xml:space="preserve">0.636</w:t>
            </w:r>
          </w:p>
        </w:tc>
        <w:tc>
          <w:tcPr/>
          <w:p>
            <w:pPr>
              <w:pStyle w:val="Compact"/>
              <w:jc w:val="left"/>
            </w:pPr>
            <w:r>
              <w:t xml:space="preserve">0.095</w:t>
            </w:r>
          </w:p>
        </w:tc>
        <w:tc>
          <w:tcPr/>
          <w:p>
            <w:pPr>
              <w:pStyle w:val="Compact"/>
              <w:jc w:val="left"/>
            </w:pPr>
            <w:r>
              <w:t xml:space="preserve">0.026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2</w:t>
            </w:r>
          </w:p>
        </w:tc>
        <w:tc>
          <w:tcPr/>
          <w:p>
            <w:pPr>
              <w:pStyle w:val="Compact"/>
              <w:jc w:val="left"/>
            </w:pPr>
            <w:r>
              <w:t xml:space="preserve">1.49 (1.28–1.74)</w:t>
            </w:r>
          </w:p>
        </w:tc>
        <w:tc>
          <w:tcPr/>
          <w:p>
            <w:pPr>
              <w:pStyle w:val="Compact"/>
              <w:jc w:val="left"/>
            </w:pPr>
            <w:r>
              <w:t xml:space="preserve">3.1×10⁻⁷</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1</w:t>
            </w:r>
          </w:p>
        </w:tc>
        <w:tc>
          <w:tcPr/>
          <w:p>
            <w:pPr>
              <w:pStyle w:val="Compact"/>
              <w:jc w:val="left"/>
            </w:pPr>
            <w:r>
              <w:t xml:space="preserve">0.13 (0.06–0.29)</w:t>
            </w:r>
          </w:p>
        </w:tc>
        <w:tc>
          <w:tcPr/>
          <w:p>
            <w:pPr>
              <w:pStyle w:val="Compact"/>
              <w:jc w:val="left"/>
            </w:pPr>
            <w:r>
              <w:t xml:space="preserve">6.4×10⁻⁷</w:t>
            </w:r>
          </w:p>
        </w:tc>
        <w:tc>
          <w:tcPr/>
          <w:p>
            <w:pPr>
              <w:pStyle w:val="Compact"/>
              <w:jc w:val="left"/>
            </w:pPr>
            <w:r>
              <w:t xml:space="preserve">0.388</w:t>
            </w:r>
          </w:p>
        </w:tc>
        <w:tc>
          <w:tcPr/>
          <w:p>
            <w:pPr>
              <w:pStyle w:val="Compact"/>
              <w:jc w:val="left"/>
            </w:pPr>
            <w:r>
              <w:t xml:space="preserve">0.030</w:t>
            </w:r>
          </w:p>
        </w:tc>
        <w:tc>
          <w:tcPr/>
          <w:p>
            <w:pPr>
              <w:pStyle w:val="Compact"/>
              <w:jc w:val="left"/>
            </w:pPr>
            <w:r>
              <w:t xml:space="preserve">0.030</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1</w:t>
            </w:r>
          </w:p>
        </w:tc>
        <w:tc>
          <w:tcPr/>
          <w:p>
            <w:pPr>
              <w:pStyle w:val="Compact"/>
              <w:jc w:val="left"/>
            </w:pPr>
            <w:r>
              <w:t xml:space="preserve">0.63 (0.52–0.76)</w:t>
            </w:r>
          </w:p>
        </w:tc>
        <w:tc>
          <w:tcPr/>
          <w:p>
            <w:pPr>
              <w:pStyle w:val="Compact"/>
              <w:jc w:val="left"/>
            </w:pPr>
            <w:r>
              <w:t xml:space="preserve">1.5×10⁻⁶</w:t>
            </w:r>
          </w:p>
        </w:tc>
        <w:tc>
          <w:tcPr/>
          <w:p>
            <w:pPr>
              <w:pStyle w:val="Compact"/>
              <w:jc w:val="left"/>
            </w:pPr>
            <w:r>
              <w:t xml:space="preserve">0.994</w:t>
            </w:r>
          </w:p>
        </w:tc>
        <w:tc>
          <w:tcPr/>
          <w:p>
            <w:pPr>
              <w:pStyle w:val="Compact"/>
              <w:jc w:val="left"/>
            </w:pPr>
            <w:r>
              <w:t xml:space="preserve">0.237</w:t>
            </w:r>
          </w:p>
        </w:tc>
        <w:tc>
          <w:tcPr/>
          <w:p>
            <w:pPr>
              <w:pStyle w:val="Compact"/>
              <w:jc w:val="left"/>
            </w:pPr>
            <w:r>
              <w:t xml:space="preserve">0.017</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w:t>
            </w:r>
          </w:p>
        </w:tc>
        <w:tc>
          <w:tcPr/>
          <w:p>
            <w:pPr>
              <w:pStyle w:val="Compact"/>
              <w:jc w:val="left"/>
            </w:pPr>
            <w:r>
              <w:t xml:space="preserve">6.00 (2.87–12.57)</w:t>
            </w:r>
          </w:p>
        </w:tc>
        <w:tc>
          <w:tcPr/>
          <w:p>
            <w:pPr>
              <w:pStyle w:val="Compact"/>
              <w:jc w:val="left"/>
            </w:pPr>
            <w:r>
              <w:t xml:space="preserve">2.0×10⁻⁶</w:t>
            </w:r>
          </w:p>
        </w:tc>
        <w:tc>
          <w:tcPr/>
          <w:p>
            <w:pPr>
              <w:pStyle w:val="Compact"/>
              <w:jc w:val="left"/>
            </w:pPr>
            <w:r>
              <w:t xml:space="preserve">0.168</w:t>
            </w:r>
          </w:p>
        </w:tc>
        <w:tc>
          <w:tcPr/>
          <w:p>
            <w:pPr>
              <w:pStyle w:val="Compact"/>
              <w:jc w:val="left"/>
            </w:pPr>
            <w:r>
              <w:t xml:space="preserve">0.115</w:t>
            </w:r>
          </w:p>
        </w:tc>
        <w:tc>
          <w:tcPr/>
          <w:p>
            <w:pPr>
              <w:pStyle w:val="Compact"/>
              <w:jc w:val="left"/>
            </w:pPr>
            <w:r>
              <w:t xml:space="preserve">0.037</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4</w:t>
            </w:r>
          </w:p>
        </w:tc>
        <w:tc>
          <w:tcPr/>
          <w:p>
            <w:pPr>
              <w:pStyle w:val="Compact"/>
              <w:jc w:val="left"/>
            </w:pPr>
            <w:r>
              <w:t xml:space="preserve">0.98 (0.97–0.99)</w:t>
            </w:r>
          </w:p>
        </w:tc>
        <w:tc>
          <w:tcPr/>
          <w:p>
            <w:pPr>
              <w:pStyle w:val="Compact"/>
              <w:jc w:val="left"/>
            </w:pPr>
            <w:r>
              <w:t xml:space="preserve">5.3×10⁻⁶</w:t>
            </w:r>
          </w:p>
        </w:tc>
        <w:tc>
          <w:tcPr/>
          <w:p>
            <w:pPr>
              <w:pStyle w:val="Compact"/>
              <w:jc w:val="left"/>
            </w:pPr>
            <w:r>
              <w:t xml:space="preserve">&lt;0.001</w:t>
            </w:r>
          </w:p>
        </w:tc>
        <w:tc>
          <w:tcPr/>
          <w:p>
            <w:pPr>
              <w:pStyle w:val="Compact"/>
              <w:jc w:val="left"/>
            </w:pPr>
            <w:r>
              <w:t xml:space="preserve">0.005</w:t>
            </w:r>
          </w:p>
        </w:tc>
        <w:tc>
          <w:tcPr/>
          <w:p>
            <w:pPr>
              <w:pStyle w:val="Compact"/>
              <w:jc w:val="left"/>
            </w:pPr>
            <w:r>
              <w:t xml:space="preserve">0.026</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1</w:t>
            </w:r>
          </w:p>
        </w:tc>
        <w:tc>
          <w:tcPr/>
          <w:p>
            <w:pPr>
              <w:pStyle w:val="Compact"/>
              <w:jc w:val="left"/>
            </w:pPr>
            <w:r>
              <w:t xml:space="preserve">1.25 (1.13–1.38)</w:t>
            </w:r>
          </w:p>
        </w:tc>
        <w:tc>
          <w:tcPr/>
          <w:p>
            <w:pPr>
              <w:pStyle w:val="Compact"/>
              <w:jc w:val="left"/>
            </w:pPr>
            <w:r>
              <w:t xml:space="preserve">6.9×10⁻⁶</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1</w:t>
            </w:r>
          </w:p>
        </w:tc>
        <w:tc>
          <w:tcPr/>
          <w:p>
            <w:pPr>
              <w:pStyle w:val="Compact"/>
              <w:jc w:val="left"/>
            </w:pPr>
            <w:r>
              <w:t xml:space="preserve">2.10 (1.51–2.91)</w:t>
            </w:r>
          </w:p>
        </w:tc>
        <w:tc>
          <w:tcPr/>
          <w:p>
            <w:pPr>
              <w:pStyle w:val="Compact"/>
              <w:jc w:val="left"/>
            </w:pPr>
            <w:r>
              <w:t xml:space="preserve">9.4×10⁻⁶</w:t>
            </w:r>
          </w:p>
        </w:tc>
        <w:tc>
          <w:tcPr/>
          <w:p>
            <w:pPr>
              <w:pStyle w:val="Compact"/>
              <w:jc w:val="left"/>
            </w:pPr>
            <w:r>
              <w:t xml:space="preserve">0.989</w:t>
            </w:r>
          </w:p>
        </w:tc>
        <w:tc>
          <w:tcPr/>
          <w:p>
            <w:pPr>
              <w:pStyle w:val="Compact"/>
              <w:jc w:val="left"/>
            </w:pPr>
            <w:r>
              <w:t xml:space="preserve">0.052</w:t>
            </w:r>
          </w:p>
        </w:tc>
        <w:tc>
          <w:tcPr/>
          <w:p>
            <w:pPr>
              <w:pStyle w:val="Compact"/>
              <w:jc w:val="left"/>
            </w:pPr>
            <w:r>
              <w:t xml:space="preserve">0.020</w:t>
            </w:r>
          </w:p>
        </w:tc>
        <w:tc>
          <w:tcPr/>
          <w:p>
            <w:pPr>
              <w:pStyle w:val="Compact"/>
              <w:jc w:val="left"/>
            </w:pPr>
            <w:r>
              <w:t xml:space="preserve">Candidate (single-outcome coloc)</w:t>
            </w:r>
          </w:p>
        </w:tc>
      </w:tr>
    </w:tbl>
    <w:p>
      <w:pPr>
        <w:pStyle w:val="BodyText"/>
      </w:pPr>
      <w:r>
        <w:rPr>
          <w:iCs/>
          <w:i/>
        </w:rPr>
        <w:t xml:space="preserve">Primary discovery estimates against BBJ Graves disease (Wald ratio for single-instrument loci, IVW for multi-instrument loci), ordered by discovery P value. OR per unit increase in genetically proxied expression. Colocalization (coloc.abf) was evaluated against all three outcomes;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loci in the MHC region or otherwise not carried into formal colocalization. The two established loci (TSHR, CTLA4) and MHC-region signals are recognized a priori. Among non-known candidates, TNFSF14 and IFNGR1 colocalized strongly in BBJ (PP.H4 = 0.994 and 0.989) but in neither secondary outcome, and the chr16p11.2 cluster resolves to a single conditional signal (Supplementary Table S5); no non-known candidate showed shared-variant colocalization in more than one outcome.</w:t>
      </w:r>
    </w:p>
    <w:p>
      <w:r>
        <w:pict>
          <v:rect style="width:0;height:1.5pt" o:hralign="center" o:hrstd="t" o:hr="t"/>
        </w:pict>
      </w:r>
    </w:p>
    <w:bookmarkEnd w:id="40"/>
    <w:bookmarkStart w:id="41" w:name="supplementary-material"/>
    <w:p>
      <w:pPr>
        <w:pStyle w:val="Heading2"/>
      </w:pPr>
      <w:r>
        <w:t xml:space="preserve">Supplementary Material</w:t>
      </w:r>
    </w:p>
    <w:p>
      <w:pPr>
        <w:pStyle w:val="FirstParagraph"/>
      </w:pPr>
      <w:r>
        <w:rPr>
          <w:bCs/>
          <w:b/>
        </w:rPr>
        <w:t xml:space="preserve">Supplementary Tables</w:t>
      </w:r>
    </w:p>
    <w:p>
      <w:pPr>
        <w:numPr>
          <w:ilvl w:val="0"/>
          <w:numId w:val="1002"/>
        </w:numPr>
        <w:pStyle w:val="Compact"/>
      </w:pPr>
      <w:r>
        <w:rPr>
          <w:bCs/>
          <w:b/>
        </w:rPr>
        <w:t xml:space="preserve">Table S1.</w:t>
      </w:r>
      <w:r>
        <w:t xml:space="preserve"> </w:t>
      </w:r>
      <w:r>
        <w:t xml:space="preserve">Extended cross-outcome detail for the thirteen Bonferroni-significant BBJ discovery hits. Whereas Table 3 summarizes the discovery (BBJ) effect sizes and colocalization, this table provides the per-hit Mendelian randomization estimates across all three outcomes (BBJ Graves disease, UKB hyperthyroidism, FinnGen Graves ophthalmopathy) together with the colocalization lead variant, supporting the cross-outcome reproducibility assessment.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BBJ β (</w:t>
            </w:r>
            <w:r>
              <w:rPr>
                <w:iCs/>
                <w:i/>
              </w:rPr>
              <w:t xml:space="preserve">P</w:t>
            </w:r>
            <w:r>
              <w:t xml:space="preserve">)</w:t>
            </w:r>
          </w:p>
        </w:tc>
        <w:tc>
          <w:tcPr/>
          <w:p>
            <w:pPr>
              <w:pStyle w:val="Compact"/>
              <w:jc w:val="left"/>
            </w:pPr>
            <w:r>
              <w:t xml:space="preserve">UKB β (</w:t>
            </w:r>
            <w:r>
              <w:rPr>
                <w:iCs/>
                <w:i/>
              </w:rPr>
              <w:t xml:space="preserve">P</w:t>
            </w:r>
            <w:r>
              <w:t xml:space="preserve">)</w:t>
            </w:r>
          </w:p>
        </w:tc>
        <w:tc>
          <w:tcPr/>
          <w:p>
            <w:pPr>
              <w:pStyle w:val="Compact"/>
              <w:jc w:val="left"/>
            </w:pPr>
            <w:r>
              <w:t xml:space="preserve">FinnGen β (</w:t>
            </w:r>
            <w:r>
              <w:rPr>
                <w:iCs/>
                <w:i/>
              </w:rPr>
              <w:t xml:space="preserve">P</w:t>
            </w:r>
            <w:r>
              <w:t xml:space="preserve">)</w:t>
            </w:r>
          </w:p>
        </w:tc>
        <w:tc>
          <w:tcPr/>
          <w:p>
            <w:pPr>
              <w:pStyle w:val="Compact"/>
              <w:jc w:val="left"/>
            </w:pPr>
            <w:r>
              <w:t xml:space="preserve">Coloc lead SNP</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+0.68 (2.6×10⁻²³)</w:t>
            </w:r>
          </w:p>
        </w:tc>
        <w:tc>
          <w:tcPr/>
          <w:p>
            <w:pPr>
              <w:pStyle w:val="Compact"/>
              <w:jc w:val="left"/>
            </w:pPr>
            <w:r>
              <w:t xml:space="preserve">−0.17 (0.47)</w:t>
            </w:r>
          </w:p>
        </w:tc>
        <w:tc>
          <w:tcPr/>
          <w:p>
            <w:pPr>
              <w:pStyle w:val="Compact"/>
              <w:jc w:val="left"/>
            </w:pPr>
            <w:r>
              <w:t xml:space="preserve">+0.18 (0.43)</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+0.87 (8.3×10⁻¹⁷)</w:t>
            </w:r>
          </w:p>
        </w:tc>
        <w:tc>
          <w:tcPr/>
          <w:p>
            <w:pPr>
              <w:pStyle w:val="Compact"/>
              <w:jc w:val="left"/>
            </w:pPr>
            <w:r>
              <w:t xml:space="preserve">−0.25 (0.45)</w:t>
            </w:r>
          </w:p>
        </w:tc>
        <w:tc>
          <w:tcPr/>
          <w:p>
            <w:pPr>
              <w:pStyle w:val="Compact"/>
              <w:jc w:val="left"/>
            </w:pPr>
            <w:r>
              <w:t xml:space="preserve">+0.83 (1.8×10⁻⁷)</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CTLA4</w:t>
            </w:r>
          </w:p>
        </w:tc>
        <w:tc>
          <w:tcPr/>
          <w:p>
            <w:pPr>
              <w:pStyle w:val="Compact"/>
              <w:jc w:val="left"/>
            </w:pPr>
            <w:r>
              <w:t xml:space="preserve">−1.74 (5.5×10⁻¹⁵)</w:t>
            </w:r>
          </w:p>
        </w:tc>
        <w:tc>
          <w:tcPr/>
          <w:p>
            <w:pPr>
              <w:pStyle w:val="Compact"/>
              <w:jc w:val="left"/>
            </w:pPr>
            <w:r>
              <w:t xml:space="preserve">−1.57 (2.2×10⁻³)</w:t>
            </w:r>
          </w:p>
        </w:tc>
        <w:tc>
          <w:tcPr/>
          <w:p>
            <w:pPr>
              <w:pStyle w:val="Compact"/>
              <w:jc w:val="left"/>
            </w:pPr>
            <w:r>
              <w:t xml:space="preserve">−1.77 (1.2×10⁻²)</w:t>
            </w:r>
          </w:p>
        </w:tc>
        <w:tc>
          <w:tcPr/>
          <w:p>
            <w:pPr>
              <w:pStyle w:val="Compact"/>
              <w:jc w:val="left"/>
            </w:pPr>
            <w:r>
              <w:t xml:space="preserve">rs231811</w:t>
            </w:r>
          </w:p>
        </w:tc>
        <w:tc>
          <w:tcPr/>
          <w:p>
            <w:pPr>
              <w:pStyle w:val="Compact"/>
              <w:jc w:val="left"/>
            </w:pPr>
            <w:r>
              <w:t xml:space="preserve">Established autoimmune locus</w:t>
            </w:r>
          </w:p>
        </w:tc>
      </w:tr>
      <w:tr>
        <w:tc>
          <w:tcPr/>
          <w:p>
            <w:pPr>
              <w:pStyle w:val="Compact"/>
              <w:jc w:val="left"/>
            </w:pPr>
            <w:r>
              <w:rPr>
                <w:iCs/>
                <w:i/>
              </w:rPr>
              <w:t xml:space="preserve">TSHR</w:t>
            </w:r>
          </w:p>
        </w:tc>
        <w:tc>
          <w:tcPr/>
          <w:p>
            <w:pPr>
              <w:pStyle w:val="Compact"/>
              <w:jc w:val="left"/>
            </w:pPr>
            <w:r>
              <w:t xml:space="preserve">−2.10 (1.1×10⁻¹⁴)</w:t>
            </w:r>
          </w:p>
        </w:tc>
        <w:tc>
          <w:tcPr/>
          <w:p>
            <w:pPr>
              <w:pStyle w:val="Compact"/>
              <w:jc w:val="left"/>
            </w:pPr>
            <w:r>
              <w:t xml:space="preserve">−2.44 (8.8×10⁻²⁸)</w:t>
            </w:r>
          </w:p>
        </w:tc>
        <w:tc>
          <w:tcPr/>
          <w:p>
            <w:pPr>
              <w:pStyle w:val="Compact"/>
              <w:jc w:val="left"/>
            </w:pPr>
            <w:r>
              <w:t xml:space="preserve">−2.33 (2.8×10⁻⁷)</w:t>
            </w:r>
          </w:p>
        </w:tc>
        <w:tc>
          <w:tcPr/>
          <w:p>
            <w:pPr>
              <w:pStyle w:val="Compact"/>
              <w:jc w:val="left"/>
            </w:pPr>
            <w:r>
              <w:t xml:space="preserve">rs179252</w:t>
            </w:r>
          </w:p>
        </w:tc>
        <w:tc>
          <w:tcPr/>
          <w:p>
            <w:pPr>
              <w:pStyle w:val="Compact"/>
              <w:jc w:val="left"/>
            </w:pPr>
            <w:r>
              <w:t xml:space="preserve">Established GD locus</w:t>
            </w:r>
          </w:p>
        </w:tc>
      </w:tr>
      <w:tr>
        <w:tc>
          <w:tcPr/>
          <w:p>
            <w:pPr>
              <w:pStyle w:val="Compact"/>
              <w:jc w:val="left"/>
            </w:pPr>
            <w:r>
              <w:rPr>
                <w:iCs/>
                <w:i/>
              </w:rPr>
              <w:t xml:space="preserve">C4A</w:t>
            </w:r>
          </w:p>
        </w:tc>
        <w:tc>
          <w:tcPr/>
          <w:p>
            <w:pPr>
              <w:pStyle w:val="Compact"/>
              <w:jc w:val="left"/>
            </w:pPr>
            <w:r>
              <w:t xml:space="preserve">−0.80 (2.2×10⁻¹⁰)</w:t>
            </w:r>
          </w:p>
        </w:tc>
        <w:tc>
          <w:tcPr/>
          <w:p>
            <w:pPr>
              <w:pStyle w:val="Compact"/>
              <w:jc w:val="left"/>
            </w:pPr>
            <w:r>
              <w:t xml:space="preserve">−0.14 (0.24)</w:t>
            </w:r>
          </w:p>
        </w:tc>
        <w:tc>
          <w:tcPr/>
          <w:p>
            <w:pPr>
              <w:pStyle w:val="Compact"/>
              <w:jc w:val="left"/>
            </w:pPr>
            <w:r>
              <w:t xml:space="preserve">−1.02 (1.4×10⁻¹¹)</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−1.23 (2.0×10⁻⁷)</w:t>
            </w:r>
          </w:p>
        </w:tc>
        <w:tc>
          <w:tcPr/>
          <w:p>
            <w:pPr>
              <w:pStyle w:val="Compact"/>
              <w:jc w:val="left"/>
            </w:pPr>
            <w:r>
              <w:t xml:space="preserve">−0.28 (0.020)</w:t>
            </w:r>
          </w:p>
        </w:tc>
        <w:tc>
          <w:tcPr/>
          <w:p>
            <w:pPr>
              <w:pStyle w:val="Compact"/>
              <w:jc w:val="left"/>
            </w:pPr>
            <w:r>
              <w:t xml:space="preserve">+0.27 (0.27)</w:t>
            </w:r>
          </w:p>
        </w:tc>
        <w:tc>
          <w:tcPr/>
          <w:p>
            <w:pPr>
              <w:pStyle w:val="Compact"/>
              <w:jc w:val="left"/>
            </w:pPr>
            <w:r>
              <w:t xml:space="preserve">rs4889606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+0.40 (3.1×10⁻⁷)</w:t>
            </w:r>
          </w:p>
        </w:tc>
        <w:tc>
          <w:tcPr/>
          <w:p>
            <w:pPr>
              <w:pStyle w:val="Compact"/>
              <w:jc w:val="left"/>
            </w:pPr>
            <w:r>
              <w:t xml:space="preserve">+1.04 (3.1×10⁻⁶)</w:t>
            </w:r>
          </w:p>
        </w:tc>
        <w:tc>
          <w:tcPr/>
          <w:p>
            <w:pPr>
              <w:pStyle w:val="Compact"/>
              <w:jc w:val="left"/>
            </w:pPr>
            <w:r>
              <w:t xml:space="preserve">+1.24 (5.9×10⁻⁵)</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−2.02 (6.4×10⁻⁷)</w:t>
            </w:r>
          </w:p>
        </w:tc>
        <w:tc>
          <w:tcPr/>
          <w:p>
            <w:pPr>
              <w:pStyle w:val="Compact"/>
              <w:jc w:val="left"/>
            </w:pPr>
            <w:r>
              <w:t xml:space="preserve">−0.37 (0.073)</w:t>
            </w:r>
          </w:p>
        </w:tc>
        <w:tc>
          <w:tcPr/>
          <w:p>
            <w:pPr>
              <w:pStyle w:val="Compact"/>
              <w:jc w:val="left"/>
            </w:pPr>
            <w:r>
              <w:t xml:space="preserve">—</w:t>
            </w:r>
          </w:p>
        </w:tc>
        <w:tc>
          <w:tcPr/>
          <w:p>
            <w:pPr>
              <w:pStyle w:val="Compact"/>
              <w:jc w:val="left"/>
            </w:pPr>
            <w:r>
              <w:t xml:space="preserve">rs34649473</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−0.47 (1.5×10⁻⁶)</w:t>
            </w:r>
          </w:p>
        </w:tc>
        <w:tc>
          <w:tcPr/>
          <w:p>
            <w:pPr>
              <w:pStyle w:val="Compact"/>
              <w:jc w:val="left"/>
            </w:pPr>
            <w:r>
              <w:t xml:space="preserve">−0.30 (5.6×10⁻³)</w:t>
            </w:r>
          </w:p>
        </w:tc>
        <w:tc>
          <w:tcPr/>
          <w:p>
            <w:pPr>
              <w:pStyle w:val="Compact"/>
              <w:jc w:val="left"/>
            </w:pPr>
            <w:r>
              <w:t xml:space="preserve">+0.03 (0.85)</w:t>
            </w:r>
          </w:p>
        </w:tc>
        <w:tc>
          <w:tcPr/>
          <w:p>
            <w:pPr>
              <w:pStyle w:val="Compact"/>
              <w:jc w:val="left"/>
            </w:pPr>
            <w:r>
              <w:t xml:space="preserve">rs2291668</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+1.79 (2.0×10⁻⁶)</w:t>
            </w:r>
          </w:p>
        </w:tc>
        <w:tc>
          <w:tcPr/>
          <w:p>
            <w:pPr>
              <w:pStyle w:val="Compact"/>
              <w:jc w:val="left"/>
            </w:pPr>
            <w:r>
              <w:t xml:space="preserve">+0.45 (0.014)</w:t>
            </w:r>
          </w:p>
        </w:tc>
        <w:tc>
          <w:tcPr/>
          <w:p>
            <w:pPr>
              <w:pStyle w:val="Compact"/>
              <w:jc w:val="left"/>
            </w:pPr>
            <w:r>
              <w:t xml:space="preserve">+0.44 (0.23)</w:t>
            </w:r>
          </w:p>
        </w:tc>
        <w:tc>
          <w:tcPr/>
          <w:p>
            <w:pPr>
              <w:pStyle w:val="Compact"/>
              <w:jc w:val="left"/>
            </w:pPr>
            <w:r>
              <w:t xml:space="preserve">rs78924645</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−0.02 (5.3×10⁻⁶)</w:t>
            </w:r>
          </w:p>
        </w:tc>
        <w:tc>
          <w:tcPr/>
          <w:p>
            <w:pPr>
              <w:pStyle w:val="Compact"/>
              <w:jc w:val="left"/>
            </w:pPr>
            <w:r>
              <w:t xml:space="preserve">−0.19 (0.078)</w:t>
            </w:r>
          </w:p>
        </w:tc>
        <w:tc>
          <w:tcPr/>
          <w:p>
            <w:pPr>
              <w:pStyle w:val="Compact"/>
              <w:jc w:val="left"/>
            </w:pPr>
            <w:r>
              <w:t xml:space="preserve">−0.10 (0.16)</w:t>
            </w:r>
          </w:p>
        </w:tc>
        <w:tc>
          <w:tcPr/>
          <w:p>
            <w:pPr>
              <w:pStyle w:val="Compact"/>
              <w:jc w:val="left"/>
            </w:pPr>
            <w:r>
              <w:t xml:space="preserve">rs79271898</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+0.22 (6.9×10⁻⁶)</w:t>
            </w:r>
          </w:p>
        </w:tc>
        <w:tc>
          <w:tcPr/>
          <w:p>
            <w:pPr>
              <w:pStyle w:val="Compact"/>
              <w:jc w:val="left"/>
            </w:pPr>
            <w:r>
              <w:t xml:space="preserve">−0.04 (0.55)</w:t>
            </w:r>
          </w:p>
        </w:tc>
        <w:tc>
          <w:tcPr/>
          <w:p>
            <w:pPr>
              <w:pStyle w:val="Compact"/>
              <w:jc w:val="left"/>
            </w:pPr>
            <w:r>
              <w:t xml:space="preserve">−0.07 (0.57)</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+0.74 (9.4×10⁻⁶)</w:t>
            </w:r>
          </w:p>
        </w:tc>
        <w:tc>
          <w:tcPr/>
          <w:p>
            <w:pPr>
              <w:pStyle w:val="Compact"/>
              <w:jc w:val="left"/>
            </w:pPr>
            <w:r>
              <w:t xml:space="preserve">+0.30 (0.070)</w:t>
            </w:r>
          </w:p>
        </w:tc>
        <w:tc>
          <w:tcPr/>
          <w:p>
            <w:pPr>
              <w:pStyle w:val="Compact"/>
              <w:jc w:val="left"/>
            </w:pPr>
            <w:r>
              <w:t xml:space="preserve">+0.14 (0.68)</w:t>
            </w:r>
          </w:p>
        </w:tc>
        <w:tc>
          <w:tcPr/>
          <w:p>
            <w:pPr>
              <w:pStyle w:val="Compact"/>
              <w:jc w:val="left"/>
            </w:pPr>
            <w:r>
              <w:t xml:space="preserve">rs11754268</w:t>
            </w:r>
          </w:p>
        </w:tc>
        <w:tc>
          <w:tcPr/>
          <w:p>
            <w:pPr>
              <w:pStyle w:val="Compact"/>
              <w:jc w:val="left"/>
            </w:pPr>
            <w:r>
              <w:t xml:space="preserve">Candidate (single-outcome coloc)</w:t>
            </w:r>
          </w:p>
        </w:tc>
      </w:tr>
    </w:tbl>
    <w:p>
      <w:pPr>
        <w:pStyle w:val="BodyText"/>
      </w:pPr>
      <w:r>
        <w:rPr>
          <w:iCs/>
          <w:i/>
        </w:rPr>
        <w:t xml:space="preserve">Effect estimates (β, log-odds) by Wald ratio (single instrument) or inverse-variance weighted (multiple instruments).</w:t>
      </w:r>
      <w:r>
        <w:rPr>
          <w:iCs/>
          <w:i/>
        </w:rPr>
        <w:t xml:space="preserve"> </w:t>
      </w:r>
      <w:r>
        <w:rPr>
          <w:iCs/>
          <w:i/>
        </w:rPr>
        <w:t xml:space="preserve">“</w:t>
      </w:r>
      <w:r>
        <w:rPr>
          <w:iCs/>
          <w:i/>
        </w:rPr>
        <w:t xml:space="preserve">—</w:t>
      </w:r>
      <w:r>
        <w:rPr>
          <w:iCs/>
          <w:i/>
        </w:rPr>
        <w:t xml:space="preserve">”</w:t>
      </w:r>
      <w:r>
        <w:rPr>
          <w:iCs/>
          <w:i/>
        </w:rPr>
        <w:t xml:space="preserve"> </w:t>
      </w:r>
      <w:r>
        <w:rPr>
          <w:iCs/>
          <w:i/>
        </w:rPr>
        <w:t xml:space="preserve">for FinnGen</w:t>
      </w:r>
      <w:r>
        <w:rPr>
          <w:iCs/>
          <w:i/>
        </w:rPr>
        <w:t xml:space="preserve"> </w:t>
      </w:r>
      <w:r>
        <w:t xml:space="preserve">VKORC1* indicates no estimable instrument in that outcome;</w:t>
      </w:r>
      <w:r>
        <w:t xml:space="preserve"> </w:t>
      </w:r>
      <w:r>
        <w:t xml:space="preserve">“</w:t>
      </w:r>
      <w:r>
        <w:t xml:space="preserve">—</w:t>
      </w:r>
      <w:r>
        <w:t xml:space="preserve">”</w:t>
      </w:r>
      <w:r>
        <w:t xml:space="preserve"> </w:t>
      </w:r>
      <w:r>
        <w:t xml:space="preserve">in the colocalization column denotes MHC-region loci not carried into formal colocalization. Several discovery hits do not reproduce in the broader-phenotype (UKB) or TED-enriched (FinnGen) outcomes. Among non-MHC established anchors,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showed consistent protective-direction estimates across all three outcomes; MHC-region signals were interpreted separately because of complex regional linkage disequilibrium.</w:t>
      </w:r>
      <w:r>
        <w:rPr>
          <w:iCs/>
          <w:i/>
        </w:rPr>
        <w:t xml:space="preserve"> </w:t>
      </w:r>
      <w:r>
        <w:rPr>
          <w:iCs/>
          <w:i/>
        </w:rPr>
        <w:t xml:space="preserve">-</w:t>
      </w:r>
      <w:r>
        <w:rPr>
          <w:iCs/>
          <w:i/>
        </w:rPr>
        <w:t xml:space="preserve"> </w:t>
      </w:r>
      <w:r>
        <w:rPr>
          <w:bCs/>
          <w:b/>
          <w:iCs/>
          <w:i/>
        </w:rPr>
        <w:t xml:space="preserve">Table S2.</w:t>
      </w:r>
      <w:r>
        <w:rPr>
          <w:iCs/>
          <w:i/>
        </w:rPr>
        <w:t xml:space="preserve"> </w:t>
      </w:r>
      <w:r>
        <w:rPr>
          <w:iCs/>
          <w:i/>
        </w:rPr>
        <w:t xml:space="preserve">Candidate colocalization across all three outcomes for non-known candidate hits. Posterior probabilities are from coloc.abf using beta and varbeta with ancestry-matched allele frequencies (H0 no association; H1 outcome only; H2</w:t>
      </w:r>
      <w:r>
        <w:rPr>
          <w:iCs/>
          <w:i/>
        </w:rPr>
        <w:t xml:space="preserve"> </w:t>
      </w:r>
      <w:r>
        <w:t xml:space="preserve">cis*-eQTL only; H3 distinct causal variants; H4 shared causal variant). The last two columns give PP.H4 under more conservative priors.</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c>
          <w:tcPr/>
          <w:p>
            <w:pPr>
              <w:pStyle w:val="Compact"/>
              <w:jc w:val="left"/>
            </w:pPr>
            <w:r>
              <w:t xml:space="preserve">PP.H4 (p12=10⁻⁶)</w:t>
            </w:r>
          </w:p>
        </w:tc>
        <w:tc>
          <w:tcPr/>
          <w:p>
            <w:pPr>
              <w:pStyle w:val="Compact"/>
              <w:jc w:val="left"/>
            </w:pPr>
            <w:r>
              <w:t xml:space="preserve">PP.H4 (p12=5×10⁻⁶)</w:t>
            </w:r>
          </w:p>
        </w:tc>
      </w:tr>
      <w:tr>
        <w:tc>
          <w:tcPr/>
          <w:p>
            <w:pPr>
              <w:pStyle w:val="Compact"/>
              <w:jc w:val="left"/>
            </w:pPr>
            <w:r>
              <w:rPr>
                <w:iCs/>
                <w:i/>
              </w:rPr>
              <w:t xml:space="preserve">TNFSF14</w:t>
            </w:r>
          </w:p>
        </w:tc>
        <w:tc>
          <w:tcPr/>
          <w:p>
            <w:pPr>
              <w:pStyle w:val="Compact"/>
              <w:jc w:val="left"/>
            </w:pPr>
            <w:r>
              <w:t xml:space="preserve">BBJ Graves</w:t>
            </w:r>
          </w:p>
        </w:tc>
        <w:tc>
          <w:tcPr/>
          <w:p>
            <w:pPr>
              <w:pStyle w:val="Compact"/>
              <w:jc w:val="left"/>
            </w:pPr>
            <w:r>
              <w:t xml:space="preserve">4,790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0.994</w:t>
            </w:r>
          </w:p>
        </w:tc>
        <w:tc>
          <w:tcPr/>
          <w:p>
            <w:pPr>
              <w:pStyle w:val="Compact"/>
              <w:jc w:val="left"/>
            </w:pPr>
            <w:r>
              <w:t xml:space="preserve">rs2291668</w:t>
            </w:r>
          </w:p>
        </w:tc>
        <w:tc>
          <w:tcPr/>
          <w:p>
            <w:pPr>
              <w:pStyle w:val="Compact"/>
              <w:jc w:val="left"/>
            </w:pPr>
            <w:r>
              <w:t xml:space="preserve">0.941</w:t>
            </w:r>
          </w:p>
        </w:tc>
        <w:tc>
          <w:tcPr/>
          <w:p>
            <w:pPr>
              <w:pStyle w:val="Compact"/>
              <w:jc w:val="left"/>
            </w:pPr>
            <w:r>
              <w:t xml:space="preserve">0.988</w:t>
            </w:r>
          </w:p>
        </w:tc>
      </w:tr>
      <w:tr>
        <w:tc>
          <w:tcPr/>
          <w:p>
            <w:pPr>
              <w:pStyle w:val="Compact"/>
              <w:jc w:val="left"/>
            </w:pPr>
            <w:r>
              <w:rPr>
                <w:iCs/>
                <w:i/>
              </w:rPr>
              <w:t xml:space="preserve">TNFSF14</w:t>
            </w:r>
          </w:p>
        </w:tc>
        <w:tc>
          <w:tcPr/>
          <w:p>
            <w:pPr>
              <w:pStyle w:val="Compact"/>
              <w:jc w:val="left"/>
            </w:pPr>
            <w:r>
              <w:t xml:space="preserve">UKB hyperthyroid</w:t>
            </w:r>
          </w:p>
        </w:tc>
        <w:tc>
          <w:tcPr/>
          <w:p>
            <w:pPr>
              <w:pStyle w:val="Compact"/>
              <w:jc w:val="left"/>
            </w:pPr>
            <w:r>
              <w:t xml:space="preserve">7,197</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0.360</w:t>
            </w:r>
          </w:p>
        </w:tc>
        <w:tc>
          <w:tcPr/>
          <w:p>
            <w:pPr>
              <w:pStyle w:val="Compact"/>
              <w:jc w:val="left"/>
            </w:pPr>
            <w:r>
              <w:t xml:space="preserve">0.403</w:t>
            </w:r>
          </w:p>
        </w:tc>
        <w:tc>
          <w:tcPr/>
          <w:p>
            <w:pPr>
              <w:pStyle w:val="Compact"/>
              <w:jc w:val="left"/>
            </w:pPr>
            <w:r>
              <w:t xml:space="preserve">0.237</w:t>
            </w:r>
          </w:p>
        </w:tc>
        <w:tc>
          <w:tcPr/>
          <w:p>
            <w:pPr>
              <w:pStyle w:val="Compact"/>
              <w:jc w:val="left"/>
            </w:pPr>
            <w:r>
              <w:t xml:space="preserve">rs2291668</w:t>
            </w:r>
          </w:p>
        </w:tc>
        <w:tc>
          <w:tcPr/>
          <w:p>
            <w:pPr>
              <w:pStyle w:val="Compact"/>
              <w:jc w:val="left"/>
            </w:pPr>
            <w:r>
              <w:t xml:space="preserve">0.030</w:t>
            </w:r>
          </w:p>
        </w:tc>
        <w:tc>
          <w:tcPr/>
          <w:p>
            <w:pPr>
              <w:pStyle w:val="Compact"/>
              <w:jc w:val="left"/>
            </w:pPr>
            <w:r>
              <w:t xml:space="preserve">0.134</w:t>
            </w:r>
          </w:p>
        </w:tc>
      </w:tr>
      <w:tr>
        <w:tc>
          <w:tcPr/>
          <w:p>
            <w:pPr>
              <w:pStyle w:val="Compact"/>
              <w:jc w:val="left"/>
            </w:pPr>
            <w:r>
              <w:rPr>
                <w:iCs/>
                <w:i/>
              </w:rPr>
              <w:t xml:space="preserve">TNFSF14</w:t>
            </w:r>
          </w:p>
        </w:tc>
        <w:tc>
          <w:tcPr/>
          <w:p>
            <w:pPr>
              <w:pStyle w:val="Compact"/>
              <w:jc w:val="left"/>
            </w:pPr>
            <w:r>
              <w:t xml:space="preserve">FinnGen GO</w:t>
            </w:r>
          </w:p>
        </w:tc>
        <w:tc>
          <w:tcPr/>
          <w:p>
            <w:pPr>
              <w:pStyle w:val="Compact"/>
              <w:jc w:val="left"/>
            </w:pPr>
            <w:r>
              <w:t xml:space="preserve">7,703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0.626</w:t>
            </w:r>
          </w:p>
        </w:tc>
        <w:tc>
          <w:tcPr/>
          <w:p>
            <w:pPr>
              <w:pStyle w:val="Compact"/>
              <w:jc w:val="left"/>
            </w:pPr>
            <w:r>
              <w:t xml:space="preserve">0.357</w:t>
            </w:r>
          </w:p>
        </w:tc>
        <w:tc>
          <w:tcPr/>
          <w:p>
            <w:pPr>
              <w:pStyle w:val="Compact"/>
              <w:jc w:val="left"/>
            </w:pPr>
            <w:r>
              <w:t xml:space="preserve">0.017</w:t>
            </w:r>
          </w:p>
        </w:tc>
        <w:tc>
          <w:tcPr/>
          <w:p>
            <w:pPr>
              <w:pStyle w:val="Compact"/>
              <w:jc w:val="left"/>
            </w:pPr>
            <w:r>
              <w:t xml:space="preserve">rs2291668</w:t>
            </w:r>
          </w:p>
        </w:tc>
        <w:tc>
          <w:tcPr/>
          <w:p>
            <w:pPr>
              <w:pStyle w:val="Compact"/>
              <w:jc w:val="left"/>
            </w:pPr>
            <w:r>
              <w:t xml:space="preserve">0.002</w:t>
            </w:r>
          </w:p>
        </w:tc>
        <w:tc>
          <w:tcPr/>
          <w:p>
            <w:pPr>
              <w:pStyle w:val="Compact"/>
              <w:jc w:val="left"/>
            </w:pPr>
            <w:r>
              <w:t xml:space="preserve">0.009</w:t>
            </w:r>
          </w:p>
        </w:tc>
      </w:tr>
      <w:tr>
        <w:tc>
          <w:tcPr/>
          <w:p>
            <w:pPr>
              <w:pStyle w:val="Compact"/>
              <w:jc w:val="left"/>
            </w:pPr>
            <w:r>
              <w:rPr>
                <w:iCs/>
                <w:i/>
              </w:rPr>
              <w:t xml:space="preserve">IFNGR1</w:t>
            </w:r>
          </w:p>
        </w:tc>
        <w:tc>
          <w:tcPr/>
          <w:p>
            <w:pPr>
              <w:pStyle w:val="Compact"/>
              <w:jc w:val="left"/>
            </w:pPr>
            <w:r>
              <w:t xml:space="preserve">BBJ Graves</w:t>
            </w:r>
          </w:p>
        </w:tc>
        <w:tc>
          <w:tcPr/>
          <w:p>
            <w:pPr>
              <w:pStyle w:val="Compact"/>
              <w:jc w:val="left"/>
            </w:pPr>
            <w:r>
              <w:t xml:space="preserve">3,973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0.989</w:t>
            </w:r>
          </w:p>
        </w:tc>
        <w:tc>
          <w:tcPr/>
          <w:p>
            <w:pPr>
              <w:pStyle w:val="Compact"/>
              <w:jc w:val="left"/>
            </w:pPr>
            <w:r>
              <w:t xml:space="preserve">rs11754268</w:t>
            </w:r>
          </w:p>
        </w:tc>
        <w:tc>
          <w:tcPr/>
          <w:p>
            <w:pPr>
              <w:pStyle w:val="Compact"/>
              <w:jc w:val="left"/>
            </w:pPr>
            <w:r>
              <w:t xml:space="preserve">0.899</w:t>
            </w:r>
          </w:p>
        </w:tc>
        <w:tc>
          <w:tcPr/>
          <w:p>
            <w:pPr>
              <w:pStyle w:val="Compact"/>
              <w:jc w:val="left"/>
            </w:pPr>
            <w:r>
              <w:t xml:space="preserve">0.978</w:t>
            </w:r>
          </w:p>
        </w:tc>
      </w:tr>
      <w:tr>
        <w:tc>
          <w:tcPr/>
          <w:p>
            <w:pPr>
              <w:pStyle w:val="Compact"/>
              <w:jc w:val="left"/>
            </w:pPr>
            <w:r>
              <w:rPr>
                <w:iCs/>
                <w:i/>
              </w:rPr>
              <w:t xml:space="preserve">IFNGR1</w:t>
            </w:r>
          </w:p>
        </w:tc>
        <w:tc>
          <w:tcPr/>
          <w:p>
            <w:pPr>
              <w:pStyle w:val="Compact"/>
              <w:jc w:val="left"/>
            </w:pPr>
            <w:r>
              <w:t xml:space="preserve">UKB hyperthyroid</w:t>
            </w:r>
          </w:p>
        </w:tc>
        <w:tc>
          <w:tcPr/>
          <w:p>
            <w:pPr>
              <w:pStyle w:val="Compact"/>
              <w:jc w:val="left"/>
            </w:pPr>
            <w:r>
              <w:t xml:space="preserve">5,145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0.736</w:t>
            </w:r>
          </w:p>
        </w:tc>
        <w:tc>
          <w:tcPr/>
          <w:p>
            <w:pPr>
              <w:pStyle w:val="Compact"/>
              <w:jc w:val="left"/>
            </w:pPr>
            <w:r>
              <w:t xml:space="preserve">0.211</w:t>
            </w:r>
          </w:p>
        </w:tc>
        <w:tc>
          <w:tcPr/>
          <w:p>
            <w:pPr>
              <w:pStyle w:val="Compact"/>
              <w:jc w:val="left"/>
            </w:pPr>
            <w:r>
              <w:t xml:space="preserve">0.052</w:t>
            </w:r>
          </w:p>
        </w:tc>
        <w:tc>
          <w:tcPr/>
          <w:p>
            <w:pPr>
              <w:pStyle w:val="Compact"/>
              <w:jc w:val="left"/>
            </w:pPr>
            <w:r>
              <w:t xml:space="preserve">rs11754268</w:t>
            </w:r>
          </w:p>
        </w:tc>
        <w:tc>
          <w:tcPr/>
          <w:p>
            <w:pPr>
              <w:pStyle w:val="Compact"/>
              <w:jc w:val="left"/>
            </w:pPr>
            <w:r>
              <w:t xml:space="preserve">0.005</w:t>
            </w:r>
          </w:p>
        </w:tc>
        <w:tc>
          <w:tcPr/>
          <w:p>
            <w:pPr>
              <w:pStyle w:val="Compact"/>
              <w:jc w:val="left"/>
            </w:pPr>
            <w:r>
              <w:t xml:space="preserve">0.027</w:t>
            </w:r>
          </w:p>
        </w:tc>
      </w:tr>
      <w:tr>
        <w:tc>
          <w:tcPr/>
          <w:p>
            <w:pPr>
              <w:pStyle w:val="Compact"/>
              <w:jc w:val="left"/>
            </w:pPr>
            <w:r>
              <w:rPr>
                <w:iCs/>
                <w:i/>
              </w:rPr>
              <w:t xml:space="preserve">IFNGR1</w:t>
            </w:r>
          </w:p>
        </w:tc>
        <w:tc>
          <w:tcPr/>
          <w:p>
            <w:pPr>
              <w:pStyle w:val="Compact"/>
              <w:jc w:val="left"/>
            </w:pPr>
            <w:r>
              <w:t xml:space="preserve">FinnGen GO</w:t>
            </w:r>
          </w:p>
        </w:tc>
        <w:tc>
          <w:tcPr/>
          <w:p>
            <w:pPr>
              <w:pStyle w:val="Compact"/>
              <w:jc w:val="left"/>
            </w:pPr>
            <w:r>
              <w:t xml:space="preserve">5,891</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0.641</w:t>
            </w:r>
          </w:p>
        </w:tc>
        <w:tc>
          <w:tcPr/>
          <w:p>
            <w:pPr>
              <w:pStyle w:val="Compact"/>
              <w:jc w:val="left"/>
            </w:pPr>
            <w:r>
              <w:t xml:space="preserve">0.339</w:t>
            </w:r>
          </w:p>
        </w:tc>
        <w:tc>
          <w:tcPr/>
          <w:p>
            <w:pPr>
              <w:pStyle w:val="Compact"/>
              <w:jc w:val="left"/>
            </w:pPr>
            <w:r>
              <w:t xml:space="preserve">0.020</w:t>
            </w:r>
          </w:p>
        </w:tc>
        <w:tc>
          <w:tcPr/>
          <w:p>
            <w:pPr>
              <w:pStyle w:val="Compact"/>
              <w:jc w:val="left"/>
            </w:pPr>
            <w:r>
              <w:t xml:space="preserve">rs11754268</w:t>
            </w:r>
          </w:p>
        </w:tc>
        <w:tc>
          <w:tcPr/>
          <w:p>
            <w:pPr>
              <w:pStyle w:val="Compact"/>
              <w:jc w:val="left"/>
            </w:pPr>
            <w:r>
              <w:t xml:space="preserve">0.002</w:t>
            </w:r>
          </w:p>
        </w:tc>
        <w:tc>
          <w:tcPr/>
          <w:p>
            <w:pPr>
              <w:pStyle w:val="Compact"/>
              <w:jc w:val="left"/>
            </w:pPr>
            <w:r>
              <w:t xml:space="preserve">0.010</w:t>
            </w:r>
          </w:p>
        </w:tc>
      </w:tr>
      <w:tr>
        <w:tc>
          <w:tcPr/>
          <w:p>
            <w:pPr>
              <w:pStyle w:val="Compact"/>
              <w:jc w:val="left"/>
            </w:pPr>
            <w:r>
              <w:rPr>
                <w:iCs/>
                <w:i/>
              </w:rPr>
              <w:t xml:space="preserve">MAPKAPK5</w:t>
            </w:r>
          </w:p>
        </w:tc>
        <w:tc>
          <w:tcPr/>
          <w:p>
            <w:pPr>
              <w:pStyle w:val="Compact"/>
              <w:jc w:val="left"/>
            </w:pPr>
            <w:r>
              <w:t xml:space="preserve">BBJ Graves</w:t>
            </w:r>
          </w:p>
        </w:tc>
        <w:tc>
          <w:tcPr/>
          <w:p>
            <w:pPr>
              <w:pStyle w:val="Compact"/>
              <w:jc w:val="left"/>
            </w:pPr>
            <w:r>
              <w:t xml:space="preserve">2,077</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rs79271898</w:t>
            </w:r>
          </w:p>
        </w:tc>
        <w:tc>
          <w:tcPr/>
          <w:p>
            <w:pPr>
              <w:pStyle w:val="Compact"/>
              <w:jc w:val="left"/>
            </w:pPr>
            <w:r>
              <w:t xml:space="preserve">0.000</w:t>
            </w:r>
          </w:p>
        </w:tc>
        <w:tc>
          <w:tcPr/>
          <w:p>
            <w:pPr>
              <w:pStyle w:val="Compact"/>
              <w:jc w:val="left"/>
            </w:pPr>
            <w:r>
              <w:t xml:space="preserve">0.000</w:t>
            </w:r>
          </w:p>
        </w:tc>
      </w:tr>
      <w:tr>
        <w:tc>
          <w:tcPr/>
          <w:p>
            <w:pPr>
              <w:pStyle w:val="Compact"/>
              <w:jc w:val="left"/>
            </w:pPr>
            <w:r>
              <w:rPr>
                <w:iCs/>
                <w:i/>
              </w:rPr>
              <w:t xml:space="preserve">MAPKAPK5</w:t>
            </w:r>
          </w:p>
        </w:tc>
        <w:tc>
          <w:tcPr/>
          <w:p>
            <w:pPr>
              <w:pStyle w:val="Compact"/>
              <w:jc w:val="left"/>
            </w:pPr>
            <w:r>
              <w:t xml:space="preserve">UKB hyperthyroid</w:t>
            </w:r>
          </w:p>
        </w:tc>
        <w:tc>
          <w:tcPr/>
          <w:p>
            <w:pPr>
              <w:pStyle w:val="Compact"/>
              <w:jc w:val="left"/>
            </w:pPr>
            <w:r>
              <w:t xml:space="preserve">2,763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0.052</w:t>
            </w:r>
          </w:p>
        </w:tc>
        <w:tc>
          <w:tcPr/>
          <w:p>
            <w:pPr>
              <w:pStyle w:val="Compact"/>
              <w:jc w:val="left"/>
            </w:pPr>
            <w:r>
              <w:t xml:space="preserve">0.944</w:t>
            </w:r>
          </w:p>
        </w:tc>
        <w:tc>
          <w:tcPr/>
          <w:p>
            <w:pPr>
              <w:pStyle w:val="Compact"/>
              <w:jc w:val="left"/>
            </w:pPr>
            <w:r>
              <w:t xml:space="preserve">0.005</w:t>
            </w:r>
          </w:p>
        </w:tc>
        <w:tc>
          <w:tcPr/>
          <w:p>
            <w:pPr>
              <w:pStyle w:val="Compact"/>
              <w:jc w:val="left"/>
            </w:pPr>
            <w:r>
              <w:t xml:space="preserve">rs79271898</w:t>
            </w:r>
          </w:p>
        </w:tc>
        <w:tc>
          <w:tcPr/>
          <w:p>
            <w:pPr>
              <w:pStyle w:val="Compact"/>
              <w:jc w:val="left"/>
            </w:pPr>
            <w:r>
              <w:t xml:space="preserve">0.000</w:t>
            </w:r>
          </w:p>
        </w:tc>
        <w:tc>
          <w:tcPr/>
          <w:p>
            <w:pPr>
              <w:pStyle w:val="Compact"/>
              <w:jc w:val="left"/>
            </w:pPr>
            <w:r>
              <w:t xml:space="preserve">0.002</w:t>
            </w:r>
          </w:p>
        </w:tc>
      </w:tr>
      <w:tr>
        <w:tc>
          <w:tcPr/>
          <w:p>
            <w:pPr>
              <w:pStyle w:val="Compact"/>
              <w:jc w:val="left"/>
            </w:pPr>
            <w:r>
              <w:rPr>
                <w:iCs/>
                <w:i/>
              </w:rPr>
              <w:t xml:space="preserve">MAPKAPK5</w:t>
            </w:r>
          </w:p>
        </w:tc>
        <w:tc>
          <w:tcPr/>
          <w:p>
            <w:pPr>
              <w:pStyle w:val="Compact"/>
              <w:jc w:val="left"/>
            </w:pPr>
            <w:r>
              <w:t xml:space="preserve">FinnGen GO</w:t>
            </w:r>
          </w:p>
        </w:tc>
        <w:tc>
          <w:tcPr/>
          <w:p>
            <w:pPr>
              <w:pStyle w:val="Compact"/>
              <w:jc w:val="left"/>
            </w:pPr>
            <w:r>
              <w:t xml:space="preserve">3,294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0.663</w:t>
            </w:r>
          </w:p>
        </w:tc>
        <w:tc>
          <w:tcPr/>
          <w:p>
            <w:pPr>
              <w:pStyle w:val="Compact"/>
              <w:jc w:val="left"/>
            </w:pPr>
            <w:r>
              <w:t xml:space="preserve">0.311</w:t>
            </w:r>
          </w:p>
        </w:tc>
        <w:tc>
          <w:tcPr/>
          <w:p>
            <w:pPr>
              <w:pStyle w:val="Compact"/>
              <w:jc w:val="left"/>
            </w:pPr>
            <w:r>
              <w:t xml:space="preserve">0.026</w:t>
            </w:r>
          </w:p>
        </w:tc>
        <w:tc>
          <w:tcPr/>
          <w:p>
            <w:pPr>
              <w:pStyle w:val="Compact"/>
              <w:jc w:val="left"/>
            </w:pPr>
            <w:r>
              <w:t xml:space="preserve">rs79271898</w:t>
            </w:r>
          </w:p>
        </w:tc>
        <w:tc>
          <w:tcPr/>
          <w:p>
            <w:pPr>
              <w:pStyle w:val="Compact"/>
              <w:jc w:val="left"/>
            </w:pPr>
            <w:r>
              <w:t xml:space="preserve">0.003</w:t>
            </w:r>
          </w:p>
        </w:tc>
        <w:tc>
          <w:tcPr/>
          <w:p>
            <w:pPr>
              <w:pStyle w:val="Compact"/>
              <w:jc w:val="left"/>
            </w:pPr>
            <w:r>
              <w:t xml:space="preserve">0.013</w:t>
            </w:r>
          </w:p>
        </w:tc>
      </w:tr>
      <w:tr>
        <w:tc>
          <w:tcPr/>
          <w:p>
            <w:pPr>
              <w:pStyle w:val="Compact"/>
              <w:jc w:val="left"/>
            </w:pPr>
            <w:r>
              <w:rPr>
                <w:iCs/>
                <w:i/>
              </w:rPr>
              <w:t xml:space="preserve">HSD3B7</w:t>
            </w:r>
          </w:p>
        </w:tc>
        <w:tc>
          <w:tcPr/>
          <w:p>
            <w:pPr>
              <w:pStyle w:val="Compact"/>
              <w:jc w:val="left"/>
            </w:pPr>
            <w:r>
              <w:t xml:space="preserve">BBJ Graves</w:t>
            </w:r>
          </w:p>
        </w:tc>
        <w:tc>
          <w:tcPr/>
          <w:p>
            <w:pPr>
              <w:pStyle w:val="Compact"/>
              <w:jc w:val="left"/>
            </w:pPr>
            <w:r>
              <w:t xml:space="preserve">1,630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0.364</w:t>
            </w:r>
          </w:p>
        </w:tc>
        <w:tc>
          <w:tcPr/>
          <w:p>
            <w:pPr>
              <w:pStyle w:val="Compact"/>
              <w:jc w:val="left"/>
            </w:pPr>
            <w:r>
              <w:t xml:space="preserve">0.636</w:t>
            </w:r>
          </w:p>
        </w:tc>
        <w:tc>
          <w:tcPr/>
          <w:p>
            <w:pPr>
              <w:pStyle w:val="Compact"/>
              <w:jc w:val="left"/>
            </w:pPr>
            <w:r>
              <w:t xml:space="preserve">rs4889606</w:t>
            </w:r>
          </w:p>
        </w:tc>
        <w:tc>
          <w:tcPr/>
          <w:p>
            <w:pPr>
              <w:pStyle w:val="Compact"/>
              <w:jc w:val="left"/>
            </w:pPr>
            <w:r>
              <w:t xml:space="preserve">0.149</w:t>
            </w:r>
          </w:p>
        </w:tc>
        <w:tc>
          <w:tcPr/>
          <w:p>
            <w:pPr>
              <w:pStyle w:val="Compact"/>
              <w:jc w:val="left"/>
            </w:pPr>
            <w:r>
              <w:t xml:space="preserve">0.467</w:t>
            </w:r>
          </w:p>
        </w:tc>
      </w:tr>
      <w:tr>
        <w:tc>
          <w:tcPr/>
          <w:p>
            <w:pPr>
              <w:pStyle w:val="Compact"/>
              <w:jc w:val="left"/>
            </w:pPr>
            <w:r>
              <w:rPr>
                <w:iCs/>
                <w:i/>
              </w:rPr>
              <w:t xml:space="preserve">HSD3B7</w:t>
            </w:r>
          </w:p>
        </w:tc>
        <w:tc>
          <w:tcPr/>
          <w:p>
            <w:pPr>
              <w:pStyle w:val="Compact"/>
              <w:jc w:val="left"/>
            </w:pPr>
            <w:r>
              <w:t xml:space="preserve">UKB hyperthyroid</w:t>
            </w:r>
          </w:p>
        </w:tc>
        <w:tc>
          <w:tcPr/>
          <w:p>
            <w:pPr>
              <w:pStyle w:val="Compact"/>
              <w:jc w:val="left"/>
            </w:pPr>
            <w:r>
              <w:t xml:space="preserve">2,755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0.444</w:t>
            </w:r>
          </w:p>
        </w:tc>
        <w:tc>
          <w:tcPr/>
          <w:p>
            <w:pPr>
              <w:pStyle w:val="Compact"/>
              <w:jc w:val="left"/>
            </w:pPr>
            <w:r>
              <w:t xml:space="preserve">0.461</w:t>
            </w:r>
          </w:p>
        </w:tc>
        <w:tc>
          <w:tcPr/>
          <w:p>
            <w:pPr>
              <w:pStyle w:val="Compact"/>
              <w:jc w:val="left"/>
            </w:pPr>
            <w:r>
              <w:t xml:space="preserve">0.095</w:t>
            </w:r>
          </w:p>
        </w:tc>
        <w:tc>
          <w:tcPr/>
          <w:p>
            <w:pPr>
              <w:pStyle w:val="Compact"/>
              <w:jc w:val="left"/>
            </w:pPr>
            <w:r>
              <w:t xml:space="preserve">rs4889606</w:t>
            </w:r>
          </w:p>
        </w:tc>
        <w:tc>
          <w:tcPr/>
          <w:p>
            <w:pPr>
              <w:pStyle w:val="Compact"/>
              <w:jc w:val="left"/>
            </w:pPr>
            <w:r>
              <w:t xml:space="preserve">0.010</w:t>
            </w:r>
          </w:p>
        </w:tc>
        <w:tc>
          <w:tcPr/>
          <w:p>
            <w:pPr>
              <w:pStyle w:val="Compact"/>
              <w:jc w:val="left"/>
            </w:pPr>
            <w:r>
              <w:t xml:space="preserve">0.050</w:t>
            </w:r>
          </w:p>
        </w:tc>
      </w:tr>
      <w:tr>
        <w:tc>
          <w:tcPr/>
          <w:p>
            <w:pPr>
              <w:pStyle w:val="Compact"/>
              <w:jc w:val="left"/>
            </w:pPr>
            <w:r>
              <w:rPr>
                <w:iCs/>
                <w:i/>
              </w:rPr>
              <w:t xml:space="preserve">HSD3B7</w:t>
            </w:r>
          </w:p>
        </w:tc>
        <w:tc>
          <w:tcPr/>
          <w:p>
            <w:pPr>
              <w:pStyle w:val="Compact"/>
              <w:jc w:val="left"/>
            </w:pPr>
            <w:r>
              <w:t xml:space="preserve">FinnGen GO</w:t>
            </w:r>
          </w:p>
        </w:tc>
        <w:tc>
          <w:tcPr/>
          <w:p>
            <w:pPr>
              <w:pStyle w:val="Compact"/>
              <w:jc w:val="left"/>
            </w:pPr>
            <w:r>
              <w:t xml:space="preserve">3,104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0.733</w:t>
            </w:r>
          </w:p>
        </w:tc>
        <w:tc>
          <w:tcPr/>
          <w:p>
            <w:pPr>
              <w:pStyle w:val="Compact"/>
              <w:jc w:val="left"/>
            </w:pPr>
            <w:r>
              <w:t xml:space="preserve">0.240</w:t>
            </w:r>
          </w:p>
        </w:tc>
        <w:tc>
          <w:tcPr/>
          <w:p>
            <w:pPr>
              <w:pStyle w:val="Compact"/>
              <w:jc w:val="left"/>
            </w:pPr>
            <w:r>
              <w:t xml:space="preserve">0.026</w:t>
            </w:r>
          </w:p>
        </w:tc>
        <w:tc>
          <w:tcPr/>
          <w:p>
            <w:pPr>
              <w:pStyle w:val="Compact"/>
              <w:jc w:val="left"/>
            </w:pPr>
            <w:r>
              <w:t xml:space="preserve">rs4889606</w:t>
            </w:r>
          </w:p>
        </w:tc>
        <w:tc>
          <w:tcPr/>
          <w:p>
            <w:pPr>
              <w:pStyle w:val="Compact"/>
              <w:jc w:val="left"/>
            </w:pPr>
            <w:r>
              <w:t xml:space="preserve">0.003</w:t>
            </w:r>
          </w:p>
        </w:tc>
        <w:tc>
          <w:tcPr/>
          <w:p>
            <w:pPr>
              <w:pStyle w:val="Compact"/>
              <w:jc w:val="left"/>
            </w:pPr>
            <w:r>
              <w:t xml:space="preserve">0.013</w:t>
            </w:r>
          </w:p>
        </w:tc>
      </w:tr>
      <w:tr>
        <w:tc>
          <w:tcPr/>
          <w:p>
            <w:pPr>
              <w:pStyle w:val="Compact"/>
              <w:jc w:val="left"/>
            </w:pPr>
            <w:r>
              <w:rPr>
                <w:iCs/>
                <w:i/>
              </w:rPr>
              <w:t xml:space="preserve">VKORC1</w:t>
            </w:r>
          </w:p>
        </w:tc>
        <w:tc>
          <w:tcPr/>
          <w:p>
            <w:pPr>
              <w:pStyle w:val="Compact"/>
              <w:jc w:val="left"/>
            </w:pPr>
            <w:r>
              <w:t xml:space="preserve">BBJ Graves</w:t>
            </w:r>
          </w:p>
        </w:tc>
        <w:tc>
          <w:tcPr/>
          <w:p>
            <w:pPr>
              <w:pStyle w:val="Compact"/>
              <w:jc w:val="left"/>
            </w:pPr>
            <w:r>
              <w:t xml:space="preserve">1,516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0.612</w:t>
            </w:r>
          </w:p>
        </w:tc>
        <w:tc>
          <w:tcPr/>
          <w:p>
            <w:pPr>
              <w:pStyle w:val="Compact"/>
              <w:jc w:val="left"/>
            </w:pPr>
            <w:r>
              <w:t xml:space="preserve">0.388</w:t>
            </w:r>
          </w:p>
        </w:tc>
        <w:tc>
          <w:tcPr/>
          <w:p>
            <w:pPr>
              <w:pStyle w:val="Compact"/>
              <w:jc w:val="left"/>
            </w:pPr>
            <w:r>
              <w:t xml:space="preserve">rs34649473</w:t>
            </w:r>
          </w:p>
        </w:tc>
        <w:tc>
          <w:tcPr/>
          <w:p>
            <w:pPr>
              <w:pStyle w:val="Compact"/>
              <w:jc w:val="left"/>
            </w:pPr>
            <w:r>
              <w:t xml:space="preserve">0.060</w:t>
            </w:r>
          </w:p>
        </w:tc>
        <w:tc>
          <w:tcPr/>
          <w:p>
            <w:pPr>
              <w:pStyle w:val="Compact"/>
              <w:jc w:val="left"/>
            </w:pPr>
            <w:r>
              <w:t xml:space="preserve">0.241</w:t>
            </w:r>
          </w:p>
        </w:tc>
      </w:tr>
      <w:tr>
        <w:tc>
          <w:tcPr/>
          <w:p>
            <w:pPr>
              <w:pStyle w:val="Compact"/>
              <w:jc w:val="left"/>
            </w:pPr>
            <w:r>
              <w:rPr>
                <w:iCs/>
                <w:i/>
              </w:rPr>
              <w:t xml:space="preserve">VKORC1</w:t>
            </w:r>
          </w:p>
        </w:tc>
        <w:tc>
          <w:tcPr/>
          <w:p>
            <w:pPr>
              <w:pStyle w:val="Compact"/>
              <w:jc w:val="left"/>
            </w:pPr>
            <w:r>
              <w:t xml:space="preserve">UKB hyperthyroid</w:t>
            </w:r>
          </w:p>
        </w:tc>
        <w:tc>
          <w:tcPr/>
          <w:p>
            <w:pPr>
              <w:pStyle w:val="Compact"/>
              <w:jc w:val="left"/>
            </w:pPr>
            <w:r>
              <w:t xml:space="preserve">2,644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0.477</w:t>
            </w:r>
          </w:p>
        </w:tc>
        <w:tc>
          <w:tcPr/>
          <w:p>
            <w:pPr>
              <w:pStyle w:val="Compact"/>
              <w:jc w:val="left"/>
            </w:pPr>
            <w:r>
              <w:t xml:space="preserve">0.493</w:t>
            </w:r>
          </w:p>
        </w:tc>
        <w:tc>
          <w:tcPr/>
          <w:p>
            <w:pPr>
              <w:pStyle w:val="Compact"/>
              <w:jc w:val="left"/>
            </w:pPr>
            <w:r>
              <w:t xml:space="preserve">0.030</w:t>
            </w:r>
          </w:p>
        </w:tc>
        <w:tc>
          <w:tcPr/>
          <w:p>
            <w:pPr>
              <w:pStyle w:val="Compact"/>
              <w:jc w:val="left"/>
            </w:pPr>
            <w:r>
              <w:t xml:space="preserve">rs34649473</w:t>
            </w:r>
          </w:p>
        </w:tc>
        <w:tc>
          <w:tcPr/>
          <w:p>
            <w:pPr>
              <w:pStyle w:val="Compact"/>
              <w:jc w:val="left"/>
            </w:pPr>
            <w:r>
              <w:t xml:space="preserve">0.003</w:t>
            </w:r>
          </w:p>
        </w:tc>
        <w:tc>
          <w:tcPr/>
          <w:p>
            <w:pPr>
              <w:pStyle w:val="Compact"/>
              <w:jc w:val="left"/>
            </w:pPr>
            <w:r>
              <w:t xml:space="preserve">0.015</w:t>
            </w:r>
          </w:p>
        </w:tc>
      </w:tr>
      <w:tr>
        <w:tc>
          <w:tcPr/>
          <w:p>
            <w:pPr>
              <w:pStyle w:val="Compact"/>
              <w:jc w:val="left"/>
            </w:pPr>
            <w:r>
              <w:rPr>
                <w:iCs/>
                <w:i/>
              </w:rPr>
              <w:t xml:space="preserve">VKORC1</w:t>
            </w:r>
          </w:p>
        </w:tc>
        <w:tc>
          <w:tcPr/>
          <w:p>
            <w:pPr>
              <w:pStyle w:val="Compact"/>
              <w:jc w:val="left"/>
            </w:pPr>
            <w:r>
              <w:t xml:space="preserve">FinnGen GO</w:t>
            </w:r>
          </w:p>
        </w:tc>
        <w:tc>
          <w:tcPr/>
          <w:p>
            <w:pPr>
              <w:pStyle w:val="Compact"/>
              <w:jc w:val="left"/>
            </w:pPr>
            <w:r>
              <w:t xml:space="preserve">2,961</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0.739</w:t>
            </w:r>
          </w:p>
        </w:tc>
        <w:tc>
          <w:tcPr/>
          <w:p>
            <w:pPr>
              <w:pStyle w:val="Compact"/>
              <w:jc w:val="left"/>
            </w:pPr>
            <w:r>
              <w:t xml:space="preserve">0.231</w:t>
            </w:r>
          </w:p>
        </w:tc>
        <w:tc>
          <w:tcPr/>
          <w:p>
            <w:pPr>
              <w:pStyle w:val="Compact"/>
              <w:jc w:val="left"/>
            </w:pPr>
            <w:r>
              <w:t xml:space="preserve">0.030</w:t>
            </w:r>
          </w:p>
        </w:tc>
        <w:tc>
          <w:tcPr/>
          <w:p>
            <w:pPr>
              <w:pStyle w:val="Compact"/>
              <w:jc w:val="left"/>
            </w:pPr>
            <w:r>
              <w:t xml:space="preserve">rs2884737</w:t>
            </w:r>
          </w:p>
        </w:tc>
        <w:tc>
          <w:tcPr/>
          <w:p>
            <w:pPr>
              <w:pStyle w:val="Compact"/>
              <w:jc w:val="left"/>
            </w:pPr>
            <w:r>
              <w:t xml:space="preserve">0.003</w:t>
            </w:r>
          </w:p>
        </w:tc>
        <w:tc>
          <w:tcPr/>
          <w:p>
            <w:pPr>
              <w:pStyle w:val="Compact"/>
              <w:jc w:val="left"/>
            </w:pPr>
            <w:r>
              <w:t xml:space="preserve">0.015</w:t>
            </w:r>
          </w:p>
        </w:tc>
      </w:tr>
      <w:tr>
        <w:tc>
          <w:tcPr/>
          <w:p>
            <w:pPr>
              <w:pStyle w:val="Compact"/>
              <w:jc w:val="left"/>
            </w:pPr>
            <w:r>
              <w:rPr>
                <w:iCs/>
                <w:i/>
              </w:rPr>
              <w:t xml:space="preserve">PRSS36</w:t>
            </w:r>
          </w:p>
        </w:tc>
        <w:tc>
          <w:tcPr/>
          <w:p>
            <w:pPr>
              <w:pStyle w:val="Compact"/>
              <w:jc w:val="left"/>
            </w:pPr>
            <w:r>
              <w:t xml:space="preserve">BBJ Graves</w:t>
            </w:r>
          </w:p>
        </w:tc>
        <w:tc>
          <w:tcPr/>
          <w:p>
            <w:pPr>
              <w:pStyle w:val="Compact"/>
              <w:jc w:val="left"/>
            </w:pPr>
            <w:r>
              <w:t xml:space="preserve">1,479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0.832</w:t>
            </w:r>
          </w:p>
        </w:tc>
        <w:tc>
          <w:tcPr/>
          <w:p>
            <w:pPr>
              <w:pStyle w:val="Compact"/>
              <w:jc w:val="left"/>
            </w:pPr>
            <w:r>
              <w:t xml:space="preserve">0.168</w:t>
            </w:r>
          </w:p>
        </w:tc>
        <w:tc>
          <w:tcPr/>
          <w:p>
            <w:pPr>
              <w:pStyle w:val="Compact"/>
              <w:jc w:val="left"/>
            </w:pPr>
            <w:r>
              <w:t xml:space="preserve">rs78924645</w:t>
            </w:r>
          </w:p>
        </w:tc>
        <w:tc>
          <w:tcPr/>
          <w:p>
            <w:pPr>
              <w:pStyle w:val="Compact"/>
              <w:jc w:val="left"/>
            </w:pPr>
            <w:r>
              <w:t xml:space="preserve">0.020</w:t>
            </w:r>
          </w:p>
        </w:tc>
        <w:tc>
          <w:tcPr/>
          <w:p>
            <w:pPr>
              <w:pStyle w:val="Compact"/>
              <w:jc w:val="left"/>
            </w:pPr>
            <w:r>
              <w:t xml:space="preserve">0.092</w:t>
            </w:r>
          </w:p>
        </w:tc>
      </w:tr>
      <w:tr>
        <w:tc>
          <w:tcPr/>
          <w:p>
            <w:pPr>
              <w:pStyle w:val="Compact"/>
              <w:jc w:val="left"/>
            </w:pPr>
            <w:r>
              <w:rPr>
                <w:iCs/>
                <w:i/>
              </w:rPr>
              <w:t xml:space="preserve">PRSS36</w:t>
            </w:r>
          </w:p>
        </w:tc>
        <w:tc>
          <w:tcPr/>
          <w:p>
            <w:pPr>
              <w:pStyle w:val="Compact"/>
              <w:jc w:val="left"/>
            </w:pPr>
            <w:r>
              <w:t xml:space="preserve">UKB hyperthyroid</w:t>
            </w:r>
          </w:p>
        </w:tc>
        <w:tc>
          <w:tcPr/>
          <w:p>
            <w:pPr>
              <w:pStyle w:val="Compact"/>
              <w:jc w:val="left"/>
            </w:pPr>
            <w:r>
              <w:t xml:space="preserve">2,577</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0.436</w:t>
            </w:r>
          </w:p>
        </w:tc>
        <w:tc>
          <w:tcPr/>
          <w:p>
            <w:pPr>
              <w:pStyle w:val="Compact"/>
              <w:jc w:val="left"/>
            </w:pPr>
            <w:r>
              <w:t xml:space="preserve">0.449</w:t>
            </w:r>
          </w:p>
        </w:tc>
        <w:tc>
          <w:tcPr/>
          <w:p>
            <w:pPr>
              <w:pStyle w:val="Compact"/>
              <w:jc w:val="left"/>
            </w:pPr>
            <w:r>
              <w:t xml:space="preserve">0.115</w:t>
            </w:r>
          </w:p>
        </w:tc>
        <w:tc>
          <w:tcPr/>
          <w:p>
            <w:pPr>
              <w:pStyle w:val="Compact"/>
              <w:jc w:val="left"/>
            </w:pPr>
            <w:r>
              <w:t xml:space="preserve">rs78924645</w:t>
            </w:r>
          </w:p>
        </w:tc>
        <w:tc>
          <w:tcPr/>
          <w:p>
            <w:pPr>
              <w:pStyle w:val="Compact"/>
              <w:jc w:val="left"/>
            </w:pPr>
            <w:r>
              <w:t xml:space="preserve">0.013</w:t>
            </w:r>
          </w:p>
        </w:tc>
        <w:tc>
          <w:tcPr/>
          <w:p>
            <w:pPr>
              <w:pStyle w:val="Compact"/>
              <w:jc w:val="left"/>
            </w:pPr>
            <w:r>
              <w:t xml:space="preserve">0.061</w:t>
            </w:r>
          </w:p>
        </w:tc>
      </w:tr>
      <w:tr>
        <w:tc>
          <w:tcPr/>
          <w:p>
            <w:pPr>
              <w:pStyle w:val="Compact"/>
              <w:jc w:val="left"/>
            </w:pPr>
            <w:r>
              <w:rPr>
                <w:iCs/>
                <w:i/>
              </w:rPr>
              <w:t xml:space="preserve">PRSS36</w:t>
            </w:r>
          </w:p>
        </w:tc>
        <w:tc>
          <w:tcPr/>
          <w:p>
            <w:pPr>
              <w:pStyle w:val="Compact"/>
              <w:jc w:val="left"/>
            </w:pPr>
            <w:r>
              <w:t xml:space="preserve">FinnGen GO</w:t>
            </w:r>
          </w:p>
        </w:tc>
        <w:tc>
          <w:tcPr/>
          <w:p>
            <w:pPr>
              <w:pStyle w:val="Compact"/>
              <w:jc w:val="left"/>
            </w:pPr>
            <w:r>
              <w:t xml:space="preserve">2,821</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0.744</w:t>
            </w:r>
          </w:p>
        </w:tc>
        <w:tc>
          <w:tcPr/>
          <w:p>
            <w:pPr>
              <w:pStyle w:val="Compact"/>
              <w:jc w:val="left"/>
            </w:pPr>
            <w:r>
              <w:t xml:space="preserve">0.219</w:t>
            </w:r>
          </w:p>
        </w:tc>
        <w:tc>
          <w:tcPr/>
          <w:p>
            <w:pPr>
              <w:pStyle w:val="Compact"/>
              <w:jc w:val="left"/>
            </w:pPr>
            <w:r>
              <w:t xml:space="preserve">0.037</w:t>
            </w:r>
          </w:p>
        </w:tc>
        <w:tc>
          <w:tcPr/>
          <w:p>
            <w:pPr>
              <w:pStyle w:val="Compact"/>
              <w:jc w:val="left"/>
            </w:pPr>
            <w:r>
              <w:t xml:space="preserve">rs78924645</w:t>
            </w:r>
          </w:p>
        </w:tc>
        <w:tc>
          <w:tcPr/>
          <w:p>
            <w:pPr>
              <w:pStyle w:val="Compact"/>
              <w:jc w:val="left"/>
            </w:pPr>
            <w:r>
              <w:t xml:space="preserve">0.004</w:t>
            </w:r>
          </w:p>
        </w:tc>
        <w:tc>
          <w:tcPr/>
          <w:p>
            <w:pPr>
              <w:pStyle w:val="Compact"/>
              <w:jc w:val="left"/>
            </w:pPr>
            <w:r>
              <w:t xml:space="preserve">0.019</w:t>
            </w:r>
          </w:p>
        </w:tc>
      </w:tr>
    </w:tbl>
    <w:p>
      <w:pPr>
        <w:pStyle w:val="BodyText"/>
      </w:pPr>
      <w:r>
        <w:rPr>
          <w:iCs/>
          <w:i/>
        </w:rPr>
        <w:t xml:space="preserve">No non-known candidate reached shared-variant colocalization (PP.H4 ≥ 0.80) in more than one outcome. TNFSF14 and IFNGR1 colocalized strongly in the BBJ discovery outcome (PP.H4 = 0.994 and 0.989) but not in either replication outcome, and the chromosome 16p11.2 candidates showed only weak or ambiguous colocalization throughout. TNFSF14 retains a direction-consistent nominal MR association in UKB (P = 0.0056), so its exclusion reflects the colocalization criterion rather than absence of association; locus-specific power and phenotype heterogeneity across outcomes preclude a stronger interpretation. Default priors: p1 = p2 = 1×10⁻⁴, p12 = 1×10⁻⁵.</w:t>
      </w:r>
      <w:r>
        <w:t xml:space="preserve"> </w:t>
      </w:r>
      <w:r>
        <w:t xml:space="preserve">-</w:t>
      </w:r>
      <w:r>
        <w:t xml:space="preserve"> </w:t>
      </w:r>
      <w:r>
        <w:rPr>
          <w:bCs/>
          <w:b/>
        </w:rPr>
        <w:t xml:space="preserve">Table S3.</w:t>
      </w:r>
      <w:r>
        <w:t xml:space="preserve"> </w:t>
      </w:r>
      <w:r>
        <w:rPr>
          <w:iCs/>
          <w:i/>
        </w:rPr>
        <w:t xml:space="preserve">TSHR</w:t>
      </w:r>
      <w:r>
        <w:t xml:space="preserve"> </w:t>
      </w:r>
      <w:r>
        <w:t xml:space="preserve">locus LD-clumping sensitivity. Independent-instrument counts at the</w:t>
      </w:r>
      <w:r>
        <w:t xml:space="preserve"> </w:t>
      </w:r>
      <w:r>
        <w:rPr>
          <w:iCs/>
          <w:i/>
        </w:rPr>
        <w:t xml:space="preserve">TSHR</w:t>
      </w:r>
      <w:r>
        <w:t xml:space="preserve"> </w:t>
      </w:r>
      <w:r>
        <w:t xml:space="preserve">locus under varying clumping thresholds, using ancestry-matched 1000 Genomes Phase 3 reference panels (European, n = 503; East Asian, n = 504). rs179252 (the primary instrument) is retained as the lead variant under every threshold.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eQTL P threshold</w:t>
            </w:r>
          </w:p>
        </w:tc>
        <w:tc>
          <w:tcPr/>
          <w:p>
            <w:pPr>
              <w:pStyle w:val="Compact"/>
              <w:jc w:val="left"/>
            </w:pPr>
            <w:r>
              <w:t xml:space="preserve">Clumping</w:t>
            </w:r>
            <w:r>
              <w:t xml:space="preserve"> </w:t>
            </w:r>
            <w:r>
              <w:rPr>
                <w:iCs/>
                <w:i/>
              </w:rPr>
              <w:t xml:space="preserve">r</w:t>
            </w:r>
            <w:r>
              <w:t xml:space="preserve">²</w:t>
            </w:r>
          </w:p>
        </w:tc>
        <w:tc>
          <w:tcPr/>
          <w:p>
            <w:pPr>
              <w:pStyle w:val="Compact"/>
              <w:jc w:val="left"/>
            </w:pPr>
            <w:r>
              <w:t xml:space="preserve">LD reference</w:t>
            </w:r>
          </w:p>
        </w:tc>
        <w:tc>
          <w:tcPr/>
          <w:p>
            <w:pPr>
              <w:pStyle w:val="Compact"/>
              <w:jc w:val="left"/>
            </w:pPr>
            <w:r>
              <w:t xml:space="preserve">Independent SNPs</w:t>
            </w:r>
          </w:p>
        </w:tc>
        <w:tc>
          <w:tcPr/>
          <w:p>
            <w:pPr>
              <w:pStyle w:val="Compact"/>
              <w:jc w:val="left"/>
            </w:pPr>
            <w:r>
              <w:t xml:space="preserve">Includes rs179252</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EAS</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EUR</w:t>
            </w:r>
          </w:p>
        </w:tc>
        <w:tc>
          <w:tcPr/>
          <w:p>
            <w:pPr>
              <w:pStyle w:val="Compact"/>
              <w:jc w:val="left"/>
            </w:pPr>
            <w:r>
              <w:t xml:space="preserve">6</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EAS</w:t>
            </w:r>
          </w:p>
        </w:tc>
        <w:tc>
          <w:tcPr/>
          <w:p>
            <w:pPr>
              <w:pStyle w:val="Compact"/>
              <w:jc w:val="left"/>
            </w:pPr>
            <w:r>
              <w:t xml:space="preserve">10</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3</w:t>
            </w:r>
          </w:p>
        </w:tc>
        <w:tc>
          <w:tcPr/>
          <w:p>
            <w:pPr>
              <w:pStyle w:val="Compact"/>
              <w:jc w:val="left"/>
            </w:pPr>
            <w:r>
              <w:t xml:space="preserve">Yes</w:t>
            </w:r>
          </w:p>
        </w:tc>
      </w:tr>
    </w:tbl>
    <w:p>
      <w:pPr>
        <w:pStyle w:val="BodyText"/>
      </w:pPr>
      <w:r>
        <w:rPr>
          <w:iCs/>
          <w:i/>
        </w:rPr>
        <w:t xml:space="preserve">rs179252 (chr14:81,435,985 hg19; marginal cis-eQTL P = 2.86×10⁻⁴⁰) is retained as an index variant under all twelve threshold combinations tested. At the primary instrument-selection threshold (P &lt; 5×10⁻⁸, r² &lt; 0.001) the European reference yields a single independent instrument; further index variants appear there only as r² is relaxed. The East Asian reference yields two at the same threshold — rs179252 and rs72690955 (chr14:81,160,405; marginal P = 1.04×10⁻¹⁷; pairwise r² with rs179252 = 0.0002) — so the single-instrument treatment of TSHR follows from the European reference used for instrument selection, which matches the predominantly European eQTL panel, and not from an absence of independent signal in every ancestry. This is stated as a limitation. Because r² is invariant to allele coding, the assessment is unaffected by effect-allele orientation.</w:t>
      </w:r>
    </w:p>
    <w:p>
      <w:pPr>
        <w:numPr>
          <w:ilvl w:val="0"/>
          <w:numId w:val="1003"/>
        </w:numPr>
        <w:pStyle w:val="Compact"/>
      </w:pPr>
      <w:r>
        <w:rPr>
          <w:bCs/>
          <w:b/>
        </w:rPr>
        <w:t xml:space="preserve">Table S4.</w:t>
      </w:r>
      <w:r>
        <w:t xml:space="preserve"> </w:t>
      </w:r>
      <w:r>
        <w:t xml:space="preserve">Instrument selection and strength for the backbone genes and all thirteen discovery hits. Instruments were genome-wide significant</w:t>
      </w:r>
      <w:r>
        <w:t xml:space="preserve"> </w:t>
      </w:r>
      <w:r>
        <w:rPr>
          <w:iCs/>
          <w:i/>
        </w:rPr>
        <w:t xml:space="preserve">cis</w:t>
      </w:r>
      <w:r>
        <w:t xml:space="preserve">-eQTLs (P &lt; 5×10⁻⁸); the secondary threshold (P &lt; 5×10⁻⁶) count is shown for reference. Across all 2,544 MR-testable genes (6,135 instruments), the minimum F-statistic was 29.7, consistent with the</w:t>
      </w:r>
      <w:r>
        <w:t xml:space="preserve"> </w:t>
      </w:r>
      <w:r>
        <w:rPr>
          <w:iCs/>
          <w:i/>
        </w:rPr>
        <w:t xml:space="preserve">P</w:t>
      </w:r>
      <w:r>
        <w:t xml:space="preserve"> </w:t>
      </w:r>
      <w:r>
        <w:t xml:space="preserve">&lt; 5×10⁻⁸ selection threshold (which implies |</w:t>
      </w:r>
      <w:r>
        <w:rPr>
          <w:iCs/>
          <w:i/>
        </w:rPr>
        <w:t xml:space="preserve">Z</w:t>
      </w:r>
      <w:r>
        <w:t xml:space="preserve">| &gt; 5.45 and therefore</w:t>
      </w:r>
      <w:r>
        <w:t xml:space="preserve"> </w:t>
      </w:r>
      <w:r>
        <w:rPr>
          <w:iCs/>
          <w:i/>
        </w:rPr>
        <w:t xml:space="preserve">F</w:t>
      </w:r>
      <w:r>
        <w:t xml:space="preserve"> </w:t>
      </w:r>
      <w:r>
        <w:t xml:space="preserve">=</w:t>
      </w:r>
      <w:r>
        <w:t xml:space="preserve"> </w:t>
      </w:r>
      <w:r>
        <w:rPr>
          <w:iCs/>
          <w:i/>
        </w:rPr>
        <w:t xml:space="preserve">Z</w:t>
      </w:r>
      <w:r>
        <w:t xml:space="preserve">² &gt; 29.7); no weak instruments were present.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Instruments (P &lt; 5×10⁻⁸)</w:t>
            </w:r>
          </w:p>
        </w:tc>
        <w:tc>
          <w:tcPr/>
          <w:p>
            <w:pPr>
              <w:pStyle w:val="Compact"/>
              <w:jc w:val="left"/>
            </w:pPr>
            <w:r>
              <w:t xml:space="preserve">Instruments (P &lt; 5×10⁻⁶)</w:t>
            </w:r>
          </w:p>
        </w:tc>
        <w:tc>
          <w:tcPr/>
          <w:p>
            <w:pPr>
              <w:pStyle w:val="Compact"/>
              <w:jc w:val="left"/>
            </w:pPr>
            <w:r>
              <w:t xml:space="preserve">Single-instrument</w:t>
            </w:r>
          </w:p>
        </w:tc>
        <w:tc>
          <w:tcPr/>
          <w:p>
            <w:pPr>
              <w:pStyle w:val="Compact"/>
              <w:jc w:val="left"/>
            </w:pPr>
            <w:r>
              <w:t xml:space="preserve">Druggability tier</w:t>
            </w:r>
          </w:p>
        </w:tc>
      </w:tr>
      <w:tr>
        <w:tc>
          <w:tcPr/>
          <w:p>
            <w:pPr>
              <w:pStyle w:val="Compact"/>
              <w:jc w:val="left"/>
            </w:pPr>
            <w:r>
              <w:rPr>
                <w:iCs/>
                <w:i/>
              </w:rPr>
              <w:t xml:space="preserve">TSHR</w:t>
            </w:r>
          </w:p>
        </w:tc>
        <w:tc>
          <w:tcPr/>
          <w:p>
            <w:pPr>
              <w:pStyle w:val="Compact"/>
              <w:jc w:val="left"/>
            </w:pPr>
            <w:r>
              <w:t xml:space="preserve">14</w:t>
            </w:r>
          </w:p>
        </w:tc>
        <w:tc>
          <w:tcPr/>
          <w:p>
            <w:pPr>
              <w:pStyle w:val="Compact"/>
              <w:jc w:val="left"/>
            </w:pPr>
            <w:r>
              <w:t xml:space="preserve">1</w:t>
            </w:r>
          </w:p>
        </w:tc>
        <w:tc>
          <w:tcPr/>
          <w:p>
            <w:pPr>
              <w:pStyle w:val="Compact"/>
              <w:jc w:val="left"/>
            </w:pPr>
            <w:r>
              <w:t xml:space="preserve">710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IGF1R</w:t>
            </w:r>
          </w:p>
        </w:tc>
        <w:tc>
          <w:tcPr/>
          <w:p>
            <w:pPr>
              <w:pStyle w:val="Compact"/>
              <w:jc w:val="left"/>
            </w:pPr>
            <w:r>
              <w:t xml:space="preserve">15</w:t>
            </w:r>
          </w:p>
        </w:tc>
        <w:tc>
          <w:tcPr/>
          <w:p>
            <w:pPr>
              <w:pStyle w:val="Compact"/>
              <w:jc w:val="left"/>
            </w:pPr>
            <w:r>
              <w:t xml:space="preserve">4</w:t>
            </w:r>
          </w:p>
        </w:tc>
        <w:tc>
          <w:tcPr/>
          <w:p>
            <w:pPr>
              <w:pStyle w:val="Compact"/>
              <w:jc w:val="left"/>
            </w:pPr>
            <w:r>
              <w:t xml:space="preserve">511</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CTLA4</w:t>
            </w:r>
          </w:p>
        </w:tc>
        <w:tc>
          <w:tcPr/>
          <w:p>
            <w:pPr>
              <w:pStyle w:val="Compact"/>
              <w:jc w:val="left"/>
            </w:pPr>
            <w:r>
              <w:t xml:space="preserve">2</w:t>
            </w:r>
          </w:p>
        </w:tc>
        <w:tc>
          <w:tcPr/>
          <w:p>
            <w:pPr>
              <w:pStyle w:val="Compact"/>
              <w:jc w:val="left"/>
            </w:pPr>
            <w:r>
              <w:t xml:space="preserve">2</w:t>
            </w:r>
          </w:p>
        </w:tc>
        <w:tc>
          <w:tcPr/>
          <w:p>
            <w:pPr>
              <w:pStyle w:val="Compact"/>
              <w:jc w:val="left"/>
            </w:pPr>
            <w:r>
              <w:t xml:space="preserve">333</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HLA-A</w:t>
            </w:r>
          </w:p>
        </w:tc>
        <w:tc>
          <w:tcPr/>
          <w:p>
            <w:pPr>
              <w:pStyle w:val="Compact"/>
              <w:jc w:val="left"/>
            </w:pPr>
            <w:r>
              <w:t xml:space="preserve">6</w:t>
            </w:r>
          </w:p>
        </w:tc>
        <w:tc>
          <w:tcPr/>
          <w:p>
            <w:pPr>
              <w:pStyle w:val="Compact"/>
              <w:jc w:val="left"/>
            </w:pPr>
            <w:r>
              <w:t xml:space="preserve">7</w:t>
            </w:r>
          </w:p>
        </w:tc>
        <w:tc>
          <w:tcPr/>
          <w:p>
            <w:pPr>
              <w:pStyle w:val="Compact"/>
              <w:jc w:val="left"/>
            </w:pPr>
            <w:r>
              <w:t xml:space="preserve">10,315</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HLA-DQA2</w:t>
            </w:r>
          </w:p>
        </w:tc>
        <w:tc>
          <w:tcPr/>
          <w:p>
            <w:pPr>
              <w:pStyle w:val="Compact"/>
              <w:jc w:val="left"/>
            </w:pPr>
            <w:r>
              <w:t xml:space="preserve">6</w:t>
            </w:r>
          </w:p>
        </w:tc>
        <w:tc>
          <w:tcPr/>
          <w:p>
            <w:pPr>
              <w:pStyle w:val="Compact"/>
              <w:jc w:val="left"/>
            </w:pPr>
            <w:r>
              <w:t xml:space="preserve">2</w:t>
            </w:r>
          </w:p>
        </w:tc>
        <w:tc>
          <w:tcPr/>
          <w:p>
            <w:pPr>
              <w:pStyle w:val="Compact"/>
              <w:jc w:val="left"/>
            </w:pPr>
            <w:r>
              <w:t xml:space="preserve">9,971</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C4A</w:t>
            </w:r>
          </w:p>
        </w:tc>
        <w:tc>
          <w:tcPr/>
          <w:p>
            <w:pPr>
              <w:pStyle w:val="Compact"/>
              <w:jc w:val="left"/>
            </w:pPr>
            <w:r>
              <w:t xml:space="preserve">6</w:t>
            </w:r>
          </w:p>
        </w:tc>
        <w:tc>
          <w:tcPr/>
          <w:p>
            <w:pPr>
              <w:pStyle w:val="Compact"/>
              <w:jc w:val="left"/>
            </w:pPr>
            <w:r>
              <w:t xml:space="preserve">5</w:t>
            </w:r>
          </w:p>
        </w:tc>
        <w:tc>
          <w:tcPr/>
          <w:p>
            <w:pPr>
              <w:pStyle w:val="Compact"/>
              <w:jc w:val="left"/>
            </w:pPr>
            <w:r>
              <w:t xml:space="preserve">8,175</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2</w:t>
            </w:r>
          </w:p>
        </w:tc>
        <w:tc>
          <w:tcPr/>
          <w:p>
            <w:pPr>
              <w:pStyle w:val="Compact"/>
              <w:jc w:val="left"/>
            </w:pPr>
            <w:r>
              <w:t xml:space="preserve">736</w:t>
            </w:r>
          </w:p>
        </w:tc>
        <w:tc>
          <w:tcPr/>
          <w:p>
            <w:pPr>
              <w:pStyle w:val="Compact"/>
              <w:jc w:val="left"/>
            </w:pPr>
            <w:r>
              <w:t xml:space="preserve">No</w:t>
            </w:r>
          </w:p>
        </w:tc>
        <w:tc>
          <w:tcPr/>
          <w:p>
            <w:pPr>
              <w:pStyle w:val="Compact"/>
              <w:jc w:val="left"/>
            </w:pPr>
            <w:r>
              <w:t xml:space="preserve">Tier 3B</w:t>
            </w:r>
          </w:p>
        </w:tc>
      </w:tr>
      <w:tr>
        <w:tc>
          <w:tcPr/>
          <w:p>
            <w:pPr>
              <w:pStyle w:val="Compact"/>
              <w:jc w:val="left"/>
            </w:pPr>
            <w:r>
              <w:rPr>
                <w:iCs/>
                <w:i/>
              </w:rPr>
              <w:t xml:space="preserve">TUBB</w:t>
            </w:r>
          </w:p>
        </w:tc>
        <w:tc>
          <w:tcPr/>
          <w:p>
            <w:pPr>
              <w:pStyle w:val="Compact"/>
              <w:jc w:val="left"/>
            </w:pPr>
            <w:r>
              <w:t xml:space="preserve">6</w:t>
            </w:r>
          </w:p>
        </w:tc>
        <w:tc>
          <w:tcPr/>
          <w:p>
            <w:pPr>
              <w:pStyle w:val="Compact"/>
              <w:jc w:val="left"/>
            </w:pPr>
            <w:r>
              <w:t xml:space="preserve">3</w:t>
            </w:r>
          </w:p>
        </w:tc>
        <w:tc>
          <w:tcPr/>
          <w:p>
            <w:pPr>
              <w:pStyle w:val="Compact"/>
              <w:jc w:val="left"/>
            </w:pPr>
            <w:r>
              <w:t xml:space="preserve">1,476</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1</w:t>
            </w:r>
          </w:p>
        </w:tc>
        <w:tc>
          <w:tcPr/>
          <w:p>
            <w:pPr>
              <w:pStyle w:val="Compact"/>
              <w:jc w:val="left"/>
            </w:pPr>
            <w:r>
              <w:t xml:space="preserve">489</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TNFSF14</w:t>
            </w:r>
          </w:p>
        </w:tc>
        <w:tc>
          <w:tcPr/>
          <w:p>
            <w:pPr>
              <w:pStyle w:val="Compact"/>
              <w:jc w:val="left"/>
            </w:pPr>
            <w:r>
              <w:t xml:space="preserve">19</w:t>
            </w:r>
          </w:p>
        </w:tc>
        <w:tc>
          <w:tcPr/>
          <w:p>
            <w:pPr>
              <w:pStyle w:val="Compact"/>
              <w:jc w:val="left"/>
            </w:pPr>
            <w:r>
              <w:t xml:space="preserve">1</w:t>
            </w:r>
          </w:p>
        </w:tc>
        <w:tc>
          <w:tcPr/>
          <w:p>
            <w:pPr>
              <w:pStyle w:val="Compact"/>
              <w:jc w:val="left"/>
            </w:pPr>
            <w:r>
              <w:t xml:space="preserve">258</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1</w:t>
            </w:r>
          </w:p>
        </w:tc>
        <w:tc>
          <w:tcPr/>
          <w:p>
            <w:pPr>
              <w:pStyle w:val="Compact"/>
              <w:jc w:val="left"/>
            </w:pPr>
            <w:r>
              <w:t xml:space="preserve">333</w:t>
            </w:r>
          </w:p>
        </w:tc>
        <w:tc>
          <w:tcPr/>
          <w:p>
            <w:pPr>
              <w:pStyle w:val="Compact"/>
              <w:jc w:val="left"/>
            </w:pPr>
            <w:r>
              <w:t xml:space="preserve">Yes</w:t>
            </w:r>
          </w:p>
        </w:tc>
        <w:tc>
          <w:tcPr/>
          <w:p>
            <w:pPr>
              <w:pStyle w:val="Compact"/>
              <w:jc w:val="left"/>
            </w:pPr>
            <w:r>
              <w:t xml:space="preserve">Tier 3A</w:t>
            </w:r>
          </w:p>
        </w:tc>
      </w:tr>
      <w:tr>
        <w:tc>
          <w:tcPr/>
          <w:p>
            <w:pPr>
              <w:pStyle w:val="Compact"/>
              <w:jc w:val="left"/>
            </w:pPr>
            <w:r>
              <w:rPr>
                <w:iCs/>
                <w:i/>
              </w:rPr>
              <w:t xml:space="preserve">MAPKAPK5</w:t>
            </w:r>
          </w:p>
        </w:tc>
        <w:tc>
          <w:tcPr/>
          <w:p>
            <w:pPr>
              <w:pStyle w:val="Compact"/>
              <w:jc w:val="left"/>
            </w:pPr>
            <w:r>
              <w:t xml:space="preserve">12</w:t>
            </w:r>
          </w:p>
        </w:tc>
        <w:tc>
          <w:tcPr/>
          <w:p>
            <w:pPr>
              <w:pStyle w:val="Compact"/>
              <w:jc w:val="left"/>
            </w:pPr>
            <w:r>
              <w:t xml:space="preserve">4</w:t>
            </w:r>
          </w:p>
        </w:tc>
        <w:tc>
          <w:tcPr/>
          <w:p>
            <w:pPr>
              <w:pStyle w:val="Compact"/>
              <w:jc w:val="left"/>
            </w:pPr>
            <w:r>
              <w:t xml:space="preserve">1,349</w:t>
            </w:r>
          </w:p>
        </w:tc>
        <w:tc>
          <w:tcPr/>
          <w:p>
            <w:pPr>
              <w:pStyle w:val="Compact"/>
              <w:jc w:val="left"/>
            </w:pPr>
            <w:r>
              <w:t xml:space="preserve">No</w:t>
            </w:r>
          </w:p>
        </w:tc>
        <w:tc>
          <w:tcPr/>
          <w:p>
            <w:pPr>
              <w:pStyle w:val="Compact"/>
              <w:jc w:val="left"/>
            </w:pPr>
            <w:r>
              <w:t xml:space="preserve">Tier 2</w:t>
            </w:r>
          </w:p>
        </w:tc>
      </w:tr>
      <w:tr>
        <w:tc>
          <w:tcPr/>
          <w:p>
            <w:pPr>
              <w:pStyle w:val="Compact"/>
              <w:jc w:val="left"/>
            </w:pPr>
            <w:r>
              <w:rPr>
                <w:iCs/>
                <w:i/>
              </w:rPr>
              <w:t xml:space="preserve">PSMB8</w:t>
            </w:r>
          </w:p>
        </w:tc>
        <w:tc>
          <w:tcPr/>
          <w:p>
            <w:pPr>
              <w:pStyle w:val="Compact"/>
              <w:jc w:val="left"/>
            </w:pPr>
            <w:r>
              <w:t xml:space="preserve">6</w:t>
            </w:r>
          </w:p>
        </w:tc>
        <w:tc>
          <w:tcPr/>
          <w:p>
            <w:pPr>
              <w:pStyle w:val="Compact"/>
              <w:jc w:val="left"/>
            </w:pPr>
            <w:r>
              <w:t xml:space="preserve">1</w:t>
            </w:r>
          </w:p>
        </w:tc>
        <w:tc>
          <w:tcPr/>
          <w:p>
            <w:pPr>
              <w:pStyle w:val="Compact"/>
              <w:jc w:val="left"/>
            </w:pPr>
            <w:r>
              <w:t xml:space="preserve">1,060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IFNGR1</w:t>
            </w:r>
          </w:p>
        </w:tc>
        <w:tc>
          <w:tcPr/>
          <w:p>
            <w:pPr>
              <w:pStyle w:val="Compact"/>
              <w:jc w:val="left"/>
            </w:pPr>
            <w:r>
              <w:t xml:space="preserve">6</w:t>
            </w:r>
          </w:p>
        </w:tc>
        <w:tc>
          <w:tcPr/>
          <w:p>
            <w:pPr>
              <w:pStyle w:val="Compact"/>
              <w:jc w:val="left"/>
            </w:pPr>
            <w:r>
              <w:t xml:space="preserve">1</w:t>
            </w:r>
          </w:p>
        </w:tc>
        <w:tc>
          <w:tcPr/>
          <w:p>
            <w:pPr>
              <w:pStyle w:val="Compact"/>
              <w:jc w:val="left"/>
            </w:pPr>
            <w:r>
              <w:t xml:space="preserve">340</w:t>
            </w:r>
          </w:p>
        </w:tc>
        <w:tc>
          <w:tcPr/>
          <w:p>
            <w:pPr>
              <w:pStyle w:val="Compact"/>
              <w:jc w:val="left"/>
            </w:pPr>
            <w:r>
              <w:t xml:space="preserve">Yes</w:t>
            </w:r>
          </w:p>
        </w:tc>
        <w:tc>
          <w:tcPr/>
          <w:p>
            <w:pPr>
              <w:pStyle w:val="Compact"/>
              <w:jc w:val="left"/>
            </w:pPr>
            <w:r>
              <w:t xml:space="preserve">Tier 1</w:t>
            </w:r>
          </w:p>
        </w:tc>
      </w:tr>
    </w:tbl>
    <w:p>
      <w:pPr>
        <w:pStyle w:val="BodyText"/>
      </w:pPr>
      <w:r>
        <w:rPr>
          <w:iCs/>
          <w:i/>
        </w:rPr>
        <w:t xml:space="preserve">Druggability tiers follow Finan et al. (Tier 1, approved drug targets or those in clinical development; Tier 2, targets of small molecules or biotherapeutics with druggable similarity; Tier 3, secreted or extracellular proteins and members of druggable gene families). Several MHC-region genes (e.g., HLA-A, HLA-DQA2, C4A) have very large secondary-threshold instrument counts reflecting the extended LD of the region; primary analyses used the stringent P &lt; 5×10⁻⁸ instruments after clumping. The</w:t>
      </w:r>
      <w:r>
        <w:rPr>
          <w:iCs/>
          <w:i/>
        </w:rPr>
        <w:t xml:space="preserve"> </w:t>
      </w:r>
      <w:r>
        <w:rPr>
          <w:iCs/>
          <w:i/>
        </w:rPr>
        <w:t xml:space="preserve">“</w:t>
      </w:r>
      <w:r>
        <w:rPr>
          <w:iCs/>
          <w:i/>
        </w:rPr>
        <w:t xml:space="preserve">Instruments (P &lt; 5×10⁻⁸)</w:t>
      </w:r>
      <w:r>
        <w:rPr>
          <w:iCs/>
          <w:i/>
        </w:rPr>
        <w:t xml:space="preserve">”</w:t>
      </w:r>
      <w:r>
        <w:rPr>
          <w:iCs/>
          <w:i/>
        </w:rPr>
        <w:t xml:space="preserve"> </w:t>
      </w:r>
      <w:r>
        <w:rPr>
          <w:iCs/>
          <w:i/>
        </w:rPr>
        <w:t xml:space="preserve">column reports the number of independent cis-eQTL instruments available after clumping; the number of instruments actually used in MR against a given outcome (N IV in Tables 2 and 3) may be smaller, reflecting outcome-specific SNP availability and harmonization (absence of a variant in the outcome GWAS, or removal of palindromic variants).</w:t>
      </w:r>
      <w:r>
        <w:t xml:space="preserve"> </w:t>
      </w:r>
      <w:r>
        <w:t xml:space="preserve">-</w:t>
      </w:r>
      <w:r>
        <w:t xml:space="preserve"> </w:t>
      </w:r>
      <w:r>
        <w:rPr>
          <w:bCs/>
          <w:b/>
        </w:rPr>
        <w:t xml:space="preserve">Table S5.</w:t>
      </w:r>
      <w:r>
        <w:t xml:space="preserve"> </w:t>
      </w:r>
      <w:r>
        <w:t xml:space="preserve">Chromosome 16p11.2 candidate cluster. Three discovery hits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map to a narrow (~143-kb) window on chromosome 16p11.2 and behave as a single linkage-disequilibrium signal rather than three independent associations.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BBJ discovery</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(UKB)</w:t>
            </w:r>
          </w:p>
        </w:tc>
        <w:tc>
          <w:tcPr/>
          <w:p>
            <w:pPr>
              <w:pStyle w:val="Compact"/>
              <w:jc w:val="left"/>
            </w:pPr>
            <w:r>
              <w:t xml:space="preserve">Coloc PP.H4 (FinnGen)</w:t>
            </w:r>
          </w:p>
        </w:tc>
        <w:tc>
          <w:tcPr/>
          <w:p>
            <w:pPr>
              <w:pStyle w:val="Compact"/>
              <w:jc w:val="left"/>
            </w:pPr>
            <w:r>
              <w:t xml:space="preserve">Top SNP</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31,011,183</w:t>
            </w:r>
          </w:p>
        </w:tc>
        <w:tc>
          <w:tcPr/>
          <w:p>
            <w:pPr>
              <w:pStyle w:val="Compact"/>
              <w:jc w:val="left"/>
            </w:pPr>
            <w:r>
              <w:t xml:space="preserve">2.0×10⁻⁷</w:t>
            </w:r>
          </w:p>
        </w:tc>
        <w:tc>
          <w:tcPr/>
          <w:p>
            <w:pPr>
              <w:pStyle w:val="Compact"/>
              <w:jc w:val="left"/>
            </w:pPr>
            <w:r>
              <w:t xml:space="preserve">0.636</w:t>
            </w:r>
          </w:p>
        </w:tc>
        <w:tc>
          <w:tcPr/>
          <w:p>
            <w:pPr>
              <w:pStyle w:val="Compact"/>
              <w:jc w:val="left"/>
            </w:pPr>
            <w:r>
              <w:t xml:space="preserve">0.095</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31,066,538</w:t>
            </w:r>
          </w:p>
        </w:tc>
        <w:tc>
          <w:tcPr/>
          <w:p>
            <w:pPr>
              <w:pStyle w:val="Compact"/>
              <w:jc w:val="left"/>
            </w:pPr>
            <w:r>
              <w:t xml:space="preserve">6.4×10⁻⁷</w:t>
            </w:r>
          </w:p>
        </w:tc>
        <w:tc>
          <w:tcPr/>
          <w:p>
            <w:pPr>
              <w:pStyle w:val="Compact"/>
              <w:jc w:val="left"/>
            </w:pPr>
            <w:r>
              <w:t xml:space="preserve">0.388</w:t>
            </w:r>
          </w:p>
        </w:tc>
        <w:tc>
          <w:tcPr/>
          <w:p>
            <w:pPr>
              <w:pStyle w:val="Compact"/>
              <w:jc w:val="left"/>
            </w:pPr>
            <w:r>
              <w:t xml:space="preserve">0.030</w:t>
            </w:r>
          </w:p>
        </w:tc>
        <w:tc>
          <w:tcPr/>
          <w:p>
            <w:pPr>
              <w:pStyle w:val="Compact"/>
              <w:jc w:val="left"/>
            </w:pPr>
            <w:r>
              <w:t xml:space="preserve">0.030</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31,154,358</w:t>
            </w:r>
          </w:p>
        </w:tc>
        <w:tc>
          <w:tcPr/>
          <w:p>
            <w:pPr>
              <w:pStyle w:val="Compact"/>
              <w:jc w:val="left"/>
            </w:pPr>
            <w:r>
              <w:t xml:space="preserve">2.0×10⁻⁶</w:t>
            </w:r>
          </w:p>
        </w:tc>
        <w:tc>
          <w:tcPr/>
          <w:p>
            <w:pPr>
              <w:pStyle w:val="Compact"/>
              <w:jc w:val="left"/>
            </w:pPr>
            <w:r>
              <w:t xml:space="preserve">0.168</w:t>
            </w:r>
          </w:p>
        </w:tc>
        <w:tc>
          <w:tcPr/>
          <w:p>
            <w:pPr>
              <w:pStyle w:val="Compact"/>
              <w:jc w:val="left"/>
            </w:pPr>
            <w:r>
              <w:t xml:space="preserve">0.115</w:t>
            </w:r>
          </w:p>
        </w:tc>
        <w:tc>
          <w:tcPr/>
          <w:p>
            <w:pPr>
              <w:pStyle w:val="Compact"/>
              <w:jc w:val="left"/>
            </w:pPr>
            <w:r>
              <w:t xml:space="preserve">0.037</w:t>
            </w:r>
          </w:p>
        </w:tc>
        <w:tc>
          <w:tcPr/>
          <w:p>
            <w:pPr>
              <w:pStyle w:val="Compact"/>
              <w:jc w:val="left"/>
            </w:pPr>
            <w:r>
              <w:t xml:space="preserve">rs78924645</w:t>
            </w:r>
          </w:p>
        </w:tc>
      </w:tr>
    </w:tbl>
    <w:p>
      <w:pPr>
        <w:pStyle w:val="BodyText"/>
      </w:pPr>
      <w:r>
        <w:rPr>
          <w:iCs/>
          <w:i/>
        </w:rPr>
        <w:t xml:space="preserve">All three lead variants lie within a 143.2-kb window on chromosome 16p11.2 (hg19 chr16:31,011,183–31,154,358) and none reaches strong colocalization (PP.H4 ≥ 0.80) in any outcome. Because these hits were discovered in the East Asian outcome, linkage disequilibrium was assessed in the ancestry-matched 1000 Genomes Phase 3 East Asian reference (n = 504), where all three lead variants are in substantial mutual LD (r² = 0.854, 0.761 and 0.863). Conditional analysis (GCTA-COJO, East Asian reference) selected exactly one independent signal at the locus, rs8050588 (P = 1.15×10⁻⁸); conditioning on it collapses all three associations (rs4889606, marginal P = 2.04×10⁻⁷ → conditional P = 0.928; rs34649473, 6.35×10⁻⁷ → 0.839; rs78924645, 2.02×10⁻⁶ → 0.806). Their co-significance in discovery therefore reflects a single regional signal rather than three independent causal effects. In the European reference the corresponding r² values are 0.896, 0.190 and 0.204, which is why the ancestry-matched panel is the appropriate one here.</w:t>
      </w:r>
      <w:r>
        <w:t xml:space="preserve"> </w:t>
      </w:r>
      <w:r>
        <w:t xml:space="preserve">-</w:t>
      </w:r>
      <w:r>
        <w:t xml:space="preserve"> </w:t>
      </w:r>
      <w:r>
        <w:rPr>
          <w:bCs/>
          <w:b/>
        </w:rPr>
        <w:t xml:space="preserve">Table S6.</w:t>
      </w:r>
      <w:r>
        <w:t xml:space="preserve"> </w:t>
      </w:r>
      <w:r>
        <w:t xml:space="preserve">Mendelian randomization sensitivity analyses for the backbone genes across all three outcomes. IVW, inverse-variance weighted; WM, weighted median; Wmode, weighted mode. MR-Egger intercept, Cochran’s Q, and multi-estimator comparisons require multiple instruments and are not estimable (NA) at single-instrument loci.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IVW/Wald</w:t>
            </w:r>
            <w:r>
              <w:t xml:space="preserve"> </w:t>
            </w:r>
            <w:r>
              <w:rPr>
                <w:iCs/>
                <w:i/>
              </w:rPr>
              <w:t xml:space="preserve">P</w:t>
            </w:r>
          </w:p>
        </w:tc>
        <w:tc>
          <w:tcPr/>
          <w:p>
            <w:pPr>
              <w:pStyle w:val="Compact"/>
              <w:jc w:val="left"/>
            </w:pPr>
            <w:r>
              <w:t xml:space="preserve">WM</w:t>
            </w:r>
            <w:r>
              <w:t xml:space="preserve"> </w:t>
            </w:r>
            <w:r>
              <w:rPr>
                <w:iCs/>
                <w:i/>
              </w:rPr>
              <w:t xml:space="preserve">P</w:t>
            </w:r>
          </w:p>
        </w:tc>
        <w:tc>
          <w:tcPr/>
          <w:p>
            <w:pPr>
              <w:pStyle w:val="Compact"/>
              <w:jc w:val="left"/>
            </w:pPr>
            <w:r>
              <w:t xml:space="preserve">Wmode</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1.1×10⁻¹⁴</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0.118</w:t>
            </w:r>
          </w:p>
        </w:tc>
        <w:tc>
          <w:tcPr/>
          <w:p>
            <w:pPr>
              <w:pStyle w:val="Compact"/>
              <w:jc w:val="left"/>
            </w:pPr>
            <w:r>
              <w:t xml:space="preserve">0.663</w:t>
            </w:r>
          </w:p>
        </w:tc>
        <w:tc>
          <w:tcPr/>
          <w:p>
            <w:pPr>
              <w:pStyle w:val="Compact"/>
              <w:jc w:val="left"/>
            </w:pPr>
            <w:r>
              <w:t xml:space="preserve">0.902</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0.040</w:t>
            </w:r>
          </w:p>
        </w:tc>
        <w:tc>
          <w:tcPr/>
          <w:p>
            <w:pPr>
              <w:pStyle w:val="Compact"/>
              <w:jc w:val="left"/>
            </w:pPr>
            <w:r>
              <w:t xml:space="preserve">0.562</w:t>
            </w:r>
          </w:p>
        </w:tc>
        <w:tc>
          <w:tcPr/>
          <w:p>
            <w:pPr>
              <w:pStyle w:val="Compact"/>
              <w:jc w:val="left"/>
            </w:pPr>
            <w:r>
              <w:t xml:space="preserve">0.250</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0.241</w:t>
            </w:r>
          </w:p>
        </w:tc>
        <w:tc>
          <w:tcPr/>
          <w:p>
            <w:pPr>
              <w:pStyle w:val="Compact"/>
              <w:jc w:val="left"/>
            </w:pPr>
            <w:r>
              <w:t xml:space="preserve">0.433</w:t>
            </w:r>
          </w:p>
        </w:tc>
        <w:tc>
          <w:tcPr/>
          <w:p>
            <w:pPr>
              <w:pStyle w:val="Compact"/>
              <w:jc w:val="left"/>
            </w:pPr>
            <w:r>
              <w:t xml:space="preserve">0.309</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5.5×10⁻¹⁵</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0.002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0.012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0.049</w:t>
            </w:r>
          </w:p>
        </w:tc>
      </w:tr>
    </w:tbl>
    <w:p>
      <w:pPr>
        <w:pStyle w:val="BodyText"/>
      </w:pPr>
      <w:r>
        <w:rPr>
          <w:iCs/>
          <w:i/>
        </w:rPr>
        <w:t xml:space="preserve">For IGF1R (the only multi-instrument backbone gene with a full estimator set), all sensitivity estimators are directionally concordant with the IVW estimate and the MR-Egger intercept is non-significant in every outcome (P &gt; 0.43), indicating no detectable directional pleiotropy. CTLA4 showed significant between-instrument heterogeneity in the UKB and FinnGen analyses (Cochran’s Q P = 0.001 and 0.049), consistent with cross-ancestry/phenotype locus complexity. Steiger directionality was not estimable for these summary-level single- or limited-instrument loci and was therefore not applied. Single-instrument loci are not amenable to instrument-based pleiotropy diagnostics. TSHR is instead supported by colocalization (PP.H4 = 0.951 in BBJ and 0.986 in the TED-enriched outcome) and by LD-clumping sensitivity analysis (Table S3); the single-instrument CTLA4 discovery arm is not, its discovery posterior favouring distinct causal variants (PP.H3 = 0.794, PP.H4 = 0.206), consistent with its role as a positive control rather than a colocalized anchor.</w:t>
      </w:r>
      <w:r>
        <w:t xml:space="preserve"> </w:t>
      </w:r>
      <w:r>
        <w:t xml:space="preserve">-</w:t>
      </w:r>
      <w:r>
        <w:t xml:space="preserve"> </w:t>
      </w:r>
      <w:r>
        <w:rPr>
          <w:bCs/>
          <w:b/>
        </w:rPr>
        <w:t xml:space="preserve">Table S7.</w:t>
      </w:r>
      <w:r>
        <w:t xml:space="preserve"> </w:t>
      </w:r>
      <w:r>
        <w:t xml:space="preserve">STROBE-MR reporting checklist. Each item maps to where it is addressed in the manuscript (page/section references to be finalized at proof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STROBE-MR Item</w:t>
            </w:r>
          </w:p>
        </w:tc>
        <w:tc>
          <w:tcPr/>
          <w:p>
            <w:pPr>
              <w:pStyle w:val="Compact"/>
              <w:jc w:val="left"/>
            </w:pPr>
            <w:r>
              <w:t xml:space="preserve">Addressed in</w:t>
            </w:r>
          </w:p>
        </w:tc>
      </w:tr>
      <w:tr>
        <w:tc>
          <w:tcPr/>
          <w:p>
            <w:pPr>
              <w:pStyle w:val="Compact"/>
              <w:jc w:val="left"/>
            </w:pPr>
            <w:r>
              <w:t xml:space="preserve">1</w:t>
            </w:r>
          </w:p>
        </w:tc>
        <w:tc>
          <w:tcPr/>
          <w:p>
            <w:pPr>
              <w:pStyle w:val="Compact"/>
              <w:jc w:val="left"/>
            </w:pPr>
            <w:r>
              <w:t xml:space="preserve">MR stated in title/abstract; design described</w:t>
            </w:r>
          </w:p>
        </w:tc>
        <w:tc>
          <w:tcPr/>
          <w:p>
            <w:pPr>
              <w:pStyle w:val="Compact"/>
              <w:jc w:val="left"/>
            </w:pPr>
            <w:r>
              <w:t xml:space="preserve">Title, Abstract</w:t>
            </w:r>
          </w:p>
        </w:tc>
      </w:tr>
      <w:tr>
        <w:tc>
          <w:tcPr/>
          <w:p>
            <w:pPr>
              <w:pStyle w:val="Compact"/>
              <w:jc w:val="left"/>
            </w:pPr>
            <w:r>
              <w:t xml:space="preserve">2</w:t>
            </w:r>
          </w:p>
        </w:tc>
        <w:tc>
          <w:tcPr/>
          <w:p>
            <w:pPr>
              <w:pStyle w:val="Compact"/>
              <w:jc w:val="left"/>
            </w:pPr>
            <w:r>
              <w:t xml:space="preserve">Background; rationale for genetic instruments</w:t>
            </w:r>
          </w:p>
        </w:tc>
        <w:tc>
          <w:tcPr/>
          <w:p>
            <w:pPr>
              <w:pStyle w:val="Compact"/>
              <w:jc w:val="left"/>
            </w:pPr>
            <w:r>
              <w:t xml:space="preserve">Introduction</w:t>
            </w:r>
          </w:p>
        </w:tc>
      </w:tr>
      <w:tr>
        <w:tc>
          <w:tcPr/>
          <w:p>
            <w:pPr>
              <w:pStyle w:val="Compact"/>
              <w:jc w:val="left"/>
            </w:pPr>
            <w:r>
              <w:t xml:space="preserve">3</w:t>
            </w:r>
          </w:p>
        </w:tc>
        <w:tc>
          <w:tcPr/>
          <w:p>
            <w:pPr>
              <w:pStyle w:val="Compact"/>
              <w:jc w:val="left"/>
            </w:pPr>
            <w:r>
              <w:t xml:space="preserve">Explicit hypotheses / objectives</w:t>
            </w:r>
          </w:p>
        </w:tc>
        <w:tc>
          <w:tcPr/>
          <w:p>
            <w:pPr>
              <w:pStyle w:val="Compact"/>
              <w:jc w:val="left"/>
            </w:pPr>
            <w:r>
              <w:t xml:space="preserve">Introduction (end)</w:t>
            </w:r>
          </w:p>
        </w:tc>
      </w:tr>
      <w:tr>
        <w:tc>
          <w:tcPr/>
          <w:p>
            <w:pPr>
              <w:pStyle w:val="Compact"/>
              <w:jc w:val="left"/>
            </w:pPr>
            <w:r>
              <w:t xml:space="preserve">4</w:t>
            </w:r>
          </w:p>
        </w:tc>
        <w:tc>
          <w:tcPr/>
          <w:p>
            <w:pPr>
              <w:pStyle w:val="Compact"/>
              <w:jc w:val="left"/>
            </w:pPr>
            <w:r>
              <w:t xml:space="preserve">Study design &amp; key elements</w:t>
            </w:r>
          </w:p>
        </w:tc>
        <w:tc>
          <w:tcPr/>
          <w:p>
            <w:pPr>
              <w:pStyle w:val="Compact"/>
              <w:jc w:val="left"/>
            </w:pPr>
            <w:r>
              <w:t xml:space="preserve">Methods; Table 1; Figure 1</w:t>
            </w:r>
          </w:p>
        </w:tc>
      </w:tr>
      <w:tr>
        <w:tc>
          <w:tcPr/>
          <w:p>
            <w:pPr>
              <w:pStyle w:val="Compact"/>
              <w:jc w:val="left"/>
            </w:pPr>
            <w:r>
              <w:t xml:space="preserve">5</w:t>
            </w:r>
          </w:p>
        </w:tc>
        <w:tc>
          <w:tcPr/>
          <w:p>
            <w:pPr>
              <w:pStyle w:val="Compact"/>
              <w:jc w:val="left"/>
            </w:pPr>
            <w:r>
              <w:t xml:space="preserve">Data sources, settings, populations</w:t>
            </w:r>
          </w:p>
        </w:tc>
        <w:tc>
          <w:tcPr/>
          <w:p>
            <w:pPr>
              <w:pStyle w:val="Compact"/>
              <w:jc w:val="left"/>
            </w:pPr>
            <w:r>
              <w:t xml:space="preserve">Methods; Table 1</w:t>
            </w:r>
          </w:p>
        </w:tc>
      </w:tr>
      <w:tr>
        <w:tc>
          <w:tcPr/>
          <w:p>
            <w:pPr>
              <w:pStyle w:val="Compact"/>
              <w:jc w:val="left"/>
            </w:pPr>
            <w:r>
              <w:t xml:space="preserve">6a</w:t>
            </w:r>
          </w:p>
        </w:tc>
        <w:tc>
          <w:tcPr/>
          <w:p>
            <w:pPr>
              <w:pStyle w:val="Compact"/>
              <w:jc w:val="left"/>
            </w:pPr>
            <w:r>
              <w:t xml:space="preserve">Instrument selection criteria</w:t>
            </w:r>
          </w:p>
        </w:tc>
        <w:tc>
          <w:tcPr/>
          <w:p>
            <w:pPr>
              <w:pStyle w:val="Compact"/>
              <w:jc w:val="left"/>
            </w:pPr>
            <w:r>
              <w:t xml:space="preserve">Methods (eQTLGen; Finan druggable genome; cis P &lt; 5×10⁻⁸)</w:t>
            </w:r>
          </w:p>
        </w:tc>
      </w:tr>
      <w:tr>
        <w:tc>
          <w:tcPr/>
          <w:p>
            <w:pPr>
              <w:pStyle w:val="Compact"/>
              <w:jc w:val="left"/>
            </w:pPr>
            <w:r>
              <w:t xml:space="preserve">6b</w:t>
            </w:r>
          </w:p>
        </w:tc>
        <w:tc>
          <w:tcPr/>
          <w:p>
            <w:pPr>
              <w:pStyle w:val="Compact"/>
              <w:jc w:val="left"/>
            </w:pPr>
            <w:r>
              <w:t xml:space="preserve">MR assumptions (relevance, independence, exclusion)</w:t>
            </w:r>
          </w:p>
        </w:tc>
        <w:tc>
          <w:tcPr/>
          <w:p>
            <w:pPr>
              <w:pStyle w:val="Compact"/>
              <w:jc w:val="left"/>
            </w:pPr>
            <w:r>
              <w:t xml:space="preserve">Methods; Discussion (limitations)</w:t>
            </w:r>
          </w:p>
        </w:tc>
      </w:tr>
      <w:tr>
        <w:tc>
          <w:tcPr/>
          <w:p>
            <w:pPr>
              <w:pStyle w:val="Compact"/>
              <w:jc w:val="left"/>
            </w:pPr>
            <w:r>
              <w:t xml:space="preserve">7</w:t>
            </w:r>
          </w:p>
        </w:tc>
        <w:tc>
          <w:tcPr/>
          <w:p>
            <w:pPr>
              <w:pStyle w:val="Compact"/>
              <w:jc w:val="left"/>
            </w:pPr>
            <w:r>
              <w:t xml:space="preserve">Variable definition (exposure, outcome)</w:t>
            </w:r>
          </w:p>
        </w:tc>
        <w:tc>
          <w:tcPr/>
          <w:p>
            <w:pPr>
              <w:pStyle w:val="Compact"/>
              <w:jc w:val="left"/>
            </w:pPr>
            <w:r>
              <w:t xml:space="preserve">Methods</w:t>
            </w:r>
          </w:p>
        </w:tc>
      </w:tr>
      <w:tr>
        <w:tc>
          <w:tcPr/>
          <w:p>
            <w:pPr>
              <w:pStyle w:val="Compact"/>
              <w:jc w:val="left"/>
            </w:pPr>
            <w:r>
              <w:t xml:space="preserve">8</w:t>
            </w:r>
          </w:p>
        </w:tc>
        <w:tc>
          <w:tcPr/>
          <w:p>
            <w:pPr>
              <w:pStyle w:val="Compact"/>
              <w:jc w:val="left"/>
            </w:pPr>
            <w:r>
              <w:t xml:space="preserve">Effect measures &amp; scale (log-odds; UKB rescaling)</w:t>
            </w:r>
          </w:p>
        </w:tc>
        <w:tc>
          <w:tcPr/>
          <w:p>
            <w:pPr>
              <w:pStyle w:val="Compact"/>
              <w:jc w:val="left"/>
            </w:pPr>
            <w:r>
              <w:t xml:space="preserve">Methods; Table 1 footnote</w:t>
            </w:r>
          </w:p>
        </w:tc>
      </w:tr>
      <w:tr>
        <w:tc>
          <w:tcPr/>
          <w:p>
            <w:pPr>
              <w:pStyle w:val="Compact"/>
              <w:jc w:val="left"/>
            </w:pPr>
            <w:r>
              <w:t xml:space="preserve">9</w:t>
            </w:r>
          </w:p>
        </w:tc>
        <w:tc>
          <w:tcPr/>
          <w:p>
            <w:pPr>
              <w:pStyle w:val="Compact"/>
              <w:jc w:val="left"/>
            </w:pPr>
            <w:r>
              <w:t xml:space="preserve">Statistical methods (IVW, MR-Egger, WM, Wmode; coloc.abf)</w:t>
            </w:r>
          </w:p>
        </w:tc>
        <w:tc>
          <w:tcPr/>
          <w:p>
            <w:pPr>
              <w:pStyle w:val="Compact"/>
              <w:jc w:val="left"/>
            </w:pPr>
            <w:r>
              <w:t xml:space="preserve">Methods</w:t>
            </w:r>
          </w:p>
        </w:tc>
      </w:tr>
      <w:tr>
        <w:tc>
          <w:tcPr/>
          <w:p>
            <w:pPr>
              <w:pStyle w:val="Compact"/>
              <w:jc w:val="left"/>
            </w:pPr>
            <w:r>
              <w:t xml:space="preserve">10</w:t>
            </w:r>
          </w:p>
        </w:tc>
        <w:tc>
          <w:tcPr/>
          <w:p>
            <w:pPr>
              <w:pStyle w:val="Compact"/>
              <w:jc w:val="left"/>
            </w:pPr>
            <w:r>
              <w:t xml:space="preserve">Sensitivity analyses (pleiotropy, heterogeneity, Steiger)</w:t>
            </w:r>
          </w:p>
        </w:tc>
        <w:tc>
          <w:tcPr/>
          <w:p>
            <w:pPr>
              <w:pStyle w:val="Compact"/>
              <w:jc w:val="left"/>
            </w:pPr>
            <w:r>
              <w:t xml:space="preserve">Methods; Table S6</w:t>
            </w:r>
          </w:p>
        </w:tc>
      </w:tr>
      <w:tr>
        <w:tc>
          <w:tcPr/>
          <w:p>
            <w:pPr>
              <w:pStyle w:val="Compact"/>
              <w:jc w:val="left"/>
            </w:pPr>
            <w:r>
              <w:t xml:space="preserve">11</w:t>
            </w:r>
          </w:p>
        </w:tc>
        <w:tc>
          <w:tcPr/>
          <w:p>
            <w:pPr>
              <w:pStyle w:val="Compact"/>
              <w:jc w:val="left"/>
            </w:pPr>
            <w:r>
              <w:t xml:space="preserve">Software &amp; package versions</w:t>
            </w:r>
          </w:p>
        </w:tc>
        <w:tc>
          <w:tcPr/>
          <w:p>
            <w:pPr>
              <w:pStyle w:val="Compact"/>
              <w:jc w:val="left"/>
            </w:pPr>
            <w:r>
              <w:t xml:space="preserve">Methods; below</w:t>
            </w:r>
          </w:p>
        </w:tc>
      </w:tr>
      <w:tr>
        <w:tc>
          <w:tcPr/>
          <w:p>
            <w:pPr>
              <w:pStyle w:val="Compact"/>
              <w:jc w:val="left"/>
            </w:pPr>
            <w:r>
              <w:t xml:space="preserve">12</w:t>
            </w:r>
          </w:p>
        </w:tc>
        <w:tc>
          <w:tcPr/>
          <w:p>
            <w:pPr>
              <w:pStyle w:val="Compact"/>
              <w:jc w:val="left"/>
            </w:pPr>
            <w:r>
              <w:t xml:space="preserve">Descriptive data (instrument counts, F-statistics, detectable effect range)</w:t>
            </w:r>
          </w:p>
        </w:tc>
        <w:tc>
          <w:tcPr/>
          <w:p>
            <w:pPr>
              <w:pStyle w:val="Compact"/>
              <w:jc w:val="left"/>
            </w:pPr>
            <w:r>
              <w:t xml:space="preserve">Results; Tables S4, S8</w:t>
            </w:r>
          </w:p>
        </w:tc>
      </w:tr>
      <w:tr>
        <w:tc>
          <w:tcPr/>
          <w:p>
            <w:pPr>
              <w:pStyle w:val="Compact"/>
              <w:jc w:val="left"/>
            </w:pPr>
            <w:r>
              <w:t xml:space="preserve">13</w:t>
            </w:r>
          </w:p>
        </w:tc>
        <w:tc>
          <w:tcPr/>
          <w:p>
            <w:pPr>
              <w:pStyle w:val="Compact"/>
              <w:jc w:val="left"/>
            </w:pPr>
            <w:r>
              <w:t xml:space="preserve">Main MR estimates with CIs</w:t>
            </w:r>
          </w:p>
        </w:tc>
        <w:tc>
          <w:tcPr/>
          <w:p>
            <w:pPr>
              <w:pStyle w:val="Compact"/>
              <w:jc w:val="left"/>
            </w:pPr>
            <w:r>
              <w:t xml:space="preserve">Results; Tables 2, 3; Figures 2, 3</w:t>
            </w:r>
          </w:p>
        </w:tc>
      </w:tr>
      <w:tr>
        <w:tc>
          <w:tcPr/>
          <w:p>
            <w:pPr>
              <w:pStyle w:val="Compact"/>
              <w:jc w:val="left"/>
            </w:pPr>
            <w:r>
              <w:t xml:space="preserve">14</w:t>
            </w:r>
          </w:p>
        </w:tc>
        <w:tc>
          <w:tcPr/>
          <w:p>
            <w:pPr>
              <w:pStyle w:val="Compact"/>
              <w:jc w:val="left"/>
            </w:pPr>
            <w:r>
              <w:t xml:space="preserve">Sensitivity / robustness results</w:t>
            </w:r>
          </w:p>
        </w:tc>
        <w:tc>
          <w:tcPr/>
          <w:p>
            <w:pPr>
              <w:pStyle w:val="Compact"/>
              <w:jc w:val="left"/>
            </w:pPr>
            <w:r>
              <w:t xml:space="preserve">Results; Tables S6, S8</w:t>
            </w:r>
          </w:p>
        </w:tc>
      </w:tr>
      <w:tr>
        <w:tc>
          <w:tcPr/>
          <w:p>
            <w:pPr>
              <w:pStyle w:val="Compact"/>
              <w:jc w:val="left"/>
            </w:pPr>
            <w:r>
              <w:t xml:space="preserve">15</w:t>
            </w:r>
          </w:p>
        </w:tc>
        <w:tc>
          <w:tcPr/>
          <w:p>
            <w:pPr>
              <w:pStyle w:val="Compact"/>
              <w:jc w:val="left"/>
            </w:pPr>
            <w:r>
              <w:t xml:space="preserve">Colocalization results</w:t>
            </w:r>
          </w:p>
        </w:tc>
        <w:tc>
          <w:tcPr/>
          <w:p>
            <w:pPr>
              <w:pStyle w:val="Compact"/>
              <w:jc w:val="left"/>
            </w:pPr>
            <w:r>
              <w:t xml:space="preserve">Results; Table 2; Figure 3A; Tables S2, S5</w:t>
            </w:r>
          </w:p>
        </w:tc>
      </w:tr>
      <w:tr>
        <w:tc>
          <w:tcPr/>
          <w:p>
            <w:pPr>
              <w:pStyle w:val="Compact"/>
              <w:jc w:val="left"/>
            </w:pPr>
            <w:r>
              <w:t xml:space="preserve">16</w:t>
            </w:r>
          </w:p>
        </w:tc>
        <w:tc>
          <w:tcPr/>
          <w:p>
            <w:pPr>
              <w:pStyle w:val="Compact"/>
              <w:jc w:val="left"/>
            </w:pPr>
            <w:r>
              <w:t xml:space="preserve">Additional analyses (orbital tissue abundance, descriptive only — no inference)</w:t>
            </w:r>
          </w:p>
        </w:tc>
        <w:tc>
          <w:tcPr/>
          <w:p>
            <w:pPr>
              <w:pStyle w:val="Compact"/>
              <w:jc w:val="left"/>
            </w:pPr>
            <w:r>
              <w:t xml:space="preserve">Results; Figure S1</w:t>
            </w:r>
          </w:p>
        </w:tc>
      </w:tr>
      <w:tr>
        <w:tc>
          <w:tcPr/>
          <w:p>
            <w:pPr>
              <w:pStyle w:val="Compact"/>
              <w:jc w:val="left"/>
            </w:pPr>
            <w:r>
              <w:t xml:space="preserve">17</w:t>
            </w:r>
          </w:p>
        </w:tc>
        <w:tc>
          <w:tcPr/>
          <w:p>
            <w:pPr>
              <w:pStyle w:val="Compact"/>
              <w:jc w:val="left"/>
            </w:pPr>
            <w:r>
              <w:t xml:space="preserve">Key results in context</w:t>
            </w:r>
          </w:p>
        </w:tc>
        <w:tc>
          <w:tcPr/>
          <w:p>
            <w:pPr>
              <w:pStyle w:val="Compact"/>
              <w:jc w:val="left"/>
            </w:pPr>
            <w:r>
              <w:t xml:space="preserve">Discussion</w:t>
            </w:r>
          </w:p>
        </w:tc>
      </w:tr>
      <w:tr>
        <w:tc>
          <w:tcPr/>
          <w:p>
            <w:pPr>
              <w:pStyle w:val="Compact"/>
              <w:jc w:val="left"/>
            </w:pPr>
            <w:r>
              <w:t xml:space="preserve">18</w:t>
            </w:r>
          </w:p>
        </w:tc>
        <w:tc>
          <w:tcPr/>
          <w:p>
            <w:pPr>
              <w:pStyle w:val="Compact"/>
              <w:jc w:val="left"/>
            </w:pPr>
            <w:r>
              <w:t xml:space="preserve">Limitations (blood eQTL vs orbital tissue; European eQTL vs East Asian discovery; broader UKB phenotype; single-IV</w:t>
            </w:r>
            <w:r>
              <w:t xml:space="preserve"> </w:t>
            </w:r>
            <w:r>
              <w:rPr>
                <w:iCs/>
                <w:i/>
              </w:rPr>
              <w:t xml:space="preserve">TSHR</w:t>
            </w:r>
            <w:r>
              <w:t xml:space="preserve">; limited power in the 858-case TED-enriched outcome; TED-enriched outcome is not a within-Graves TED-specific contrast; coloc single-causal-variant assumption and single European allele-frequency reference; no formal colocalization power analysis; non-uniform behaviour of the single positive control; exploratory n = 1-control tissue analysis)</w:t>
            </w:r>
          </w:p>
        </w:tc>
        <w:tc>
          <w:tcPr/>
          <w:p>
            <w:pPr>
              <w:pStyle w:val="Compact"/>
              <w:jc w:val="left"/>
            </w:pPr>
            <w:r>
              <w:t xml:space="preserve">Discussion (limitations paragraph)</w:t>
            </w:r>
          </w:p>
        </w:tc>
      </w:tr>
      <w:tr>
        <w:tc>
          <w:tcPr/>
          <w:p>
            <w:pPr>
              <w:pStyle w:val="Compact"/>
              <w:jc w:val="left"/>
            </w:pPr>
            <w:r>
              <w:t xml:space="preserve">19</w:t>
            </w:r>
          </w:p>
        </w:tc>
        <w:tc>
          <w:tcPr/>
          <w:p>
            <w:pPr>
              <w:pStyle w:val="Compact"/>
              <w:jc w:val="left"/>
            </w:pPr>
            <w:r>
              <w:t xml:space="preserve">Interpretation (susceptibility-anchor vs effector)</w:t>
            </w:r>
          </w:p>
        </w:tc>
        <w:tc>
          <w:tcPr/>
          <w:p>
            <w:pPr>
              <w:pStyle w:val="Compact"/>
              <w:jc w:val="left"/>
            </w:pPr>
            <w:r>
              <w:t xml:space="preserve">Discussion</w:t>
            </w:r>
          </w:p>
        </w:tc>
      </w:tr>
      <w:tr>
        <w:tc>
          <w:tcPr/>
          <w:p>
            <w:pPr>
              <w:pStyle w:val="Compact"/>
              <w:jc w:val="left"/>
            </w:pPr>
            <w:r>
              <w:t xml:space="preserve">20</w:t>
            </w:r>
          </w:p>
        </w:tc>
        <w:tc>
          <w:tcPr/>
          <w:p>
            <w:pPr>
              <w:pStyle w:val="Compact"/>
              <w:jc w:val="left"/>
            </w:pPr>
            <w:r>
              <w:t xml:space="preserve">Generalizability</w:t>
            </w:r>
          </w:p>
        </w:tc>
        <w:tc>
          <w:tcPr/>
          <w:p>
            <w:pPr>
              <w:pStyle w:val="Compact"/>
              <w:jc w:val="left"/>
            </w:pPr>
            <w:r>
              <w:t xml:space="preserve">Discussion</w:t>
            </w:r>
          </w:p>
        </w:tc>
      </w:tr>
      <w:tr>
        <w:tc>
          <w:tcPr/>
          <w:p>
            <w:pPr>
              <w:pStyle w:val="Compact"/>
              <w:jc w:val="left"/>
            </w:pPr>
            <w:r>
              <w:t xml:space="preserve">21</w:t>
            </w:r>
          </w:p>
        </w:tc>
        <w:tc>
          <w:tcPr/>
          <w:p>
            <w:pPr>
              <w:pStyle w:val="Compact"/>
              <w:jc w:val="left"/>
            </w:pPr>
            <w:r>
              <w:t xml:space="preserve">Funding</w:t>
            </w:r>
          </w:p>
        </w:tc>
        <w:tc>
          <w:tcPr/>
          <w:p>
            <w:pPr>
              <w:pStyle w:val="Compact"/>
              <w:jc w:val="left"/>
            </w:pPr>
            <w:r>
              <w:t xml:space="preserve">Declarations</w:t>
            </w:r>
          </w:p>
        </w:tc>
      </w:tr>
      <w:tr>
        <w:tc>
          <w:tcPr/>
          <w:p>
            <w:pPr>
              <w:pStyle w:val="Compact"/>
              <w:jc w:val="left"/>
            </w:pPr>
            <w:r>
              <w:t xml:space="preserve">22</w:t>
            </w:r>
          </w:p>
        </w:tc>
        <w:tc>
          <w:tcPr/>
          <w:p>
            <w:pPr>
              <w:pStyle w:val="Compact"/>
              <w:jc w:val="left"/>
            </w:pPr>
            <w:r>
              <w:t xml:space="preserve">Data availability</w:t>
            </w:r>
          </w:p>
        </w:tc>
        <w:tc>
          <w:tcPr/>
          <w:p>
            <w:pPr>
              <w:pStyle w:val="Compact"/>
              <w:jc w:val="left"/>
            </w:pPr>
            <w:r>
              <w:t xml:space="preserve">Declarations (public summary statistics: eQTLGen, GWAS Catalog, FinnGen)</w:t>
            </w:r>
          </w:p>
        </w:tc>
      </w:tr>
    </w:tbl>
    <w:p>
      <w:pPr>
        <w:pStyle w:val="BodyText"/>
      </w:pPr>
      <w:r>
        <w:rPr>
          <w:iCs/>
          <w:i/>
        </w:rPr>
        <w:t xml:space="preserve">Software and package versions: R 4.3.3; TwoSampleMR v0.7.4; ieugwasr; coloc v5.2.3; PLINK v1.9. Reporting follows the STROBE-MR statement (Skrivankova et al., JAMA 2021).</w:t>
      </w:r>
    </w:p>
    <w:p>
      <w:pPr>
        <w:numPr>
          <w:ilvl w:val="0"/>
          <w:numId w:val="1004"/>
        </w:numPr>
      </w:pPr>
      <w:r>
        <w:rPr>
          <w:bCs/>
          <w:b/>
        </w:rPr>
        <w:t xml:space="preserve">Table S8.</w:t>
      </w:r>
      <w:r>
        <w:t xml:space="preserve"> </w:t>
      </w:r>
      <w:r>
        <w:t xml:space="preserve">Detectable effect range of the druggable-gene-wide screen. Minimum effect detectable with 80% power was computed per gene and outcome from the empirical standard error of the primary MR estimate as |β|min = (</w:t>
      </w:r>
      <w:r>
        <w:rPr>
          <w:iCs/>
          <w:i/>
        </w:rPr>
        <w:t xml:space="preserve">z</w:t>
      </w:r>
      <w:r>
        <w:t xml:space="preserve">1−α/2 +</w:t>
      </w:r>
      <w:r>
        <w:t xml:space="preserve"> </w:t>
      </w:r>
      <w:r>
        <w:rPr>
          <w:iCs/>
          <w:i/>
        </w:rPr>
        <w:t xml:space="preserve">z</w:t>
      </w:r>
      <w:r>
        <w:t xml:space="preserve">0.80) × SE, with α = 1.965×10⁻⁵ (discovery) or α = 0.05 (replication, TED-enriched).</w:t>
      </w:r>
    </w:p>
    <w:p>
      <w:pPr>
        <w:numPr>
          <w:ilvl w:val="0"/>
          <w:numId w:val="1000"/>
        </w:numPr>
      </w:pPr>
      <w:r>
        <w:rPr>
          <w:bCs/>
          <w:b/>
        </w:rPr>
        <w:t xml:space="preserve">Panel A. Screen-wide detectable range.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Outcome</w:t>
            </w:r>
          </w:p>
        </w:tc>
        <w:tc>
          <w:tcPr/>
          <w:p>
            <w:pPr>
              <w:pStyle w:val="Compact"/>
              <w:jc w:val="left"/>
            </w:pPr>
            <w:r>
              <w:t xml:space="preserve">Significance threshold</w:t>
            </w:r>
          </w:p>
        </w:tc>
        <w:tc>
          <w:tcPr/>
          <w:p>
            <w:pPr>
              <w:pStyle w:val="Compact"/>
              <w:jc w:val="left"/>
            </w:pPr>
            <w:r>
              <w:t xml:space="preserve">Genes</w:t>
            </w:r>
          </w:p>
        </w:tc>
        <w:tc>
          <w:tcPr/>
          <w:p>
            <w:pPr>
              <w:pStyle w:val="Compact"/>
              <w:jc w:val="left"/>
            </w:pPr>
            <w:r>
              <w:t xml:space="preserve">Median |β|min (IQR)</w:t>
            </w:r>
          </w:p>
        </w:tc>
        <w:tc>
          <w:tcPr/>
          <w:p>
            <w:pPr>
              <w:pStyle w:val="Compact"/>
              <w:jc w:val="left"/>
            </w:pPr>
            <w:r>
              <w:t xml:space="preserve">Median detectable OR (IQR)</w:t>
            </w:r>
          </w:p>
        </w:tc>
        <w:tc>
          <w:tcPr/>
          <w:p>
            <w:pPr>
              <w:pStyle w:val="Compact"/>
              <w:jc w:val="left"/>
            </w:pPr>
            <w:r>
              <w:t xml:space="preserve">Genes powered for OR ≥ 1.5</w:t>
            </w:r>
          </w:p>
        </w:tc>
        <w:tc>
          <w:tcPr/>
          <w:p>
            <w:pPr>
              <w:pStyle w:val="Compact"/>
              <w:jc w:val="left"/>
            </w:pPr>
            <w:r>
              <w:t xml:space="preserve">OR ≥ 2.0</w:t>
            </w:r>
          </w:p>
        </w:tc>
        <w:tc>
          <w:tcPr/>
          <w:p>
            <w:pPr>
              <w:pStyle w:val="Compact"/>
              <w:jc w:val="left"/>
            </w:pPr>
            <w:r>
              <w:t xml:space="preserve">OR ≥ 3.0</w:t>
            </w:r>
          </w:p>
        </w:tc>
      </w:tr>
      <w:tr>
        <w:tc>
          <w:tcPr/>
          <w:p>
            <w:pPr>
              <w:pStyle w:val="Compact"/>
              <w:jc w:val="left"/>
            </w:pPr>
            <w:r>
              <w:t xml:space="preserve">BBJ Graves (discovery)</w:t>
            </w:r>
          </w:p>
        </w:tc>
        <w:tc>
          <w:tcPr/>
          <w:p>
            <w:pPr>
              <w:pStyle w:val="Compact"/>
              <w:jc w:val="left"/>
            </w:pPr>
            <w:r>
              <w:rPr>
                <w:iCs/>
                <w:i/>
              </w:rPr>
              <w:t xml:space="preserve">P</w:t>
            </w:r>
            <w:r>
              <w:t xml:space="preserve"> </w:t>
            </w:r>
            <w:r>
              <w:t xml:space="preserve">&lt; 1.965×10⁻⁵</w:t>
            </w:r>
          </w:p>
        </w:tc>
        <w:tc>
          <w:tcPr/>
          <w:p>
            <w:pPr>
              <w:pStyle w:val="Compact"/>
              <w:jc w:val="left"/>
            </w:pPr>
            <w:r>
              <w:t xml:space="preserve">2,234</w:t>
            </w:r>
          </w:p>
        </w:tc>
        <w:tc>
          <w:tcPr/>
          <w:p>
            <w:pPr>
              <w:pStyle w:val="Compact"/>
              <w:jc w:val="left"/>
            </w:pPr>
            <w:r>
              <w:t xml:space="preserve">0.94 (0.54–1.65)</w:t>
            </w:r>
          </w:p>
        </w:tc>
        <w:tc>
          <w:tcPr/>
          <w:p>
            <w:pPr>
              <w:pStyle w:val="Compact"/>
              <w:jc w:val="left"/>
            </w:pPr>
            <w:r>
              <w:t xml:space="preserve">2.55 (1.71–5.19)</w:t>
            </w:r>
          </w:p>
        </w:tc>
        <w:tc>
          <w:tcPr/>
          <w:p>
            <w:pPr>
              <w:pStyle w:val="Compact"/>
              <w:jc w:val="left"/>
            </w:pPr>
            <w:r>
              <w:t xml:space="preserve">14.6%</w:t>
            </w:r>
          </w:p>
        </w:tc>
        <w:tc>
          <w:tcPr/>
          <w:p>
            <w:pPr>
              <w:pStyle w:val="Compact"/>
              <w:jc w:val="left"/>
            </w:pPr>
            <w:r>
              <w:t xml:space="preserve">35.6%</w:t>
            </w:r>
          </w:p>
        </w:tc>
        <w:tc>
          <w:tcPr/>
          <w:p>
            <w:pPr>
              <w:pStyle w:val="Compact"/>
              <w:jc w:val="left"/>
            </w:pPr>
            <w:r>
              <w:t xml:space="preserve">57.7%</w:t>
            </w:r>
          </w:p>
        </w:tc>
      </w:tr>
      <w:tr>
        <w:tc>
          <w:tcPr/>
          <w:p>
            <w:pPr>
              <w:pStyle w:val="Compact"/>
              <w:jc w:val="left"/>
            </w:pPr>
            <w:r>
              <w:t xml:space="preserve">UKB hyperthyroid (replication)</w:t>
            </w:r>
          </w:p>
        </w:tc>
        <w:tc>
          <w:tcPr/>
          <w:p>
            <w:pPr>
              <w:pStyle w:val="Compact"/>
              <w:jc w:val="left"/>
            </w:pPr>
            <w:r>
              <w:rPr>
                <w:iCs/>
                <w:i/>
              </w:rPr>
              <w:t xml:space="preserve">P</w:t>
            </w:r>
            <w:r>
              <w:t xml:space="preserve"> </w:t>
            </w:r>
            <w:r>
              <w:t xml:space="preserve">&lt; 0.05</w:t>
            </w:r>
          </w:p>
        </w:tc>
        <w:tc>
          <w:tcPr/>
          <w:p>
            <w:pPr>
              <w:pStyle w:val="Compact"/>
              <w:jc w:val="left"/>
            </w:pPr>
            <w:r>
              <w:t xml:space="preserve">2,506</w:t>
            </w:r>
          </w:p>
        </w:tc>
        <w:tc>
          <w:tcPr/>
          <w:p>
            <w:pPr>
              <w:pStyle w:val="Compact"/>
              <w:jc w:val="left"/>
            </w:pPr>
            <w:r>
              <w:t xml:space="preserve">0.38 (0.23–0.65)</w:t>
            </w:r>
          </w:p>
        </w:tc>
        <w:tc>
          <w:tcPr/>
          <w:p>
            <w:pPr>
              <w:pStyle w:val="Compact"/>
              <w:jc w:val="left"/>
            </w:pPr>
            <w:r>
              <w:t xml:space="preserve">1.46 (1.26–1.92)</w:t>
            </w:r>
          </w:p>
        </w:tc>
        <w:tc>
          <w:tcPr/>
          <w:p>
            <w:pPr>
              <w:pStyle w:val="Compact"/>
              <w:jc w:val="left"/>
            </w:pPr>
            <w:r>
              <w:t xml:space="preserve">53.7%</w:t>
            </w:r>
          </w:p>
        </w:tc>
        <w:tc>
          <w:tcPr/>
          <w:p>
            <w:pPr>
              <w:pStyle w:val="Compact"/>
              <w:jc w:val="left"/>
            </w:pPr>
            <w:r>
              <w:t xml:space="preserve">77.4%</w:t>
            </w:r>
          </w:p>
        </w:tc>
        <w:tc>
          <w:tcPr/>
          <w:p>
            <w:pPr>
              <w:pStyle w:val="Compact"/>
              <w:jc w:val="left"/>
            </w:pPr>
            <w:r>
              <w:t xml:space="preserve">93.1%</w:t>
            </w:r>
          </w:p>
        </w:tc>
      </w:tr>
      <w:tr>
        <w:tc>
          <w:tcPr/>
          <w:p>
            <w:pPr>
              <w:pStyle w:val="Compact"/>
              <w:jc w:val="left"/>
            </w:pPr>
            <w:r>
              <w:t xml:space="preserve">FinnGen Graves ophthalmopathy (TED-enriched)</w:t>
            </w:r>
          </w:p>
        </w:tc>
        <w:tc>
          <w:tcPr/>
          <w:p>
            <w:pPr>
              <w:pStyle w:val="Compact"/>
              <w:jc w:val="left"/>
            </w:pPr>
            <w:r>
              <w:rPr>
                <w:iCs/>
                <w:i/>
              </w:rPr>
              <w:t xml:space="preserve">P</w:t>
            </w:r>
            <w:r>
              <w:t xml:space="preserve"> </w:t>
            </w:r>
            <w:r>
              <w:t xml:space="preserve">&lt; 0.05</w:t>
            </w:r>
          </w:p>
        </w:tc>
        <w:tc>
          <w:tcPr/>
          <w:p>
            <w:pPr>
              <w:pStyle w:val="Compact"/>
              <w:jc w:val="left"/>
            </w:pPr>
            <w:r>
              <w:t xml:space="preserve">2,481</w:t>
            </w:r>
          </w:p>
        </w:tc>
        <w:tc>
          <w:tcPr/>
          <w:p>
            <w:pPr>
              <w:pStyle w:val="Compact"/>
              <w:jc w:val="left"/>
            </w:pPr>
            <w:r>
              <w:t xml:space="preserve">0.75 (0.46–1.34)</w:t>
            </w:r>
          </w:p>
        </w:tc>
        <w:tc>
          <w:tcPr/>
          <w:p>
            <w:pPr>
              <w:pStyle w:val="Compact"/>
              <w:jc w:val="left"/>
            </w:pPr>
            <w:r>
              <w:t xml:space="preserve">2.12 (1.58–3.82)</w:t>
            </w:r>
          </w:p>
        </w:tc>
        <w:tc>
          <w:tcPr/>
          <w:p>
            <w:pPr>
              <w:pStyle w:val="Compact"/>
              <w:jc w:val="left"/>
            </w:pPr>
            <w:r>
              <w:t xml:space="preserve">19.4%</w:t>
            </w:r>
          </w:p>
        </w:tc>
        <w:tc>
          <w:tcPr/>
          <w:p>
            <w:pPr>
              <w:pStyle w:val="Compact"/>
              <w:jc w:val="left"/>
            </w:pPr>
            <w:r>
              <w:t xml:space="preserve">45.5%</w:t>
            </w:r>
          </w:p>
        </w:tc>
        <w:tc>
          <w:tcPr/>
          <w:p>
            <w:pPr>
              <w:pStyle w:val="Compact"/>
              <w:jc w:val="left"/>
            </w:pPr>
            <w:r>
              <w:t xml:space="preserve">67.3%</w:t>
            </w:r>
          </w:p>
        </w:tc>
      </w:tr>
    </w:tbl>
    <w:p>
      <w:pPr>
        <w:pStyle w:val="BodyText"/>
      </w:pPr>
      <w:r>
        <w:rPr>
          <w:bCs/>
          <w:b/>
        </w:rPr>
        <w:t xml:space="preserve">Panel B. Backbone genes: observed effect versus gene-specific detection threshold.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Observed β</w:t>
            </w:r>
          </w:p>
        </w:tc>
        <w:tc>
          <w:tcPr/>
          <w:p>
            <w:pPr>
              <w:pStyle w:val="Compact"/>
              <w:jc w:val="left"/>
            </w:pPr>
            <w:r>
              <w:t xml:space="preserve">SE</w:t>
            </w:r>
          </w:p>
        </w:tc>
        <w:tc>
          <w:tcPr/>
          <w:p>
            <w:pPr>
              <w:pStyle w:val="Compact"/>
              <w:jc w:val="left"/>
            </w:pPr>
            <w:r>
              <w:t xml:space="preserve">|β|min (80% power)</w:t>
            </w:r>
          </w:p>
        </w:tc>
        <w:tc>
          <w:tcPr/>
          <w:p>
            <w:pPr>
              <w:pStyle w:val="Compact"/>
              <w:jc w:val="left"/>
            </w:pPr>
            <w:r>
              <w:t xml:space="preserve">Detectable OR</w:t>
            </w:r>
          </w:p>
        </w:tc>
        <w:tc>
          <w:tcPr/>
          <w:p>
            <w:pPr>
              <w:pStyle w:val="Compact"/>
              <w:jc w:val="left"/>
            </w:pPr>
            <w:r>
              <w:t xml:space="preserve">Observed effect detectable?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−2.096</w:t>
            </w:r>
          </w:p>
        </w:tc>
        <w:tc>
          <w:tcPr/>
          <w:p>
            <w:pPr>
              <w:pStyle w:val="Compact"/>
              <w:jc w:val="left"/>
            </w:pPr>
            <w:r>
              <w:t xml:space="preserve">0.271</w:t>
            </w:r>
          </w:p>
        </w:tc>
        <w:tc>
          <w:tcPr/>
          <w:p>
            <w:pPr>
              <w:pStyle w:val="Compact"/>
              <w:jc w:val="left"/>
            </w:pPr>
            <w:r>
              <w:t xml:space="preserve">1.386</w:t>
            </w:r>
          </w:p>
        </w:tc>
        <w:tc>
          <w:tcPr/>
          <w:p>
            <w:pPr>
              <w:pStyle w:val="Compact"/>
              <w:jc w:val="left"/>
            </w:pPr>
            <w:r>
              <w:t xml:space="preserve">4.00</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−2.436</w:t>
            </w:r>
          </w:p>
        </w:tc>
        <w:tc>
          <w:tcPr/>
          <w:p>
            <w:pPr>
              <w:pStyle w:val="Compact"/>
              <w:jc w:val="left"/>
            </w:pPr>
            <w:r>
              <w:t xml:space="preserve">0.223</w:t>
            </w:r>
          </w:p>
        </w:tc>
        <w:tc>
          <w:tcPr/>
          <w:p>
            <w:pPr>
              <w:pStyle w:val="Compact"/>
              <w:jc w:val="left"/>
            </w:pPr>
            <w:r>
              <w:t xml:space="preserve">0.625</w:t>
            </w:r>
          </w:p>
        </w:tc>
        <w:tc>
          <w:tcPr/>
          <w:p>
            <w:pPr>
              <w:pStyle w:val="Compact"/>
              <w:jc w:val="left"/>
            </w:pPr>
            <w:r>
              <w:t xml:space="preserve">1.87</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−2.331</w:t>
            </w:r>
          </w:p>
        </w:tc>
        <w:tc>
          <w:tcPr/>
          <w:p>
            <w:pPr>
              <w:pStyle w:val="Compact"/>
              <w:jc w:val="left"/>
            </w:pPr>
            <w:r>
              <w:t xml:space="preserve">0.454</w:t>
            </w:r>
          </w:p>
        </w:tc>
        <w:tc>
          <w:tcPr/>
          <w:p>
            <w:pPr>
              <w:pStyle w:val="Compact"/>
              <w:jc w:val="left"/>
            </w:pPr>
            <w:r>
              <w:t xml:space="preserve">1.272</w:t>
            </w:r>
          </w:p>
        </w:tc>
        <w:tc>
          <w:tcPr/>
          <w:p>
            <w:pPr>
              <w:pStyle w:val="Compact"/>
              <w:jc w:val="left"/>
            </w:pPr>
            <w:r>
              <w:t xml:space="preserve">3.57</w:t>
            </w:r>
          </w:p>
        </w:tc>
        <w:tc>
          <w:tcPr/>
          <w:p>
            <w:pPr>
              <w:pStyle w:val="Compact"/>
              <w:jc w:val="left"/>
            </w:pPr>
            <w:r>
              <w:t xml:space="preserve">Yes</w:t>
            </w: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+0.446</w:t>
            </w:r>
          </w:p>
        </w:tc>
        <w:tc>
          <w:tcPr/>
          <w:p>
            <w:pPr>
              <w:pStyle w:val="Compact"/>
              <w:jc w:val="left"/>
            </w:pPr>
            <w:r>
              <w:t xml:space="preserve">0.194</w:t>
            </w:r>
          </w:p>
        </w:tc>
        <w:tc>
          <w:tcPr/>
          <w:p>
            <w:pPr>
              <w:pStyle w:val="Compact"/>
              <w:jc w:val="left"/>
            </w:pPr>
            <w:r>
              <w:t xml:space="preserve">0.989</w:t>
            </w:r>
          </w:p>
        </w:tc>
        <w:tc>
          <w:tcPr/>
          <w:p>
            <w:pPr>
              <w:pStyle w:val="Compact"/>
              <w:jc w:val="left"/>
            </w:pPr>
            <w:r>
              <w:t xml:space="preserve">2.69</w:t>
            </w:r>
          </w:p>
        </w:tc>
        <w:tc>
          <w:tcPr/>
          <w:p>
            <w:pPr>
              <w:pStyle w:val="Compact"/>
              <w:jc w:val="left"/>
            </w:pPr>
            <w:r>
              <w:t xml:space="preserve">No</w:t>
            </w:r>
          </w:p>
        </w:tc>
      </w:tr>
      <w:tr>
        <w:tc>
          <w:tcPr/>
          <w:p>
            <w:pPr>
              <w:pStyle w:val="Compact"/>
            </w:pPr>
          </w:p>
        </w:tc>
        <w:tc>
          <w:tcPr/>
          <w:p>
            <w:pPr>
              <w:pStyle w:val="Compact"/>
              <w:jc w:val="left"/>
            </w:pPr>
            <w:r>
              <w:t xml:space="preserve">UKB hyperthyroid</w:t>
            </w:r>
          </w:p>
        </w:tc>
        <w:tc>
          <w:tcPr/>
          <w:p>
            <w:pPr>
              <w:pStyle w:val="Compact"/>
              <w:jc w:val="left"/>
            </w:pPr>
            <w:r>
              <w:t xml:space="preserve">+0.299</w:t>
            </w:r>
          </w:p>
        </w:tc>
        <w:tc>
          <w:tcPr/>
          <w:p>
            <w:pPr>
              <w:pStyle w:val="Compact"/>
              <w:jc w:val="left"/>
            </w:pPr>
            <w:r>
              <w:t xml:space="preserve">0.119</w:t>
            </w:r>
          </w:p>
        </w:tc>
        <w:tc>
          <w:tcPr/>
          <w:p>
            <w:pPr>
              <w:pStyle w:val="Compact"/>
              <w:jc w:val="left"/>
            </w:pPr>
            <w:r>
              <w:t xml:space="preserve">0.333</w:t>
            </w:r>
          </w:p>
        </w:tc>
        <w:tc>
          <w:tcPr/>
          <w:p>
            <w:pPr>
              <w:pStyle w:val="Compact"/>
              <w:jc w:val="left"/>
            </w:pPr>
            <w:r>
              <w:t xml:space="preserve">1.39</w:t>
            </w:r>
          </w:p>
        </w:tc>
        <w:tc>
          <w:tcPr/>
          <w:p>
            <w:pPr>
              <w:pStyle w:val="Compact"/>
              <w:jc w:val="left"/>
            </w:pPr>
            <w:r>
              <w:t xml:space="preserve">No</w:t>
            </w:r>
          </w:p>
        </w:tc>
      </w:tr>
      <w:tr>
        <w:tc>
          <w:tcPr/>
          <w:p>
            <w:pPr>
              <w:pStyle w:val="Compact"/>
            </w:pPr>
          </w:p>
        </w:tc>
        <w:tc>
          <w:tcPr/>
          <w:p>
            <w:pPr>
              <w:pStyle w:val="Compact"/>
              <w:jc w:val="left"/>
            </w:pPr>
            <w:r>
              <w:t xml:space="preserve">FinnGen GO</w:t>
            </w:r>
          </w:p>
        </w:tc>
        <w:tc>
          <w:tcPr/>
          <w:p>
            <w:pPr>
              <w:pStyle w:val="Compact"/>
              <w:jc w:val="left"/>
            </w:pPr>
            <w:r>
              <w:t xml:space="preserve">+0.342</w:t>
            </w:r>
          </w:p>
        </w:tc>
        <w:tc>
          <w:tcPr/>
          <w:p>
            <w:pPr>
              <w:pStyle w:val="Compact"/>
              <w:jc w:val="left"/>
            </w:pPr>
            <w:r>
              <w:t xml:space="preserve">0.256</w:t>
            </w:r>
          </w:p>
        </w:tc>
        <w:tc>
          <w:tcPr/>
          <w:p>
            <w:pPr>
              <w:pStyle w:val="Compact"/>
              <w:jc w:val="left"/>
            </w:pPr>
            <w:r>
              <w:t xml:space="preserve">0.718</w:t>
            </w:r>
          </w:p>
        </w:tc>
        <w:tc>
          <w:tcPr/>
          <w:p>
            <w:pPr>
              <w:pStyle w:val="Compact"/>
              <w:jc w:val="left"/>
            </w:pPr>
            <w:r>
              <w:t xml:space="preserve">2.05</w:t>
            </w:r>
          </w:p>
        </w:tc>
        <w:tc>
          <w:tcPr/>
          <w:p>
            <w:pPr>
              <w:pStyle w:val="Compact"/>
              <w:jc w:val="left"/>
            </w:pPr>
            <w:r>
              <w:t xml:space="preserve">No</w:t>
            </w: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−1.740</w:t>
            </w:r>
          </w:p>
        </w:tc>
        <w:tc>
          <w:tcPr/>
          <w:p>
            <w:pPr>
              <w:pStyle w:val="Compact"/>
              <w:jc w:val="left"/>
            </w:pPr>
            <w:r>
              <w:t xml:space="preserve">0.223</w:t>
            </w:r>
          </w:p>
        </w:tc>
        <w:tc>
          <w:tcPr/>
          <w:p>
            <w:pPr>
              <w:pStyle w:val="Compact"/>
              <w:jc w:val="left"/>
            </w:pPr>
            <w:r>
              <w:t xml:space="preserve">1.137</w:t>
            </w:r>
          </w:p>
        </w:tc>
        <w:tc>
          <w:tcPr/>
          <w:p>
            <w:pPr>
              <w:pStyle w:val="Compact"/>
              <w:jc w:val="left"/>
            </w:pPr>
            <w:r>
              <w:t xml:space="preserve">3.12</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−1.569</w:t>
            </w:r>
          </w:p>
        </w:tc>
        <w:tc>
          <w:tcPr/>
          <w:p>
            <w:pPr>
              <w:pStyle w:val="Compact"/>
              <w:jc w:val="left"/>
            </w:pPr>
            <w:r>
              <w:t xml:space="preserve">0.513</w:t>
            </w:r>
          </w:p>
        </w:tc>
        <w:tc>
          <w:tcPr/>
          <w:p>
            <w:pPr>
              <w:pStyle w:val="Compact"/>
              <w:jc w:val="left"/>
            </w:pPr>
            <w:r>
              <w:t xml:space="preserve">1.436</w:t>
            </w:r>
          </w:p>
        </w:tc>
        <w:tc>
          <w:tcPr/>
          <w:p>
            <w:pPr>
              <w:pStyle w:val="Compact"/>
              <w:jc w:val="left"/>
            </w:pPr>
            <w:r>
              <w:t xml:space="preserve">4.20</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−1.768</w:t>
            </w:r>
          </w:p>
        </w:tc>
        <w:tc>
          <w:tcPr/>
          <w:p>
            <w:pPr>
              <w:pStyle w:val="Compact"/>
              <w:jc w:val="left"/>
            </w:pPr>
            <w:r>
              <w:t xml:space="preserve">0.702</w:t>
            </w:r>
          </w:p>
        </w:tc>
        <w:tc>
          <w:tcPr/>
          <w:p>
            <w:pPr>
              <w:pStyle w:val="Compact"/>
              <w:jc w:val="left"/>
            </w:pPr>
            <w:r>
              <w:t xml:space="preserve">1.968</w:t>
            </w:r>
          </w:p>
        </w:tc>
        <w:tc>
          <w:tcPr/>
          <w:p>
            <w:pPr>
              <w:pStyle w:val="Compact"/>
              <w:jc w:val="left"/>
            </w:pPr>
            <w:r>
              <w:t xml:space="preserve">7.15</w:t>
            </w:r>
          </w:p>
        </w:tc>
        <w:tc>
          <w:tcPr/>
          <w:p>
            <w:pPr>
              <w:pStyle w:val="Compact"/>
              <w:jc w:val="left"/>
            </w:pPr>
            <w:r>
              <w:t xml:space="preserve">No</w:t>
            </w:r>
          </w:p>
        </w:tc>
      </w:tr>
    </w:tbl>
    <w:p>
      <w:pPr>
        <w:pStyle w:val="BodyText"/>
      </w:pPr>
      <w:r>
        <w:rPr>
          <w:iCs/>
          <w:i/>
        </w:rPr>
        <w:t xml:space="preserve">The screen was well powered for large expression-mediated effects and recovered both established anchors (TSHR, CTLA4) at magnitudes exceeding their gene-specific thresholds. IGF1R effects fell below the corresponding thresholds in every outcome, so the absence of study-wide significance at IGF1R is expected for an effect of this size and is not evidence against a genetic contribution; IGF1R was therefore evaluated as a backbone gene across multiple evidence layers rather than on discovery significance alone. Conversely, the absence of a qualifying novel candidate constrains additional large, expression-colocalized druggable effects but not moderate ones. Values are computed from the standard errors of the locked primary MR estimates (reproduced by</w:t>
      </w:r>
      <w:r>
        <w:rPr>
          <w:iCs/>
          <w:i/>
        </w:rPr>
        <w:t xml:space="preserve"> </w:t>
      </w:r>
      <w:r>
        <w:rPr>
          <w:rStyle w:val="VerbatimChar"/>
          <w:iCs/>
          <w:i/>
        </w:rPr>
        <w:t xml:space="preserve">scripts/22_power_analysis_null_screen.py</w:t>
      </w:r>
      <w:r>
        <w:rPr>
          <w:iCs/>
          <w:i/>
        </w:rPr>
        <w:t xml:space="preserve">).</w:t>
      </w:r>
    </w:p>
    <w:p>
      <w:pPr>
        <w:numPr>
          <w:ilvl w:val="0"/>
          <w:numId w:val="1005"/>
        </w:numPr>
        <w:pStyle w:val="Compact"/>
      </w:pPr>
      <w:r>
        <w:rPr>
          <w:bCs/>
          <w:b/>
        </w:rPr>
        <w:t xml:space="preserve">Table S9.</w:t>
      </w:r>
      <w:r>
        <w:t xml:space="preserve"> </w:t>
      </w:r>
      <w:r>
        <w:t xml:space="preserve">Full colocalization posteriors and prior sensitivity for the backbone genes, laid out as Table S2. Two rows fall below the PP.H4 ≥ 0.80 threshold under the most conservative prior:</w:t>
      </w:r>
      <w:r>
        <w:t xml:space="preserve"> </w:t>
      </w:r>
      <w:r>
        <w:rPr>
          <w:iCs/>
          <w:i/>
        </w:rPr>
        <w:t xml:space="preserve">TSHR</w:t>
      </w:r>
      <w:r>
        <w:t xml:space="preserve"> </w:t>
      </w:r>
      <w:r>
        <w:t xml:space="preserve">in the discovery outcome (0.951 → 0.661) and</w:t>
      </w:r>
      <w:r>
        <w:t xml:space="preserve"> </w:t>
      </w:r>
      <w:r>
        <w:rPr>
          <w:iCs/>
          <w:i/>
        </w:rPr>
        <w:t xml:space="preserve">CTLA4</w:t>
      </w:r>
      <w:r>
        <w:t xml:space="preserve"> </w:t>
      </w:r>
      <w:r>
        <w:t xml:space="preserve">in the replication outcome (0.953 → 0.672). The TED-enriched</w:t>
      </w:r>
      <w:r>
        <w:t xml:space="preserve"> </w:t>
      </w:r>
      <w:r>
        <w:rPr>
          <w:iCs/>
          <w:i/>
        </w:rPr>
        <w:t xml:space="preserve">TSHR</w:t>
      </w:r>
      <w:r>
        <w:t xml:space="preserve"> </w:t>
      </w:r>
      <w:r>
        <w:t xml:space="preserve">posterior stays above the threshold throughout (0.986 → 0.875).</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c>
          <w:tcPr/>
          <w:p>
            <w:pPr>
              <w:pStyle w:val="Compact"/>
              <w:jc w:val="left"/>
            </w:pPr>
            <w:r>
              <w:t xml:space="preserve">PP.H4 (p12=10⁻⁶)</w:t>
            </w:r>
          </w:p>
        </w:tc>
        <w:tc>
          <w:tcPr/>
          <w:p>
            <w:pPr>
              <w:pStyle w:val="Compact"/>
              <w:jc w:val="left"/>
            </w:pPr>
            <w:r>
              <w:t xml:space="preserve">PP.H4 (p12=5×10⁻⁶)</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4,336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0.049</w:t>
            </w:r>
          </w:p>
        </w:tc>
        <w:tc>
          <w:tcPr/>
          <w:p>
            <w:pPr>
              <w:pStyle w:val="Compact"/>
              <w:jc w:val="left"/>
            </w:pPr>
            <w:r>
              <w:t xml:space="preserve">0.951</w:t>
            </w:r>
          </w:p>
        </w:tc>
        <w:tc>
          <w:tcPr/>
          <w:p>
            <w:pPr>
              <w:pStyle w:val="Compact"/>
              <w:jc w:val="left"/>
            </w:pPr>
            <w:r>
              <w:t xml:space="preserve">rs179252</w:t>
            </w:r>
          </w:p>
        </w:tc>
        <w:tc>
          <w:tcPr/>
          <w:p>
            <w:pPr>
              <w:pStyle w:val="Compact"/>
              <w:jc w:val="left"/>
            </w:pPr>
            <w:r>
              <w:t xml:space="preserve">0.661</w:t>
            </w:r>
          </w:p>
        </w:tc>
        <w:tc>
          <w:tcPr/>
          <w:p>
            <w:pPr>
              <w:pStyle w:val="Compact"/>
              <w:jc w:val="left"/>
            </w:pPr>
            <w:r>
              <w:t xml:space="preserve">0.907</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5,667</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0.774</w:t>
            </w:r>
          </w:p>
        </w:tc>
        <w:tc>
          <w:tcPr/>
          <w:p>
            <w:pPr>
              <w:pStyle w:val="Compact"/>
              <w:jc w:val="left"/>
            </w:pPr>
            <w:r>
              <w:t xml:space="preserve">0.226</w:t>
            </w:r>
          </w:p>
        </w:tc>
        <w:tc>
          <w:tcPr/>
          <w:p>
            <w:pPr>
              <w:pStyle w:val="Compact"/>
              <w:jc w:val="left"/>
            </w:pPr>
            <w:r>
              <w:t xml:space="preserve">rs1023586</w:t>
            </w:r>
          </w:p>
        </w:tc>
        <w:tc>
          <w:tcPr/>
          <w:p>
            <w:pPr>
              <w:pStyle w:val="Compact"/>
              <w:jc w:val="left"/>
            </w:pPr>
            <w:r>
              <w:t xml:space="preserve">0.028</w:t>
            </w:r>
          </w:p>
        </w:tc>
        <w:tc>
          <w:tcPr/>
          <w:p>
            <w:pPr>
              <w:pStyle w:val="Compact"/>
              <w:jc w:val="left"/>
            </w:pPr>
            <w:r>
              <w:t xml:space="preserve">0.128</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6,579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0.014</w:t>
            </w:r>
          </w:p>
        </w:tc>
        <w:tc>
          <w:tcPr/>
          <w:p>
            <w:pPr>
              <w:pStyle w:val="Compact"/>
              <w:jc w:val="left"/>
            </w:pPr>
            <w:r>
              <w:t xml:space="preserve">0.986</w:t>
            </w:r>
          </w:p>
        </w:tc>
        <w:tc>
          <w:tcPr/>
          <w:p>
            <w:pPr>
              <w:pStyle w:val="Compact"/>
              <w:jc w:val="left"/>
            </w:pPr>
            <w:r>
              <w:t xml:space="preserve">rs179252</w:t>
            </w:r>
          </w:p>
        </w:tc>
        <w:tc>
          <w:tcPr/>
          <w:p>
            <w:pPr>
              <w:pStyle w:val="Compact"/>
              <w:jc w:val="left"/>
            </w:pPr>
            <w:r>
              <w:t xml:space="preserve">0.875</w:t>
            </w:r>
          </w:p>
        </w:tc>
        <w:tc>
          <w:tcPr/>
          <w:p>
            <w:pPr>
              <w:pStyle w:val="Compact"/>
              <w:jc w:val="left"/>
            </w:pPr>
            <w:r>
              <w:t xml:space="preserve">0.972</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5,685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0.690</w:t>
            </w:r>
          </w:p>
        </w:tc>
        <w:tc>
          <w:tcPr/>
          <w:p>
            <w:pPr>
              <w:pStyle w:val="Compact"/>
              <w:jc w:val="left"/>
            </w:pPr>
            <w:r>
              <w:t xml:space="preserve">0.236</w:t>
            </w:r>
          </w:p>
        </w:tc>
        <w:tc>
          <w:tcPr/>
          <w:p>
            <w:pPr>
              <w:pStyle w:val="Compact"/>
              <w:jc w:val="left"/>
            </w:pPr>
            <w:r>
              <w:t xml:space="preserve">0.073</w:t>
            </w:r>
          </w:p>
        </w:tc>
        <w:tc>
          <w:tcPr/>
          <w:p>
            <w:pPr>
              <w:pStyle w:val="Compact"/>
              <w:jc w:val="left"/>
            </w:pPr>
            <w:r>
              <w:t xml:space="preserve">rs2654980</w:t>
            </w:r>
          </w:p>
        </w:tc>
        <w:tc>
          <w:tcPr/>
          <w:p>
            <w:pPr>
              <w:pStyle w:val="Compact"/>
              <w:jc w:val="left"/>
            </w:pPr>
            <w:r>
              <w:t xml:space="preserve">0.008</w:t>
            </w:r>
          </w:p>
        </w:tc>
        <w:tc>
          <w:tcPr/>
          <w:p>
            <w:pPr>
              <w:pStyle w:val="Compact"/>
              <w:jc w:val="left"/>
            </w:pPr>
            <w:r>
              <w:t xml:space="preserve">0.038</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7,394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0.400</w:t>
            </w:r>
          </w:p>
        </w:tc>
        <w:tc>
          <w:tcPr/>
          <w:p>
            <w:pPr>
              <w:pStyle w:val="Compact"/>
              <w:jc w:val="left"/>
            </w:pPr>
            <w:r>
              <w:t xml:space="preserve">0.196</w:t>
            </w:r>
          </w:p>
        </w:tc>
        <w:tc>
          <w:tcPr/>
          <w:p>
            <w:pPr>
              <w:pStyle w:val="Compact"/>
              <w:jc w:val="left"/>
            </w:pPr>
            <w:r>
              <w:t xml:space="preserve">0.404</w:t>
            </w:r>
          </w:p>
        </w:tc>
        <w:tc>
          <w:tcPr/>
          <w:p>
            <w:pPr>
              <w:pStyle w:val="Compact"/>
              <w:jc w:val="left"/>
            </w:pPr>
            <w:r>
              <w:t xml:space="preserve">rs2654980</w:t>
            </w:r>
          </w:p>
        </w:tc>
        <w:tc>
          <w:tcPr/>
          <w:p>
            <w:pPr>
              <w:pStyle w:val="Compact"/>
              <w:jc w:val="left"/>
            </w:pPr>
            <w:r>
              <w:t xml:space="preserve">0.063</w:t>
            </w:r>
          </w:p>
        </w:tc>
        <w:tc>
          <w:tcPr/>
          <w:p>
            <w:pPr>
              <w:pStyle w:val="Compact"/>
              <w:jc w:val="left"/>
            </w:pPr>
            <w:r>
              <w:t xml:space="preserve">0.253</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7,740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0.623</w:t>
            </w:r>
          </w:p>
        </w:tc>
        <w:tc>
          <w:tcPr/>
          <w:p>
            <w:pPr>
              <w:pStyle w:val="Compact"/>
              <w:jc w:val="left"/>
            </w:pPr>
            <w:r>
              <w:t xml:space="preserve">0.346</w:t>
            </w:r>
          </w:p>
        </w:tc>
        <w:tc>
          <w:tcPr/>
          <w:p>
            <w:pPr>
              <w:pStyle w:val="Compact"/>
              <w:jc w:val="left"/>
            </w:pPr>
            <w:r>
              <w:t xml:space="preserve">0.032</w:t>
            </w:r>
          </w:p>
        </w:tc>
        <w:tc>
          <w:tcPr/>
          <w:p>
            <w:pPr>
              <w:pStyle w:val="Compact"/>
              <w:jc w:val="left"/>
            </w:pPr>
            <w:r>
              <w:t xml:space="preserve">rs2654980</w:t>
            </w:r>
          </w:p>
        </w:tc>
        <w:tc>
          <w:tcPr/>
          <w:p>
            <w:pPr>
              <w:pStyle w:val="Compact"/>
              <w:jc w:val="left"/>
            </w:pPr>
            <w:r>
              <w:t xml:space="preserve">0.003</w:t>
            </w:r>
          </w:p>
        </w:tc>
        <w:tc>
          <w:tcPr/>
          <w:p>
            <w:pPr>
              <w:pStyle w:val="Compact"/>
              <w:jc w:val="left"/>
            </w:pPr>
            <w:r>
              <w:t xml:space="preserve">0.016</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3,014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0.799</w:t>
            </w:r>
          </w:p>
        </w:tc>
        <w:tc>
          <w:tcPr/>
          <w:p>
            <w:pPr>
              <w:pStyle w:val="Compact"/>
              <w:jc w:val="left"/>
            </w:pPr>
            <w:r>
              <w:t xml:space="preserve">0.201</w:t>
            </w:r>
          </w:p>
        </w:tc>
        <w:tc>
          <w:tcPr/>
          <w:p>
            <w:pPr>
              <w:pStyle w:val="Compact"/>
              <w:jc w:val="left"/>
            </w:pPr>
            <w:r>
              <w:t xml:space="preserve">rs231811</w:t>
            </w:r>
          </w:p>
        </w:tc>
        <w:tc>
          <w:tcPr/>
          <w:p>
            <w:pPr>
              <w:pStyle w:val="Compact"/>
              <w:jc w:val="left"/>
            </w:pPr>
            <w:r>
              <w:t xml:space="preserve">0.025</w:t>
            </w:r>
          </w:p>
        </w:tc>
        <w:tc>
          <w:tcPr/>
          <w:p>
            <w:pPr>
              <w:pStyle w:val="Compact"/>
              <w:jc w:val="left"/>
            </w:pPr>
            <w:r>
              <w:t xml:space="preserve">0.112</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4,283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0.047</w:t>
            </w:r>
          </w:p>
        </w:tc>
        <w:tc>
          <w:tcPr/>
          <w:p>
            <w:pPr>
              <w:pStyle w:val="Compact"/>
              <w:jc w:val="left"/>
            </w:pPr>
            <w:r>
              <w:t xml:space="preserve">0.953</w:t>
            </w:r>
          </w:p>
        </w:tc>
        <w:tc>
          <w:tcPr/>
          <w:p>
            <w:pPr>
              <w:pStyle w:val="Compact"/>
              <w:jc w:val="left"/>
            </w:pPr>
            <w:r>
              <w:t xml:space="preserve">rs3087243</w:t>
            </w:r>
          </w:p>
        </w:tc>
        <w:tc>
          <w:tcPr/>
          <w:p>
            <w:pPr>
              <w:pStyle w:val="Compact"/>
              <w:jc w:val="left"/>
            </w:pPr>
            <w:r>
              <w:t xml:space="preserve">0.672</w:t>
            </w:r>
          </w:p>
        </w:tc>
        <w:tc>
          <w:tcPr/>
          <w:p>
            <w:pPr>
              <w:pStyle w:val="Compact"/>
              <w:jc w:val="left"/>
            </w:pPr>
            <w:r>
              <w:t xml:space="preserve">0.911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4,924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0.022</w:t>
            </w:r>
          </w:p>
        </w:tc>
        <w:tc>
          <w:tcPr/>
          <w:p>
            <w:pPr>
              <w:pStyle w:val="Compact"/>
              <w:jc w:val="left"/>
            </w:pPr>
            <w:r>
              <w:t xml:space="preserve">0.978</w:t>
            </w:r>
          </w:p>
        </w:tc>
        <w:tc>
          <w:tcPr/>
          <w:p>
            <w:pPr>
              <w:pStyle w:val="Compact"/>
              <w:jc w:val="left"/>
            </w:pPr>
            <w:r>
              <w:t xml:space="preserve">rs1863800</w:t>
            </w:r>
          </w:p>
        </w:tc>
        <w:tc>
          <w:tcPr/>
          <w:p>
            <w:pPr>
              <w:pStyle w:val="Compact"/>
              <w:jc w:val="left"/>
            </w:pPr>
            <w:r>
              <w:t xml:space="preserve">0.816</w:t>
            </w:r>
          </w:p>
        </w:tc>
        <w:tc>
          <w:tcPr/>
          <w:p>
            <w:pPr>
              <w:pStyle w:val="Compact"/>
              <w:jc w:val="left"/>
            </w:pPr>
            <w:r>
              <w:t xml:space="preserve">0.957</w:t>
            </w:r>
          </w:p>
        </w:tc>
      </w:tr>
    </w:tbl>
    <w:p>
      <w:pPr>
        <w:pStyle w:val="BodyText"/>
      </w:pPr>
      <w:r>
        <w:rPr>
          <w:iCs/>
          <w:i/>
        </w:rPr>
        <w:t xml:space="preserve">Default priors p1 = p2 = 1×10⁻⁴, p12 = 1×10⁻⁵. Posteriors computed from beta and varbeta with ancestry-matched allele frequencies and the case fractions given in Table 1.</w:t>
      </w:r>
    </w:p>
    <w:p>
      <w:pPr>
        <w:pStyle w:val="BodyText"/>
      </w:pPr>
      <w:r>
        <w:rPr>
          <w:bCs/>
          <w:b/>
        </w:rPr>
        <w:t xml:space="preserve">Supplementary Figures</w:t>
      </w:r>
    </w:p>
    <w:p>
      <w:pPr>
        <w:pStyle w:val="BodyText"/>
      </w:pPr>
      <w:r>
        <w:rPr>
          <w:bCs/>
          <w:b/>
        </w:rPr>
        <w:t xml:space="preserve">Figure S1. Orbital tissue transcript abundance for the backbone genes (descriptive).</w:t>
      </w:r>
      <w:r>
        <w:t xml:space="preserve"> </w:t>
      </w:r>
      <w:r>
        <w:t xml:space="preserve">Normalized transcript abundance (TPM) for</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in the in-house orbital dataset (four TED samples, one control), with technical-replicate libraries collapsed to the biological-sample level. Because the dataset contains a single control, control-side biological variance cannot be estimated and no differential-expression inference is drawn; the panel is shown as a descriptive observation only and no conclusion in this study depends on it. Log2 fold changes of mean TED abundance relative to the control sample were +2.59 (</w:t>
      </w:r>
      <w:r>
        <w:rPr>
          <w:iCs/>
          <w:i/>
        </w:rPr>
        <w:t xml:space="preserve">TSHR</w:t>
      </w:r>
      <w:r>
        <w:t xml:space="preserve">), +0.80 (</w:t>
      </w:r>
      <w:r>
        <w:rPr>
          <w:iCs/>
          <w:i/>
        </w:rPr>
        <w:t xml:space="preserve">IGF1R</w:t>
      </w:r>
      <w:r>
        <w:t xml:space="preserve">) and +1.58 (</w:t>
      </w:r>
      <w:r>
        <w:rPr>
          <w:iCs/>
          <w:i/>
        </w:rPr>
        <w:t xml:space="preserve">CTLA4</w:t>
      </w:r>
      <w:r>
        <w:t xml:space="preserve">). Panels use gene-specific y-axis scales.</w:t>
      </w:r>
    </w:p>
    <w:p>
      <w:pPr>
        <w:pStyle w:val="BodyText"/>
      </w:pPr>
      <w:r>
        <w:rPr>
          <w:bCs/>
          <w:b/>
        </w:rPr>
        <w:t xml:space="preserve">Figure S2. Candidate colocalization across all three outcomes.</w:t>
      </w:r>
      <w:r>
        <w:t xml:space="preserve"> </w:t>
      </w:r>
      <w:r>
        <w:t xml:space="preserve">Stacked posterior probabilities (coloc.abf) for the six non-known candidate genes against each outcome, plotted as in Figure 3A.</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 strongly with the BBJ discovery signal (PP.H4 = 0.994 and 0.989) but show no shared-variant colocalization in either secondary outcome (UKB 0.237 and 0.052; FinnGen 0.017 and 0.020).</w:t>
      </w:r>
      <w:r>
        <w:t xml:space="preserve"> </w:t>
      </w:r>
      <w:r>
        <w:rPr>
          <w:iCs/>
          <w:i/>
        </w:rPr>
        <w:t xml:space="preserve">TNFSF14</w:t>
      </w:r>
      <w:r>
        <w:t xml:space="preserve"> </w:t>
      </w:r>
      <w:r>
        <w:t xml:space="preserve">nevertheless retains a direction-consistent nominal MR association in UKB (</w:t>
      </w:r>
      <w:r>
        <w:rPr>
          <w:iCs/>
          <w:i/>
        </w:rPr>
        <w:t xml:space="preserve">P</w:t>
      </w:r>
      <w:r>
        <w:t xml:space="preserve"> </w:t>
      </w:r>
      <w:r>
        <w:t xml:space="preserve">= 0.0056), so this is a failure of the colocalization criterion rather than of association. The chromosome 16p11.2 candidates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show only weak or ambiguous colocalization throughout, and</w:t>
      </w:r>
      <w:r>
        <w:t xml:space="preserve"> </w:t>
      </w:r>
      <w:r>
        <w:rPr>
          <w:iCs/>
          <w:i/>
        </w:rPr>
        <w:t xml:space="preserve">MAPKAPK5</w:t>
      </w:r>
      <w:r>
        <w:t xml:space="preserve"> </w:t>
      </w:r>
      <w:r>
        <w:t xml:space="preserve">is PP.H3-dominant in discovery. No candidate reached the shared-variant threshold in more than one outcome.</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2026-09-04T10:00:42Z</dcterms:created>
  <dcterms:modified xsi:type="dcterms:W3CDTF">2026-09-04T10:00:42Z</dcterms:modified>
</cp:coreProperties>
</file>

<file path=docProps/custom.xml><?xml version="1.0" encoding="utf-8"?>
<Properties xmlns="http://schemas.openxmlformats.org/officeDocument/2006/custom-properties" xmlns:vt="http://schemas.openxmlformats.org/officeDocument/2006/docPropsVTypes"/>
</file>