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Suk-Woo Yang, MD, PhD</w:t>
      </w:r>
      <w:r>
        <w:t xml:space="preserve"> </w:t>
      </w:r>
      <w:r>
        <w:t xml:space="preserve">Department of Ophthalmology, Seoul St. Mary’s Hospital</w:t>
      </w:r>
      <w:r>
        <w:t xml:space="preserve"> </w:t>
      </w:r>
      <w:r>
        <w:t xml:space="preserve">College of Medicine, The Catholic University of Korea</w:t>
      </w:r>
      <w:r>
        <w:t xml:space="preserve"> </w:t>
      </w:r>
      <w:r>
        <w:t xml:space="preserve">Seoul, Republic of Korea</w:t>
      </w:r>
      <w:r>
        <w:t xml:space="preserve"> </w:t>
      </w:r>
      <w:r>
        <w:t xml:space="preserve">yswoph@catholic.ac.kr · +82-2-2258-2847</w:t>
      </w:r>
    </w:p>
    <w:p>
      <w:pPr>
        <w:pStyle w:val="BodyText"/>
      </w:pPr>
      <w:r>
        <w:t xml:space="preserve">27 May 2026</w:t>
      </w:r>
    </w:p>
    <w:p>
      <w:pPr>
        <w:pStyle w:val="BodyText"/>
      </w:pPr>
      <w:r>
        <w:t xml:space="preserve">The Editor-in-Chief</w:t>
      </w:r>
      <w:r>
        <w:t xml:space="preserve"> </w:t>
      </w:r>
      <w:r>
        <w:rPr>
          <w:iCs/>
          <w:i/>
        </w:rPr>
        <w:t xml:space="preserve">Journal of Endocrinological Investigation</w:t>
      </w:r>
    </w:p>
    <w:p>
      <w:pPr>
        <w:pStyle w:val="BodyText"/>
      </w:pPr>
      <w:r>
        <w:t xml:space="preserve">Dear Editor,</w:t>
      </w:r>
    </w:p>
    <w:p>
      <w:pPr>
        <w:pStyle w:val="BodyText"/>
      </w:pPr>
      <w:r>
        <w:t xml:space="preserve">We are pleased to submit our manuscript,</w:t>
      </w:r>
      <w:r>
        <w:t xml:space="preserve"> </w:t>
      </w:r>
      <w:r>
        <w:t xml:space="preserve">“</w:t>
      </w:r>
      <w:r>
        <w:t xml:space="preserve">A drug target that is not a susceptibility locus: druggable-gene-wide Mendelian randomization distinguishes TSHR anchoring from IGF1R effector biology in Graves disease and thyroid eye disease,</w:t>
      </w:r>
      <w:r>
        <w:t xml:space="preserve">”</w:t>
      </w:r>
      <w:r>
        <w:t xml:space="preserve"> </w:t>
      </w:r>
      <w:r>
        <w:t xml:space="preserve">for consideration as an Original Article in the</w:t>
      </w:r>
      <w:r>
        <w:t xml:space="preserve"> </w:t>
      </w:r>
      <w:r>
        <w:rPr>
          <w:iCs/>
          <w:i/>
        </w:rPr>
        <w:t xml:space="preserve">Journal of Endocrinological Investigation</w:t>
      </w:r>
      <w:r>
        <w:t xml:space="preserve">.</w:t>
      </w:r>
    </w:p>
    <w:p>
      <w:pPr>
        <w:pStyle w:val="BodyText"/>
      </w:pPr>
      <w:r>
        <w:t xml:space="preserve">Graves disease (GD) and thyroid eye disease (TED) sit at the intersection of thyroid autoimmunity and orbital pathology, and the approval of the IGF-1R-blocking antibody teprotumumab has made the relationship between TSHR and IGF-1R a central question for the field. A recurring difficulty is that IGF-1R is simultaneously a compelling therapeutic target and a gene whose status as a primary genetic driver of disease remains unresolved. Our study addresses this question directly by asking, across the druggable genome, which genes behave as expression-colocalized genetic susceptibility anchors and which behave as pharmacologic effector axes.</w:t>
      </w:r>
    </w:p>
    <w:p>
      <w:pPr>
        <w:pStyle w:val="BodyText"/>
      </w:pPr>
      <w:r>
        <w:t xml:space="preserve">Using a druggable-gene-wide</w:t>
      </w:r>
      <w:r>
        <w:t xml:space="preserve"> </w:t>
      </w:r>
      <w:r>
        <w:rPr>
          <w:iCs/>
          <w:i/>
        </w:rPr>
        <w:t xml:space="preserve">cis</w:t>
      </w:r>
      <w:r>
        <w:t xml:space="preserve">-eQTL Mendelian randomization and colocalization framework across a prespecified outcome hierarchy (Biobank Japan Graves disease as discovery, UK Biobank hyperthyroidism as replication, and FinnGen Graves ophthalmopathy as a TED-specific sensitivity outcome), integrated with TSHR fine-mapping, a positive-control autoimmune locus (CTLA4), and exploratory orbital tissue transcriptomics, we find that:</w:t>
      </w:r>
    </w:p>
    <w:p>
      <w:pPr>
        <w:numPr>
          <w:ilvl w:val="0"/>
          <w:numId w:val="1001"/>
        </w:numPr>
        <w:pStyle w:val="Compact"/>
      </w:pPr>
      <w:r>
        <w:rPr>
          <w:iCs/>
          <w:i/>
        </w:rPr>
        <w:t xml:space="preserve">TSHR</w:t>
      </w:r>
      <w:r>
        <w:t xml:space="preserve"> </w:t>
      </w:r>
      <w:r>
        <w:t xml:space="preserve">behaves as an expression-colocalized susceptibility anchor, with consistent cross-outcome genetic effects, a shared causal variant at rs179252, and exploratory upregulation in TED orbital tissue;</w:t>
      </w:r>
    </w:p>
    <w:p>
      <w:pPr>
        <w:numPr>
          <w:ilvl w:val="0"/>
          <w:numId w:val="1001"/>
        </w:numPr>
        <w:pStyle w:val="Compact"/>
      </w:pPr>
      <w:r>
        <w:rPr>
          <w:iCs/>
          <w:i/>
        </w:rPr>
        <w:t xml:space="preserve">IGF1R</w:t>
      </w:r>
      <w:r>
        <w:t xml:space="preserve"> </w:t>
      </w:r>
      <w:r>
        <w:t xml:space="preserve">shows nominal positive-direction genetic evidence without expression colocalization or significant orbital tissue association, a profile most consistent with pharmacologic effector biology rather than a primary expression-colocalized genetic susceptibility locus;</w:t>
      </w:r>
    </w:p>
    <w:p>
      <w:pPr>
        <w:numPr>
          <w:ilvl w:val="0"/>
          <w:numId w:val="1001"/>
        </w:numPr>
        <w:pStyle w:val="Compact"/>
      </w:pPr>
      <w:r>
        <w:t xml:space="preserve">a systematic screen of 2,545 druggable genes advanced no non-known gene as a robust novel target after cross-outcome colocalization, which we present as an informative result reflecting methodological rigor rather than a negative finding.</w:t>
      </w:r>
    </w:p>
    <w:p>
      <w:pPr>
        <w:pStyle w:val="FirstParagraph"/>
      </w:pPr>
      <w:r>
        <w:t xml:space="preserve">We believe this susceptibility-versus-effector distinction offers a useful interpretive framework for the field and is well matched to the readership of the</w:t>
      </w:r>
      <w:r>
        <w:t xml:space="preserve"> </w:t>
      </w:r>
      <w:r>
        <w:rPr>
          <w:iCs/>
          <w:i/>
        </w:rPr>
        <w:t xml:space="preserve">Journal of Endocrinological Investigation</w:t>
      </w:r>
      <w:r>
        <w:t xml:space="preserve">.</w:t>
      </w:r>
    </w:p>
    <w:p>
      <w:pPr>
        <w:pStyle w:val="BodyText"/>
      </w:pPr>
      <w:r>
        <w:t xml:space="preserve">We wish to be transparent that an earlier, more narrowly scoped version of this work was previously considered at other thyroid-focused journals. In response to editorial feedback, the study has been substantially restructured around a druggable-gene-wide discovery design, with the addition of systematic instrument selection across the druggable genome, multi-instrument and fine-mapping analyses at the TSHR locus, a positive-control locus, and a prespecified multi-outcome hierarchy. The present manuscript reflects this redesigned and considerably strengthened analysis and is, in our view, a distinct and more rigorous contribution.</w:t>
      </w:r>
    </w:p>
    <w:p>
      <w:pPr>
        <w:pStyle w:val="BodyText"/>
      </w:pPr>
      <w:r>
        <w:t xml:space="preserve">This manuscript is original, has not been published previously, and is not under consideration elsewhere. All authors have read and approved the submission and agree to its content. The study used publicly available summary statistics and an institutionally approved orbital tissue dataset (IRB, Pusan National University Hospital, 2104-018-102). The authors declare no conflicts of interest and report no specific funding for this work.</w:t>
      </w:r>
    </w:p>
    <w:p>
      <w:pPr>
        <w:pStyle w:val="BodyText"/>
      </w:pPr>
      <w:r>
        <w:t xml:space="preserve">Thank you for considering our manuscript. We look forward to your evaluation.</w:t>
      </w:r>
    </w:p>
    <w:p>
      <w:pPr>
        <w:pStyle w:val="BodyText"/>
      </w:pPr>
      <w:r>
        <w:t xml:space="preserve">Sincerely,</w:t>
      </w:r>
    </w:p>
    <w:p>
      <w:pPr>
        <w:pStyle w:val="BodyText"/>
      </w:pPr>
      <w:r>
        <w:t xml:space="preserve">Suk-Woo Yang, MD, PhD (corresponding author)</w:t>
      </w:r>
      <w:r>
        <w:t xml:space="preserve"> </w:t>
      </w:r>
      <w:r>
        <w:t xml:space="preserve">On behalf of all authors: Jungyul Park, Yae-Eun Kang, Kyung-Hwa Shin, Suk-Woo Yang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2026-05-28T04:16:52Z</dcterms:created>
  <dcterms:modified xsi:type="dcterms:W3CDTF">2026-05-28T04:16:52Z</dcterms:modified>
</cp:coreProperties>
</file>

<file path=docProps/custom.xml><?xml version="1.0" encoding="utf-8"?>
<Properties xmlns="http://schemas.openxmlformats.org/officeDocument/2006/custom-properties" xmlns:vt="http://schemas.openxmlformats.org/officeDocument/2006/docPropsVTypes"/>
</file>