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00eea3dbea3e69a78b56c7207a4be294fd958fd"/>
    <w:p>
      <w:pPr>
        <w:pStyle w:val="Heading1"/>
      </w:pPr>
      <w:r>
        <w:t xml:space="preserve">Druggable-gene-wide Mendelian randomization distinguishes TSHR-anchored susceptibility from IGF1R effector biology in Graves disease and thyroid eye disease</w:t>
      </w:r>
    </w:p>
    <w:p>
      <w:pPr>
        <w:pStyle w:val="FirstParagraph"/>
      </w:pPr>
      <w:r>
        <w:t xml:space="preserve">Jungyul Park¹, Yae-Eun Kang²,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Posterior probabilities distinguish association with the eQTL only (H1), the outcome only (H2), both traits with distinct causal variants (H3), and both traits with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before differential expression analysis with DESeq2 [24]; Benjamini–Hochberg adjusted P values were obtained from the transcriptome-wide DESeq2 analysis, and results for the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were extracted for tissue triangulation (Figure 3C; Table 2). This dataset was used only for exploratory tissue-level support,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favored an outcome-only association pattern rather than shared eQTL–GWAS architecture.</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discovery, replication, and TED-specific analysis argues against an outcome-specific artifact (Figure 3B).</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in GD/TED rather than merely a rediscovered Graves disease association.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outcome-only association pattern rather than a shared causal variant with expression in both the discovery and TED-specific outcomes (PP.H4 = 0.043 and 0.036; H2-dominant; Figure 3A),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 1.00;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outcome-only association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outcome-dependent patterns, including the mixed</w:t>
      </w:r>
      <w:r>
        <w:t xml:space="preserve"> </w:t>
      </w:r>
      <w:r>
        <w:rPr>
          <w:iCs/>
          <w:i/>
        </w:rPr>
        <w:t xml:space="preserve">CTLA4</w:t>
      </w:r>
      <w:r>
        <w:t xml:space="preserve"> </w:t>
      </w:r>
      <w:r>
        <w:t xml:space="preserve">colocalization result, may also reflect ancestry, phenotype, and locus complexity.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and TED,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Y.-E.K.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(GWAS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(outcome association without a shared eQTL signal);</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(outcome association without a shared eQTL signal).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outcome-only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w:t>
            </w:r>
          </w:p>
        </w:tc>
        <w:tc>
          <w:tcPr/>
          <w:p>
            <w:pPr>
              <w:pStyle w:val="Compact"/>
              <w:jc w:val="left"/>
            </w:pPr>
            <w:r>
              <w:t xml:space="preserve">Results; Table S4</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 S6</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(outcome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2026-05-28T09:51:19Z</dcterms:created>
  <dcterms:modified xsi:type="dcterms:W3CDTF">2026-05-28T09:51:19Z</dcterms:modified>
</cp:coreProperties>
</file>

<file path=docProps/custom.xml><?xml version="1.0" encoding="utf-8"?>
<Properties xmlns="http://schemas.openxmlformats.org/officeDocument/2006/custom-properties" xmlns:vt="http://schemas.openxmlformats.org/officeDocument/2006/docPropsVTypes"/>
</file>