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8e4de8cb1853d52dd775242776ae16b70cd596c"/>
    <w:p>
      <w:pPr>
        <w:pStyle w:val="Heading1"/>
      </w:pPr>
      <w:r>
        <w:t xml:space="preserve">A drug target that is not a susceptibility locus: druggable-gene-wide Mendelian randomization distinguishes TSHR anchoring from IGF1R effector biology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TED-specific outcomes. This design-based approach uses the standard errors actually obtained after harmonization rather than reconstructed variance components, and is reported for all genes and for the prespecified backbone loci (Table S8).</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 where they too showed an eQTL-only pattern (PP.H2 = 0.73–0.74).</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TED-specific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robust novel target should accordingly be read as evidence against additional large, expression-colocalized druggable effects rather than against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TED-specific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for Graves disease — resolved to a shared causal variant and a single credible set rather than merely rediscovered as an association — whose signal is also recovered in a TED-enriched case series, although a TED-specific effect separable from Graves disease liability is not established by these data.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prespecified backbone gene evaluated across multiple evidence layers rather than judged on discovery significance alone.</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eQTL-only pattern rather than a shared causal variant in both the discovery and TED-specific outcomes (PP.H2 = 0.79 and 0.68; PP.H4 = 0.043 and 0.036; Figure 3A), indicating a well-defined</w:t>
      </w:r>
      <w:r>
        <w:t xml:space="preserve"> </w:t>
      </w:r>
      <w:r>
        <w:rPr>
          <w:iCs/>
          <w:i/>
        </w:rPr>
        <w:t xml:space="preserve">cis</w:t>
      </w:r>
      <w:r>
        <w:t xml:space="preserve">-eQTL at the locus without a detectable disease association,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&gt; 0.99;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That general principle is already established; what this study contributes is not the principle but a worked, prespecified demonstration of it within a single disease area, in which the anchor and the effector are resolved side by side across the same instruments, outcomes, and filters.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and restricting the detectable effect range (Table S8); outcome-dependent patterns, including the mixed</w:t>
      </w:r>
      <w:r>
        <w:t xml:space="preserve"> </w:t>
      </w:r>
      <w:r>
        <w:rPr>
          <w:iCs/>
          <w:i/>
        </w:rPr>
        <w:t xml:space="preserve">CTLA4</w:t>
      </w:r>
      <w:r>
        <w:t xml:space="preserve"> </w:t>
      </w:r>
      <w:r>
        <w:t xml:space="preserve">colocalization result, may also reflect ancestry, phenotype, and locus complexity. Sixth, and more fundamentally, the TED-specific outcome ascertains Graves ophthalmopathy cases among individuals with Graves disease and compares them with population controls, so its genetic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in this outcome should therefore be read as reproducibility of the underlying Graves disease signal in a TED-enriched case series rather than as evidence of a TED-specific causal effect independent of Graves disease liability. Separating the two would require a within-Graves contrast of patients with and without orbitopathy, which currently available GWAS do not provide at adequate power. Seventh, the colocalization layer carries its own methodological constraints: coloc.abf was applied under the single-causal-variant assumption without a multi-causal-variant extension, and a single European reference allele-frequency vector was used for both datasets at every locus, including the East Asian discovery outcome, so posterior probabilities in the discovery arm should be regarded as approximate. No formal colocalization power analysis was performed; accordingly, the eQTL-only posterior pattern seen for candidate loci in the 858-case TED-specific outcome is consistent with insufficient power to detect an outcome association at those loci and should not be read as positive evidence for distinct causal architecture. Eighth, the framework included a single positive control, and that control did not behave uniformly:</w:t>
      </w:r>
      <w:r>
        <w:t xml:space="preserve"> </w:t>
      </w:r>
      <w:r>
        <w:rPr>
          <w:iCs/>
          <w:i/>
        </w:rPr>
        <w:t xml:space="preserve">CTLA4</w:t>
      </w:r>
      <w:r>
        <w:t xml:space="preserve"> </w:t>
      </w:r>
      <w:r>
        <w:t xml:space="preserve">colocalized in the TED-specific outcome (PP.H4 = 0.978, lead variant rs1863800) but not in the discovery outcome (PP.H3 = 0.794, lead variant rs231811). Recovery of</w:t>
      </w:r>
      <w:r>
        <w:t xml:space="preserve"> </w:t>
      </w:r>
      <w:r>
        <w:rPr>
          <w:iCs/>
          <w:i/>
        </w:rPr>
        <w:t xml:space="preserve">CTLA4</w:t>
      </w:r>
      <w:r>
        <w:t xml:space="preserve"> </w:t>
      </w:r>
      <w:r>
        <w:t xml:space="preserve">as a strong direction-consistent MR signal therefore calibrates the MR component of the screen, but the sensitivity of the combined MR-plus-colocalization filter is not established by one control locus; the absence of a robust novel target should be interpreted with that in mind, alongside the detectable effect range in Table S8.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whose signal was also recovered in a TED-enriched case series,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w:t>
      </w:r>
      <w:r>
        <w:rPr>
          <w:iCs/>
          <w:i/>
        </w:rPr>
        <w:t xml:space="preserve">cis</w:t>
      </w:r>
      <w:r>
        <w:t xml:space="preserve">-eQTL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(a</w:t>
      </w:r>
      <w:r>
        <w:t xml:space="preserve"> </w:t>
      </w:r>
      <w:r>
        <w:rPr>
          <w:iCs/>
          <w:i/>
        </w:rPr>
        <w:t xml:space="preserve">cis</w:t>
      </w:r>
      <w:r>
        <w:t xml:space="preserve">-eQTL signal without a detectable outcome association);</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(a cis-eQTL signal without a detectable outcome association).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eQTL-only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numPr>
          <w:ilvl w:val="0"/>
          <w:numId w:val="1003"/>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TED-specific).</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2,235</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(TED-specific)</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prespecified backbone gene across multiple evidence layers rather than on discovery significance alone. Conversely, the absence of a robust novel target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w:t>
      </w:r>
      <w:r>
        <w:rPr>
          <w:iCs/>
          <w:i/>
        </w:rPr>
        <w:t xml:space="preserve">cis</w:t>
      </w:r>
      <w:r>
        <w:t xml:space="preserve">-eQTL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2026-08-12T06:12:40Z</dcterms:created>
  <dcterms:modified xsi:type="dcterms:W3CDTF">2026-08-12T06:12:40Z</dcterms:modified>
</cp:coreProperties>
</file>

<file path=docProps/custom.xml><?xml version="1.0" encoding="utf-8"?>
<Properties xmlns="http://schemas.openxmlformats.org/officeDocument/2006/custom-properties" xmlns:vt="http://schemas.openxmlformats.org/officeDocument/2006/docPropsVTypes"/>
</file>