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28"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rPr>
          <w:b/>
          <w:bCs/>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
          <w:iCs/>
        </w:rPr>
        <w:t xml:space="preserve">TSHR</w:t>
      </w:r>
      <w:r>
        <w:t xml:space="preserve"> </w:t>
      </w:r>
      <w:r>
        <w:t xml:space="preserve">and</w:t>
      </w:r>
      <w:r>
        <w:t xml:space="preserve"> </w:t>
      </w:r>
      <w:r>
        <w:rPr>
          <w:i/>
          <w:iCs/>
        </w:rPr>
        <w:t xml:space="preserve">IGF1R</w:t>
      </w:r>
      <w:r>
        <w:t xml:space="preserve"> </w:t>
      </w:r>
      <w:r>
        <w:t xml:space="preserve">expression to disease susceptibility.</w:t>
      </w:r>
      <w:r>
        <w:t xml:space="preserve"> </w:t>
      </w:r>
      <w:r>
        <w:rPr>
          <w:b/>
          <w:bCs/>
        </w:rPr>
        <w:t xml:space="preserve">Methods:</w:t>
      </w:r>
      <w:r>
        <w:t xml:space="preserve"> </w:t>
      </w:r>
      <w:r>
        <w:t xml:space="preserve">We used Wald-ratio or inverse-variance-weighted Mendelian randomization and colocalization (testing for shared expression–disease variants). Outcomes were Biobank Japan (BBJ) GD, UK Biobank (UKB) hyperthyroidism and FinnGen Graves ophthalmopathy. In-house orbital RNA sequencing (four TED patients, one control) was analyzed descriptively using transcript levels and fold changes without significance testing.</w:t>
      </w:r>
      <w:r>
        <w:t xml:space="preserve"> </w:t>
      </w:r>
      <w:r>
        <w:rPr>
          <w:b/>
          <w:bCs/>
        </w:rPr>
        <w:t xml:space="preserve">Results:</w:t>
      </w:r>
      <w:r>
        <w:t xml:space="preserve"> </w:t>
      </w:r>
      <w:r>
        <w:t xml:space="preserve">Of 2,544 eligible genes, 13 met the BBJ Bonferroni threshold (</w:t>
      </w:r>
      <w:r>
        <w:rPr>
          <w:i/>
          <w:iCs/>
        </w:rPr>
        <w:t xml:space="preserve">P</w:t>
      </w:r>
      <w:r>
        <w:t xml:space="preserve"> </w:t>
      </w:r>
      <w:r>
        <w:t xml:space="preserve">&lt; 0.05/2,544). Higher genetically predicted</w:t>
      </w:r>
      <w:r>
        <w:t xml:space="preserve"> </w:t>
      </w:r>
      <w:r>
        <w:rPr>
          <w:i/>
          <w:iCs/>
        </w:rPr>
        <w:t xml:space="preserve">TSHR</w:t>
      </w:r>
      <w:r>
        <w:t xml:space="preserve"> </w:t>
      </w:r>
      <w:r>
        <w:t xml:space="preserve">expression was associated with lower GD odds in BBJ (odds ratio [OR] per approximately one standard deviation 0.12, 95% confidence interval [CI] 0.07–0.21;</w:t>
      </w:r>
      <w:r>
        <w:t xml:space="preserve"> </w:t>
      </w:r>
      <w:r>
        <w:rPr>
          <w:i/>
          <w:iCs/>
        </w:rPr>
        <w:t xml:space="preserve">P</w:t>
      </w:r>
      <w:r>
        <w:t xml:space="preserve"> </w:t>
      </w:r>
      <w:r>
        <w:t xml:space="preserve">= 1.09×10⁻¹⁴), with concordant directions in UKB and FinnGen. Colocalization support exceeded the 0.80 probability threshold in BBJ and FinnGen, but not UKB. BBJ support fell below threshold when the shared-variant prior probability decreased from 10⁻⁵ to 10⁻⁶. Higher</w:t>
      </w:r>
      <w:r>
        <w:t xml:space="preserve"> </w:t>
      </w:r>
      <w:r>
        <w:rPr>
          <w:i/>
          <w:iCs/>
        </w:rPr>
        <w:t xml:space="preserve">IGF1R</w:t>
      </w:r>
      <w:r>
        <w:t xml:space="preserve"> </w:t>
      </w:r>
      <w:r>
        <w:t xml:space="preserve">expression was associated with higher odds in BBJ (OR 1.56, 95% CI 1.07–2.28;</w:t>
      </w:r>
      <w:r>
        <w:t xml:space="preserve"> </w:t>
      </w:r>
      <w:r>
        <w:rPr>
          <w:i/>
          <w:iCs/>
        </w:rPr>
        <w:t xml:space="preserve">P</w:t>
      </w:r>
      <w:r>
        <w:t xml:space="preserve"> </w:t>
      </w:r>
      <w:r>
        <w:t xml:space="preserve">= 0.0212) and UKB (</w:t>
      </w:r>
      <w:r>
        <w:rPr>
          <w:i/>
          <w:iCs/>
        </w:rPr>
        <w:t xml:space="preserve">P</w:t>
      </w:r>
      <w:r>
        <w:t xml:space="preserve"> </w:t>
      </w:r>
      <w:r>
        <w:t xml:space="preserve">= 0.0117), but neither association met the discovery threshold. FinnGen findings were inconclusive (</w:t>
      </w:r>
      <w:r>
        <w:rPr>
          <w:i/>
          <w:iCs/>
        </w:rPr>
        <w:t xml:space="preserve">P</w:t>
      </w:r>
      <w:r>
        <w:t xml:space="preserve"> </w:t>
      </w:r>
      <w:r>
        <w:t xml:space="preserve">= 0.182).</w:t>
      </w:r>
      <w:r>
        <w:t xml:space="preserve"> </w:t>
      </w:r>
      <w:r>
        <w:rPr>
          <w:i/>
          <w:iCs/>
        </w:rPr>
        <w:t xml:space="preserve">IGF1R</w:t>
      </w:r>
      <w:r>
        <w:t xml:space="preserve"> </w:t>
      </w:r>
      <w:r>
        <w:t xml:space="preserve">lacked strong colocalization support. No additional candidate met the combined BBJ–FinnGen colocalization criterion. Cohort-specific allele frequencies preserved these findings.</w:t>
      </w:r>
      <w:r>
        <w:t xml:space="preserve"> </w:t>
      </w:r>
      <w:r>
        <w:rPr>
          <w:b/>
          <w:bCs/>
        </w:rPr>
        <w:t xml:space="preserve">Conclusions:</w:t>
      </w:r>
      <w:r>
        <w:t xml:space="preserve"> </w:t>
      </w:r>
      <w:r>
        <w:t xml:space="preserve">Genetically predicted blood expression showed stronger evidence of association with GD susceptibility for</w:t>
      </w:r>
      <w:r>
        <w:t xml:space="preserve"> </w:t>
      </w:r>
      <w:r>
        <w:rPr>
          <w:i/>
          <w:iCs/>
        </w:rPr>
        <w:t xml:space="preserve">TSHR</w:t>
      </w:r>
      <w:r>
        <w:t xml:space="preserve"> </w:t>
      </w:r>
      <w:r>
        <w:t xml:space="preserve">than</w:t>
      </w:r>
      <w:r>
        <w:t xml:space="preserve"> </w:t>
      </w:r>
      <w:r>
        <w:rPr>
          <w:i/>
          <w:iCs/>
        </w:rPr>
        <w:t xml:space="preserve">IGF1R</w:t>
      </w:r>
      <w:r>
        <w:t xml:space="preserve">. These findings neither establish a TED-specific effect within GD nor predict treatment response.</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
          <w:iCs/>
        </w:rPr>
        <w:t xml:space="preserve">IGF1R</w:t>
      </w:r>
      <w:r>
        <w:t xml:space="preserve"> </w:t>
      </w:r>
      <w:r>
        <w:t xml:space="preserve">expression contribute to disease susceptibility in the same way as variation at</w:t>
      </w:r>
      <w:r>
        <w:t xml:space="preserve"> </w:t>
      </w:r>
      <w:r>
        <w:rPr>
          <w:i/>
          <w:iCs/>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
          <w:iCs/>
        </w:rPr>
        <w:t xml:space="preserve">TSHR</w:t>
      </w:r>
      <w:r>
        <w:t xml:space="preserve"> </w:t>
      </w:r>
      <w:r>
        <w:t xml:space="preserve">and</w:t>
      </w:r>
      <w:r>
        <w:t xml:space="preserve"> </w:t>
      </w:r>
      <w:r>
        <w:rPr>
          <w:i/>
          <w:iCs/>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
          <w:iCs/>
        </w:rPr>
        <w:t xml:space="preserve">TSHR</w:t>
      </w:r>
      <w:r>
        <w:t xml:space="preserve">,</w:t>
      </w:r>
      <w:r>
        <w:t xml:space="preserve"> </w:t>
      </w:r>
      <w:r>
        <w:rPr>
          <w:i/>
          <w:iCs/>
        </w:rPr>
        <w:t xml:space="preserve">IGF1R</w:t>
      </w:r>
      <w:r>
        <w:t xml:space="preserve"> </w:t>
      </w:r>
      <w:r>
        <w:t xml:space="preserve">and the known autoimmune gene</w:t>
      </w:r>
      <w:r>
        <w:t xml:space="preserve"> </w:t>
      </w:r>
      <w:r>
        <w:rPr>
          <w:i/>
          <w:iCs/>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10"/>
    <w:bookmarkStart w:id="14"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on biological and therapeutic grounds and evaluated them across all outcomes, regardless of discovery significance.</w:t>
      </w:r>
    </w:p>
    <w:bookmarkEnd w:id="11"/>
    <w:bookmarkStart w:id="12"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
          <w:iCs/>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
          <w:iCs/>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
          <w:iCs/>
        </w:rPr>
        <w:t xml:space="preserve">P</w:t>
      </w:r>
      <w:r>
        <w:t xml:space="preserve"> </w:t>
      </w:r>
      <w:r>
        <w:t xml:space="preserve">&lt; 1.965×10⁻⁵, correcting for 2,544 eligible genes. This Bonferroni correction is conservative when gene-level tests are correlated. Associations at</w:t>
      </w:r>
      <w:r>
        <w:t xml:space="preserve"> </w:t>
      </w:r>
      <w:r>
        <w:rPr>
          <w:i/>
          <w:iCs/>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
          <w:iCs/>
        </w:rPr>
        <w:t xml:space="preserve">P</w:t>
      </w:r>
      <w:r>
        <w:t xml:space="preserve"> </w:t>
      </w:r>
      <w:r>
        <w:t xml:space="preserve">value nor colocalization proves these assumptions. Single-instrument results, including</w:t>
      </w:r>
      <w:r>
        <w:t xml:space="preserve"> </w:t>
      </w:r>
      <w:r>
        <w:rPr>
          <w:i/>
          <w:iCs/>
        </w:rPr>
        <w:t xml:space="preserve">TSHR</w:t>
      </w:r>
      <w:r>
        <w:t xml:space="preserve">, cannot undergo instrument-based tests of pleiotropy. We did not perform a formal genetic directionality test [23]. The reporting checklist records other analyses that were unavailable or not undertaken.</w:t>
      </w:r>
    </w:p>
    <w:bookmarkEnd w:id="12"/>
    <w:bookmarkStart w:id="13"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
          <w:iCs/>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
          <w:iCs/>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S2–S3).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
          <w:iCs/>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13"/>
    <w:bookmarkEnd w:id="14"/>
    <w:bookmarkStart w:id="20" w:name="results"/>
    <w:p>
      <w:pPr>
        <w:pStyle w:val="Heading2"/>
        <w:widowControl/>
      </w:pPr>
      <w:r>
        <w:t xml:space="preserve">Results</w:t>
      </w:r>
    </w:p>
    <w:bookmarkStart w:id="15"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
          <w:iCs/>
        </w:rPr>
        <w:t xml:space="preserve">TSHR</w:t>
      </w:r>
      <w:r>
        <w:t xml:space="preserve">,</w:t>
      </w:r>
      <w:r>
        <w:t xml:space="preserve"> </w:t>
      </w:r>
      <w:r>
        <w:rPr>
          <w:i/>
          <w:iCs/>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15"/>
    <w:bookmarkStart w:id="16" w:name="tshr"/>
    <w:p>
      <w:pPr>
        <w:pStyle w:val="Heading3"/>
        <w:widowControl/>
      </w:pPr>
      <w:r>
        <w:t xml:space="preserve">TSHR</w:t>
      </w:r>
    </w:p>
    <w:p>
      <w:pPr>
        <w:pStyle w:val="FirstParagraph"/>
        <w:widowControl/>
      </w:pPr>
      <w:r>
        <w:t xml:space="preserve">Higher genetically proxied blood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Estimates had the same direction in UKB (OR 0.09, 95% CI 0.06–0.14;</w:t>
      </w:r>
      <w:r>
        <w:t xml:space="preserve"> </w:t>
      </w:r>
      <w:r>
        <w:rPr>
          <w:i/>
          <w:iCs/>
        </w:rPr>
        <w:t xml:space="preserve">P</w:t>
      </w:r>
      <w:r>
        <w:t xml:space="preserve"> </w:t>
      </w:r>
      <w:r>
        <w:t xml:space="preserve">= 8.77×10⁻²⁸) and FinnGen (OR 0.10, 95% CI 0.04–0.24;</w:t>
      </w:r>
      <w:r>
        <w:t xml:space="preserve"> </w:t>
      </w:r>
      <w:r>
        <w:rPr>
          <w:i/>
          <w:iCs/>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16"/>
    <w:bookmarkStart w:id="17" w:name="igf1r"/>
    <w:p>
      <w:pPr>
        <w:pStyle w:val="Heading3"/>
        <w:widowControl/>
      </w:pPr>
      <w:r>
        <w:t xml:space="preserve">IGF1R</w:t>
      </w:r>
    </w:p>
    <w:p>
      <w:pPr>
        <w:pStyle w:val="FirstParagraph"/>
        <w:widowControl/>
      </w:pPr>
      <w:r>
        <w:t xml:space="preserve">Higher genetically proxied</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(OR 1.35, 95% CI 1.07–1.70;</w:t>
      </w:r>
      <w:r>
        <w:t xml:space="preserve"> </w:t>
      </w:r>
      <w:r>
        <w:rPr>
          <w:i/>
          <w:iCs/>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
          <w:iCs/>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
          <w:iCs/>
        </w:rPr>
        <w:t xml:space="preserve">IGF1R</w:t>
      </w:r>
      <w:r>
        <w:t xml:space="preserve"> </w:t>
      </w:r>
      <w:r>
        <w:t xml:space="preserve">SNP-exclusion estimates retained the higher-odds direction, but omitting rs2654980 yielded OR 1.49 (95% CI 0.96–2.30;</w:t>
      </w:r>
      <w:r>
        <w:t xml:space="preserve"> </w:t>
      </w:r>
      <w:r>
        <w:rPr>
          <w:i/>
          <w:iCs/>
        </w:rPr>
        <w:t xml:space="preserve">P</w:t>
      </w:r>
      <w:r>
        <w:t xml:space="preserve"> </w:t>
      </w:r>
      <w:r>
        <w:t xml:space="preserve">= 0.0751) in BBJ and OR 1.16 (0.78–1.72;</w:t>
      </w:r>
      <w:r>
        <w:t xml:space="preserve"> </w:t>
      </w:r>
      <w:r>
        <w:rPr>
          <w:i/>
          <w:iCs/>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
          <w:iCs/>
        </w:rPr>
        <w:t xml:space="preserve">IGF1R</w:t>
      </w:r>
      <w:r>
        <w:t xml:space="preserve"> </w:t>
      </w:r>
      <w:r>
        <w:t xml:space="preserve">than for</w:t>
      </w:r>
      <w:r>
        <w:t xml:space="preserve"> </w:t>
      </w:r>
      <w:r>
        <w:rPr>
          <w:i/>
          <w:iCs/>
        </w:rPr>
        <w:t xml:space="preserve">TSHR</w:t>
      </w:r>
      <w:r>
        <w:t xml:space="preserve"> </w:t>
      </w:r>
      <w:r>
        <w:t xml:space="preserve">in BBJ Graves disease and FinnGen Graves ophthalmopathy; they do not show that</w:t>
      </w:r>
      <w:r>
        <w:t xml:space="preserve"> </w:t>
      </w:r>
      <w:r>
        <w:rPr>
          <w:i/>
          <w:iCs/>
        </w:rPr>
        <w:t xml:space="preserve">IGF1R</w:t>
      </w:r>
      <w:r>
        <w:t xml:space="preserve"> </w:t>
      </w:r>
      <w:r>
        <w:t xml:space="preserve">has no inherited contribution.</w:t>
      </w:r>
    </w:p>
    <w:bookmarkEnd w:id="17"/>
    <w:bookmarkStart w:id="18"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
          <w:iCs/>
        </w:rPr>
        <w:t xml:space="preserve">CTLA4</w:t>
      </w:r>
      <w:r>
        <w:t xml:space="preserve"> </w:t>
      </w:r>
      <w:r>
        <w:t xml:space="preserve">[25] was associated with lower odds of disease in BBJ (OR 0.18, 95% CI 0.11–0.27;</w:t>
      </w:r>
      <w:r>
        <w:t xml:space="preserve"> </w:t>
      </w:r>
      <w:r>
        <w:rPr>
          <w:i/>
          <w:iCs/>
        </w:rPr>
        <w:t xml:space="preserve">P</w:t>
      </w:r>
      <w:r>
        <w:t xml:space="preserve"> </w:t>
      </w:r>
      <w:r>
        <w:t xml:space="preserve">= 5.45×10⁻¹⁵), UKB (OR 0.21, 95% CI 0.08–0.57;</w:t>
      </w:r>
      <w:r>
        <w:t xml:space="preserve"> </w:t>
      </w:r>
      <w:r>
        <w:rPr>
          <w:i/>
          <w:iCs/>
        </w:rPr>
        <w:t xml:space="preserve">P</w:t>
      </w:r>
      <w:r>
        <w:t xml:space="preserve"> </w:t>
      </w:r>
      <w:r>
        <w:t xml:space="preserve">= 0.0022) and FinnGen (OR 0.17, 95% CI 0.04–0.68;</w:t>
      </w:r>
      <w:r>
        <w:t xml:space="preserve"> </w:t>
      </w:r>
      <w:r>
        <w:rPr>
          <w:i/>
          <w:iCs/>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
          <w:iCs/>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support in BBJ only (0.994 and 0.989); the corresponding FinnGen probabilities were 0.017 and 0.020 (Figure 3A).</w:t>
      </w:r>
      <w:r>
        <w:t xml:space="preserve"> </w:t>
      </w:r>
      <w:r>
        <w:rPr>
          <w:i/>
          <w:iCs/>
        </w:rPr>
        <w:t xml:space="preserve">TNFSF14</w:t>
      </w:r>
      <w:r>
        <w:t xml:space="preserve"> </w:t>
      </w:r>
      <w:r>
        <w:t xml:space="preserve">nevertheless retained a direction-consistent UKB MR association (</w:t>
      </w:r>
      <w:r>
        <w:rPr>
          <w:i/>
          <w:iCs/>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
          <w:iCs/>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18"/>
    <w:bookmarkStart w:id="19"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
          <w:iCs/>
        </w:rPr>
        <w:t xml:space="preserve">IGF1R</w:t>
      </w:r>
      <w:r>
        <w:t xml:space="preserve"> </w:t>
      </w:r>
      <w:r>
        <w:t xml:space="preserve">remained nominally associated in BBJ and UKB (</w:t>
      </w:r>
      <w:r>
        <w:rPr>
          <w:i/>
          <w:iCs/>
        </w:rPr>
        <w:t xml:space="preserve">P</w:t>
      </w:r>
      <w:r>
        <w:t xml:space="preserve"> </w:t>
      </w:r>
      <w:r>
        <w:t xml:space="preserve">= 0.022 and 0.016) and non-significant in FinnGen (</w:t>
      </w:r>
      <w:r>
        <w:rPr>
          <w:i/>
          <w:iCs/>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
          <w:iCs/>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
          <w:iCs/>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19"/>
    <w:bookmarkEnd w:id="20"/>
    <w:bookmarkStart w:id="23"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
          <w:iCs/>
        </w:rPr>
        <w:t xml:space="preserve">TSHR</w:t>
      </w:r>
      <w:r>
        <w:t xml:space="preserve"> </w:t>
      </w:r>
      <w:r>
        <w:t xml:space="preserve">expression to GD than linking</w:t>
      </w:r>
      <w:r>
        <w:t xml:space="preserve"> </w:t>
      </w:r>
      <w:r>
        <w:rPr>
          <w:i/>
          <w:iCs/>
        </w:rPr>
        <w:t xml:space="preserve">IGF1R</w:t>
      </w:r>
      <w:r>
        <w:t xml:space="preserve"> </w:t>
      </w:r>
      <w:r>
        <w:t xml:space="preserve">expression to the same outcomes.</w:t>
      </w:r>
      <w:r>
        <w:t xml:space="preserve"> </w:t>
      </w:r>
      <w:r>
        <w:rPr>
          <w:i/>
          <w:iCs/>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
          <w:iCs/>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
          <w:iCs/>
        </w:rPr>
        <w:t xml:space="preserve">TSHR</w:t>
      </w:r>
      <w:r>
        <w:t xml:space="preserve"> </w:t>
      </w:r>
      <w:r>
        <w:t xml:space="preserve">estimate is compatible with a central-tolerance hypothesis. Human thymic studies associated the GD-protective rs179247 allele with greater intrathymic</w:t>
      </w:r>
      <w:r>
        <w:t xml:space="preserve"> </w:t>
      </w:r>
      <w:r>
        <w:rPr>
          <w:i/>
          <w:iCs/>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
          <w:iCs/>
        </w:rPr>
        <w:t xml:space="preserve">TSHR</w:t>
      </w:r>
      <w:r>
        <w:t xml:space="preserve"> </w:t>
      </w:r>
      <w:r>
        <w:t xml:space="preserve">and BBJ</w:t>
      </w:r>
      <w:r>
        <w:t xml:space="preserve"> </w:t>
      </w:r>
      <w:r>
        <w:rPr>
          <w:i/>
          <w:iCs/>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
          <w:iCs/>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
          <w:iCs/>
        </w:rPr>
        <w:t xml:space="preserve">IGF1R</w:t>
      </w:r>
      <w:r>
        <w:t xml:space="preserve"> </w:t>
      </w:r>
      <w:r>
        <w:t xml:space="preserve">significance was sensitive to instrument omission and that European</w:t>
      </w:r>
      <w:r>
        <w:t xml:space="preserve"> </w:t>
      </w:r>
      <w:r>
        <w:rPr>
          <w:i/>
          <w:iCs/>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
          <w:iCs/>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21"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
          <w:iCs/>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
          <w:iCs/>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
          <w:iCs/>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21"/>
    <w:bookmarkStart w:id="22" w:name="conclusions"/>
    <w:p>
      <w:pPr>
        <w:pStyle w:val="Heading3"/>
        <w:widowControl/>
      </w:pPr>
      <w:r>
        <w:t xml:space="preserve">Conclusions</w:t>
      </w:r>
    </w:p>
    <w:p>
      <w:pPr>
        <w:pStyle w:val="FirstParagraph"/>
        <w:widowControl/>
      </w:pPr>
      <w:r>
        <w:t xml:space="preserve">Within these limits,</w:t>
      </w:r>
      <w:r>
        <w:t xml:space="preserve"> </w:t>
      </w:r>
      <w:r>
        <w:rPr>
          <w:i/>
          <w:iCs/>
        </w:rPr>
        <w:t xml:space="preserve">TSHR</w:t>
      </w:r>
      <w:r>
        <w:t xml:space="preserve"> </w:t>
      </w:r>
      <w:r>
        <w:t xml:space="preserve">showed stronger expression–disease evidence than</w:t>
      </w:r>
      <w:r>
        <w:t xml:space="preserve"> </w:t>
      </w:r>
      <w:r>
        <w:rPr>
          <w:i/>
          <w:iCs/>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
          <w:iCs/>
        </w:rPr>
        <w:t xml:space="preserve">IGF1R</w:t>
      </w:r>
      <w:r>
        <w:t xml:space="preserve"> </w:t>
      </w:r>
      <w:r>
        <w:t xml:space="preserve">and the prior dependence of the BBJ</w:t>
      </w:r>
      <w:r>
        <w:t xml:space="preserve"> </w:t>
      </w:r>
      <w:r>
        <w:rPr>
          <w:i/>
          <w:iCs/>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22"/>
    <w:bookmarkEnd w:id="23"/>
    <w:bookmarkStart w:id="24"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4"/>
    <w:bookmarkStart w:id="25"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25"/>
    <w:bookmarkStart w:id="26" w:name="figure-legends"/>
    <w:p>
      <w:pPr>
        <w:pStyle w:val="Heading2"/>
        <w:pageBreakBefore/>
        <w:widowControl/>
      </w:pPr>
      <w:r>
        <w:t xml:space="preserve">Figure Legends</w:t>
      </w:r>
    </w:p>
    <w:p>
      <w:pPr>
        <w:pStyle w:val="FirstParagraph"/>
        <w:widowControl/>
      </w:pPr>
      <w:r>
        <w:rPr>
          <w:b/>
          <w:bCs/>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
          <w:iCs/>
        </w:rPr>
        <w:t xml:space="preserve">P</w:t>
      </w:r>
      <w:r>
        <w:t xml:space="preserve"> </w:t>
      </w:r>
      <w:r>
        <w:t xml:space="preserve">&lt; 0.05/2,544; all 2,234 estimable genes are plotted and all 13 discovery genes are labelled.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
          <w:bCs/>
        </w:rPr>
        <w:t xml:space="preserve">Figure 2. Association estimates and regional genetic evidence for the three selected genes.</w:t>
      </w:r>
      <w:r>
        <w:t xml:space="preserve"> </w:t>
      </w:r>
      <w:r>
        <w:t xml:space="preserve">(A) Primary ORs and 95% CIs, with corresponding two-sided</w:t>
      </w:r>
      <w:r>
        <w:t xml:space="preserve"> </w:t>
      </w:r>
      <w:r>
        <w:rPr>
          <w:i/>
          <w:iCs/>
        </w:rPr>
        <w:t xml:space="preserve">P</w:t>
      </w:r>
      <w:r>
        <w:t xml:space="preserve"> </w:t>
      </w:r>
      <w:r>
        <w:t xml:space="preserve">values. Bold</w:t>
      </w:r>
      <w:r>
        <w:t xml:space="preserve"> </w:t>
      </w:r>
      <w:r>
        <w:rPr>
          <w:i/>
          <w:iCs/>
        </w:rPr>
        <w:t xml:space="preserve">P</w:t>
      </w:r>
      <w:r>
        <w:t xml:space="preserve"> </w:t>
      </w:r>
      <w:r>
        <w:t xml:space="preserve">values and asterisks (*) indicate nominal</w:t>
      </w:r>
      <w:r>
        <w:t xml:space="preserve"> </w:t>
      </w:r>
      <w:r>
        <w:rPr>
          <w:i/>
          <w:iCs/>
        </w:rPr>
        <w:t xml:space="preserve">P</w:t>
      </w:r>
      <w:r>
        <w:t xml:space="preserve"> </w:t>
      </w:r>
      <w:r>
        <w:t xml:space="preserve">&lt; 0.05; daggers (†) additionally mark BBJ discovery significance at</w:t>
      </w:r>
      <w:r>
        <w:t xml:space="preserve"> </w:t>
      </w:r>
      <w:r>
        <w:rPr>
          <w:i/>
          <w:iCs/>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
          <w:iCs/>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
          <w:bCs/>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
          <w:iCs/>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26"/>
    <w:bookmarkStart w:id="27" w:name="tables"/>
    <w:p>
      <w:pPr>
        <w:sectPr>
          <w:footerReference w:type="default" r:id="rId9"/>
          <w:footerReference w:type="first" r:id="rId10"/>
          <w:footerReference w:type="even" r:id="rId11"/>
          <w:footnotePr>
            <w:numRestart w:val="eachSect"/>
          </w:footnotePr>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
          <w:bCs/>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
          <w:bCs/>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
          <w:iCs/>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
          <w:iCs/>
          <w:sz w:val="20"/>
        </w:rPr>
        <w:t xml:space="preserve">P</w:t>
      </w:r>
      <w:r>
        <w:rPr>
          <w:sz w:val="20"/>
        </w:rPr>
        <w:t xml:space="preserve"> </w:t>
      </w:r>
      <w:r>
        <w:rPr>
          <w:sz w:val="20"/>
        </w:rPr>
        <w:t xml:space="preserve">&lt; 1.965×10⁻⁵, while</w:t>
      </w:r>
      <w:r>
        <w:rPr>
          <w:sz w:val="20"/>
        </w:rPr>
        <w:t xml:space="preserve"> </w:t>
      </w:r>
      <w:r>
        <w:rPr>
          <w:i/>
          <w:iCs/>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
          <w:iCs/>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
          <w:iCs/>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
          <w:bCs/>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27"/>
    <w:bookmarkEnd w:id="28"/>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2026-09-15T05:14:46Z</dcterms:created>
  <dcterms:modified xsi:type="dcterms:W3CDTF">2026-09-15T05:14:46Z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