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Title"/>
        <w:widowControl/>
        <w:spacing w:before="0"/>
      </w:pPr>
      <w:r>
        <w:t xml:space="preserve">Cover letter</w:t>
      </w:r>
    </w:p>
    <w:p>
      <w:pPr>
        <w:pStyle w:val="FirstParagraph"/>
        <w:widowControl/>
      </w:pPr>
      <w:r>
        <w:t xml:space="preserve">11 September 2026</w:t>
      </w:r>
    </w:p>
    <w:p>
      <w:pPr>
        <w:pStyle w:val="BodyText"/>
        <w:widowControl/>
      </w:pPr>
      <w:r>
        <w:t xml:space="preserve">The Editors</w:t>
      </w:r>
      <w:r>
        <w:br/>
      </w:r>
      <w:r>
        <w:rPr>
          <w:i/>
          <w:iCs/>
        </w:rPr>
        <w:t xml:space="preserve">Endocrine Connections</w:t>
      </w:r>
    </w:p>
    <w:p>
      <w:pPr>
        <w:pStyle w:val="BodyText"/>
        <w:widowControl/>
      </w:pPr>
      <w:r>
        <w:t xml:space="preserve">Dear Editors,</w:t>
      </w:r>
    </w:p>
    <w:p>
      <w:pPr>
        <w:pStyle w:val="BodyText"/>
        <w:widowControl/>
      </w:pPr>
      <w:r>
        <w:t xml:space="preserve">Please consider “Genetic evidence for TSHR and IGF1R in Graves disease and thyroid eye disease” 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 P 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bookmarkEnd w:id="9"/>
    <w:sectPr>
      <w:footerReference w:type="default" r:id="rId9"/>
      <w:footerReference w:type="first" r:id="rId10"/>
      <w:footerReference w:type="even" r:id="rId11"/>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qFormat/>
    <w:pPr>
      <w:spacing w:after="100" w:before="180" w:line="240" w:lineRule="auto"/>
    </w:pPr>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2026-09-10T23:35:43Z</dcterms:created>
  <dcterms:modified xsi:type="dcterms:W3CDTF">2026-09-10T23:35:43Z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