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6"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 P values, and tested whether expression and disease associations shared a genetic variant.</w:t>
      </w:r>
      <w:r>
        <w:t xml:space="preserve"> </w:t>
      </w:r>
      <w:r>
        <w:rPr>
          <w:b/>
          <w:bCs/>
        </w:rPr>
        <w:t xml:space="preserve">Results:</w:t>
      </w:r>
      <w:r>
        <w:t xml:space="preserve"> </w:t>
      </w:r>
      <w:r>
        <w:t xml:space="preserve">Thirteen genes met the multiple-testing threshold. Higher genetically proxied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with the same direction in UKB and FinnGen. Shared-variant support was strong in BBJ and FinnGen, but not UKB.</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These results do not exclude a modest</w:t>
      </w:r>
      <w:r>
        <w:t xml:space="preserve"> </w:t>
      </w:r>
      <w:r>
        <w:rPr>
          <w:i/>
          <w:iCs/>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using the 1000 Genomes European reference, which matched the exposure population [17, 18].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Reconstruction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[19]. Results are reported as odds ratios (ORs), 95% confidence intervals (CIs) and two-sided</w:t>
      </w:r>
      <w:r>
        <w:t xml:space="preserve"> </w:t>
      </w:r>
      <w:r>
        <w:rPr>
          <w:i/>
          <w:iCs/>
        </w:rPr>
        <w:t xml:space="preserve">P</w:t>
      </w:r>
      <w:r>
        <w:t xml:space="preserve"> </w:t>
      </w:r>
      <w:r>
        <w:t xml:space="preserve">values. ORs are per unit increase in reconstructed, genetically proxied blood expression; they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[20, 21].</w:t>
      </w:r>
    </w:p>
    <w:p>
      <w:pPr>
        <w:pStyle w:val="BodyText"/>
        <w:widowControl/>
      </w:pPr>
      <w:r>
        <w:t xml:space="preserve">MR interpretation requires that instruments predict expression, are not associated with confounders, and do not affect disease through other pathways. Neither a small P 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[22].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 P value. We report it alongside the MR results and tested more conservative assumptions (Table S2) [23].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 P 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(Table 3; Figure 1). These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Its expression and disease signals were more consistent with distinct linked variants. Thus, a highly significant MR result alone did not establish a shared genetic signal in every outcome.</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The UKB result was divided between competing explanations and should be regarded as unresolved. Alternative MR estimators agreed in direction but differed in statistical significance (Table S1).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the two Graves disease outcomes;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[24] was associated with lower odds of disease in BBJ (OR 0.18, 95% CI 0.11–0.27;</w:t>
      </w:r>
      <w:r>
        <w:t xml:space="preserve"> </w:t>
      </w:r>
      <w:r>
        <w:rPr>
          <w:i/>
          <w:iCs/>
        </w:rPr>
        <w:t xml:space="preserve">P</w:t>
      </w:r>
      <w:r>
        <w:t xml:space="preserve"> </w:t>
      </w:r>
      <w:r>
        <w:t xml:space="preserve">= 5.45×10⁻¹⁵), UKB (</w:t>
      </w:r>
      <w:r>
        <w:rPr>
          <w:i/>
          <w:iCs/>
        </w:rPr>
        <w:t xml:space="preserve">P</w:t>
      </w:r>
      <w:r>
        <w:t xml:space="preserve"> </w:t>
      </w:r>
      <w:r>
        <w:t xml:space="preserve">= 0.0022) and FinnGen (</w:t>
      </w:r>
      <w:r>
        <w:rPr>
          <w:i/>
          <w:iCs/>
        </w:rPr>
        <w:t xml:space="preserve">P</w:t>
      </w:r>
      <w:r>
        <w:t xml:space="preserve"> </w:t>
      </w:r>
      <w:r>
        <w:t xml:space="preserve">= 0.0118). Shared-variant support was strong in UKB and FinnGen, but not BBJ (Table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None of the 81 colocalization comparisons crossed the 0.80 threshold; the maximum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(Table S2).</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1"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w:t>
      </w:r>
      <w:r>
        <w:t xml:space="preserve"> </w:t>
      </w:r>
      <w:r>
        <w:rPr>
          <w:i/>
          <w:iCs/>
        </w:rPr>
        <w:t xml:space="preserve">IGF1R</w:t>
      </w:r>
      <w:r>
        <w:t xml:space="preserve"> </w:t>
      </w:r>
      <w:r>
        <w:t xml:space="preserve">showed nominal associations in BBJ and UKB, but its shared-variant evidence remained unresolved. No additional candidate passed the combined BBJ and FinnGen criterion. Cohort-frequency sensitivity analyses preserved these findings while changing some effect sizes and detection thresholds.</w:t>
      </w:r>
    </w:p>
    <w:p>
      <w:pPr>
        <w:pStyle w:val="BodyText"/>
        <w:widowControl/>
      </w:pPr>
      <w:r>
        <w:t xml:space="preserve">For clinicians, the main implication concerns interpretation rather than treatment selection. The established efficacy of IGF-1R blockade in TED [3] does not require</w:t>
      </w:r>
      <w:r>
        <w:t xml:space="preserve"> </w:t>
      </w:r>
      <w:r>
        <w:rPr>
          <w:i/>
          <w:iCs/>
        </w:rPr>
        <w:t xml:space="preserve">IGF1R</w:t>
      </w:r>
      <w:r>
        <w:t xml:space="preserve"> </w:t>
      </w:r>
      <w:r>
        <w:t xml:space="preserve">to show the same inherited susceptibility pattern as</w:t>
      </w:r>
      <w:r>
        <w:t xml:space="preserve"> </w:t>
      </w:r>
      <w:r>
        <w:rPr>
          <w:i/>
          <w:iCs/>
        </w:rPr>
        <w:t xml:space="preserve">TSHR</w:t>
      </w:r>
      <w:r>
        <w:t xml:space="preserve">. Blood gene-expression instruments may not capture receptor activity, protein abundance or regulation in orbital tissue [25]. The present findings neither challenge the treatment evidence for teprotumumab nor establish that</w:t>
      </w:r>
      <w:r>
        <w:t xml:space="preserve"> </w:t>
      </w:r>
      <w:r>
        <w:rPr>
          <w:i/>
          <w:iCs/>
        </w:rPr>
        <w:t xml:space="preserve">IGF1R</w:t>
      </w:r>
      <w:r>
        <w:t xml:space="preserve"> </w:t>
      </w:r>
      <w:r>
        <w:t xml:space="preserve">acts exclusively downstream of disease susceptibility. They leave open a modest inherited contribution and mechanisms not measured by this study.</w:t>
      </w:r>
    </w:p>
    <w:p>
      <w:pPr>
        <w:pStyle w:val="BodyText"/>
        <w:widowControl/>
      </w:pPr>
      <w:r>
        <w:t xml:space="preserve">Similarly, the</w:t>
      </w:r>
      <w:r>
        <w:t xml:space="preserve"> </w:t>
      </w:r>
      <w:r>
        <w:rPr>
          <w:i/>
          <w:iCs/>
        </w:rPr>
        <w:t xml:space="preserve">TSHR</w:t>
      </w:r>
      <w:r>
        <w:t xml:space="preserve"> </w:t>
      </w:r>
      <w:r>
        <w:t xml:space="preserve">ORs should not be read as evidence that increasing TSHR expression would prevent disease. They reflect lifelong genetic differences in reconstructed blood expression. A drug acts in a particular tissue, at a particular dose and stage of disease, and may affect signalling without reproducing a genetic expression difference [26]. The descriptive orbital dataset cannot resolve this distinction: four TED samples and a single control are insufficient for differential-expression inference or a causal comparison. The direction of blood-expression MR and disease-state orbital expression need not be the same.</w:t>
      </w:r>
    </w:p>
    <w:p>
      <w:pPr>
        <w:pStyle w:val="BodyText"/>
        <w:widowControl/>
      </w:pPr>
      <w:r>
        <w:t xml:space="preserve">The results also show why P values must be interpreted with the study design and supporting evidence.</w:t>
      </w:r>
      <w:r>
        <w:t xml:space="preserve"> </w:t>
      </w:r>
      <w:r>
        <w:rPr>
          <w:i/>
          <w:iCs/>
        </w:rPr>
        <w:t xml:space="preserve">TSHR</w:t>
      </w:r>
      <w:r>
        <w:t xml:space="preserve"> </w:t>
      </w:r>
      <w:r>
        <w:t xml:space="preserve">had a very small UKB MR P value, yet its expression and disease signals did not colocalize under the tested model.</w:t>
      </w:r>
      <w:r>
        <w:t xml:space="preserve"> </w:t>
      </w:r>
      <w:r>
        <w:rPr>
          <w:i/>
          <w:iCs/>
        </w:rPr>
        <w:t xml:space="preserve">IGF1R</w:t>
      </w:r>
      <w:r>
        <w:t xml:space="preserve"> </w:t>
      </w:r>
      <w:r>
        <w:t xml:space="preserve">had P values below 0.05 in two outcomes, but these were exploratory associations after a genome-wide druggable-gene screen.</w:t>
      </w:r>
      <w:r>
        <w:t xml:space="preserve"> </w:t>
      </w:r>
      <w:r>
        <w:rPr>
          <w:i/>
          <w:iCs/>
        </w:rPr>
        <w:t xml:space="preserve">CTLA4</w:t>
      </w:r>
      <w:r>
        <w:t xml:space="preserve"> </w:t>
      </w:r>
      <w:r>
        <w:t xml:space="preserve">was detected as expected for a known autoimmune locus, although it did not satisfy the combined criterion. These findings support reporting estimates, confidence intervals and the full evidence pattern rather than treating nominal significance as sufficient for target selection.</w:t>
      </w:r>
    </w:p>
    <w:p>
      <w:pPr>
        <w:pStyle w:val="BodyText"/>
        <w:widowControl/>
      </w:pPr>
      <w:r>
        <w:t xml:space="preserve">Several limitations constrain the clinical interpretation. First, the FinnGen outcome compares Graves ophthalmopathy cases with population controls, not GD patients without eye disease. Agreement with BBJ can therefore reflect GD susceptibility, and a TED-specific effect cannot be separated. The FinnGen analysis also included only 858 cases. UKB hyperthyroidism is broader than GD, so ancestry and phenotype differences are partly confounded across the comparisons.</w:t>
      </w:r>
    </w:p>
    <w:p>
      <w:pPr>
        <w:pStyle w:val="BodyText"/>
        <w:widowControl/>
      </w:pPr>
      <w:r>
        <w:t xml:space="preserve">Second, the expression data came predominantly from European blood samples, whereas discovery used East Asian participants. Tissue regulation, linkage patterns and variant availability may differ. eQTLGen frequency substitution addressed one part of exposure-effect reconstruction, but did not resolve these differences; its published frequencies also exclude Framingham participants. Participant overlap between eQTLGen and the European outcomes could not be quantified. These uncertainties limit direct comparison of effect magnitudes across datasets.</w:t>
      </w:r>
    </w:p>
    <w:p>
      <w:pPr>
        <w:pStyle w:val="BodyText"/>
        <w:widowControl/>
      </w:pPr>
      <w:r>
        <w:t xml:space="preserve">Third,</w:t>
      </w:r>
      <w:r>
        <w:t xml:space="preserve"> </w:t>
      </w:r>
      <w:r>
        <w:rPr>
          <w:i/>
          <w:iCs/>
        </w:rPr>
        <w:t xml:space="preserve">TSHR</w:t>
      </w:r>
      <w:r>
        <w:t xml:space="preserve"> </w:t>
      </w:r>
      <w:r>
        <w:t xml:space="preserve">was represented by one instrument under the European selection reference. Instrument-based pleiotropy tests were therefore unavailable, and colocalization cannot rule out an effect through a neighbouring gene. The other selected genes had few instruments, limiting the reliability of pleiotropy tests. The</w:t>
      </w:r>
      <w:r>
        <w:t xml:space="preserve"> </w:t>
      </w:r>
      <w:r>
        <w:rPr>
          <w:i/>
          <w:iCs/>
        </w:rPr>
        <w:t xml:space="preserve">TSHR</w:t>
      </w:r>
      <w:r>
        <w:t xml:space="preserve"> </w:t>
      </w:r>
      <w:r>
        <w:t xml:space="preserve">instrument remained selected across the tested clumping settings, but the East Asian reference yielded two independent variants at the primary threshold. Single-instrument status should not be interpreted as proof of a single biological signal in every ancestry.</w:t>
      </w:r>
    </w:p>
    <w:p>
      <w:pPr>
        <w:pStyle w:val="BodyText"/>
        <w:widowControl/>
      </w:pPr>
      <w:r>
        <w:t xml:space="preserve">Fourth, colocalization assumes at most one causal variant per trait in a region, and its conclusions depend on prior assumptions. The</w:t>
      </w:r>
      <w:r>
        <w:t xml:space="preserve"> </w:t>
      </w:r>
      <w:r>
        <w:rPr>
          <w:i/>
          <w:iCs/>
        </w:rPr>
        <w:t xml:space="preserve">TSHR</w:t>
      </w:r>
      <w:r>
        <w:t xml:space="preserve"> </w:t>
      </w:r>
      <w:r>
        <w:t xml:space="preserve">BBJ result fell below the support threshold under the most conservative prior. Low shared-variant support can reflect limited information as well as distinct signals. Multi-variant colocalization, formal colocalization power and the detection probability of the combined filter were not evaluated. The screen’s limited MR detection range also prevents its negative candidate result from excluding smaller genetic effects.</w:t>
      </w:r>
    </w:p>
    <w:p>
      <w:pPr>
        <w:pStyle w:val="BodyText"/>
        <w:widowControl/>
      </w:pPr>
      <w:r>
        <w:t xml:space="preserve">Within these limits,</w:t>
      </w:r>
      <w:r>
        <w:t xml:space="preserve"> </w:t>
      </w:r>
      <w:r>
        <w:rPr>
          <w:i/>
          <w:iCs/>
        </w:rPr>
        <w:t xml:space="preserve">TSHR</w:t>
      </w:r>
      <w:r>
        <w:t xml:space="preserve"> </w:t>
      </w:r>
      <w:r>
        <w:t xml:space="preserve">showed a supported expression–disease association in the two Graves disease outcomes, whereas the genetic evidence at</w:t>
      </w:r>
      <w:r>
        <w:t xml:space="preserve"> </w:t>
      </w:r>
      <w:r>
        <w:rPr>
          <w:i/>
          <w:iCs/>
        </w:rPr>
        <w:t xml:space="preserve">IGF1R</w:t>
      </w:r>
      <w:r>
        <w:t xml:space="preserve"> </w:t>
      </w:r>
      <w:r>
        <w:t xml:space="preserve">was weaker and inconclusive. The findings help distinguish genetic susceptibility evidence from evidence of therapeutic efficacy. Confirmation in ancestry-matched data, relevant cell types and a direct comparison of GD patients with and without TED would be needed to clarify mechanisms and eye-disease specificity.</w:t>
      </w:r>
    </w:p>
    <w:bookmarkEnd w:id="21"/>
    <w:bookmarkStart w:id="22"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2"/>
    <w:bookmarkStart w:id="23"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23"/>
    <w:bookmarkStart w:id="24" w:name="figure-legends"/>
    <w:p>
      <w:pPr>
        <w:pStyle w:val="Heading2"/>
        <w:pageBreakBefore/>
        <w:widowControl/>
      </w:pPr>
      <w:r>
        <w:t xml:space="preserve">Figure Legends</w:t>
      </w:r>
    </w:p>
    <w:p>
      <w:pPr>
        <w:pStyle w:val="FirstParagraph"/>
        <w:widowControl/>
      </w:pPr>
      <w:r>
        <w:rPr>
          <w:b/>
          <w:bCs/>
        </w:rPr>
        <w:t xml:space="preserve">Figure 1. Study design and discovery flow.</w:t>
      </w:r>
      <w:r>
        <w:t xml:space="preserve"> </w:t>
      </w:r>
      <w:r>
        <w:t xml:space="preserve">Genes with independent blood-expression instruments were evaluated across the outcome hierarchy. The discovery threshold was P &lt; 0.05/2,544. Thirteen genes met this threshold; the six additional candidates were evaluated by colocalization, and none reached shared-variant support ≥0.80 in both BBJ and FinnGen. TSHR, IGF1R and CTLA4 were selected for detailed comparison on biological and therapeutic grounds, independently of screen significance.</w:t>
      </w:r>
    </w:p>
    <w:p>
      <w:pPr>
        <w:pStyle w:val="BodyText"/>
        <w:widowControl/>
      </w:pPr>
      <w:r>
        <w:rPr>
          <w:b/>
          <w:bCs/>
        </w:rPr>
        <w:t xml:space="preserve">Figure 2. Associations of the three selected genes with disease.</w:t>
      </w:r>
      <w:r>
        <w:t xml:space="preserve"> </w:t>
      </w:r>
      <w:r>
        <w:t xml:space="preserve">Points show primary ORs and horizontal lines their 95% CIs, with the exact displayed P values beside each estimate. The logarithmic OR axis has a reference line at 1. ORs refer to reconstructed genetically proxied blood expression, not treatment effects. All nine comparisons are included, including the non-significant IGF1R FinnGen result. Shared-variant support is reported separately in Table 2 and prior sensitivity in Table S2.</w:t>
      </w:r>
    </w:p>
    <w:bookmarkEnd w:id="24"/>
    <w:bookmarkStart w:id="25"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1317"/>
        <w:gridCol w:w="4610"/>
        <w:gridCol w:w="1399"/>
        <w:gridCol w:w="3457"/>
        <w:gridCol w:w="1729"/>
        <w:gridCol w:w="2305"/>
      </w:tblGrid>
      <w:tr>
        <w:trPr>
          <w:cantSplit/>
          <w:tblHeader/>
        </w:trPr>
        <w:tc>
          <w:tcPr>
            <w:tcW w:type="dxa" w:w="13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46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139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345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172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30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Shared-variant support</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 P values are two-sided and shown to three significant digits. BBJ discovery significance requires P &lt; 1.965×10⁻⁵; P &lt; 0.05 in other outcomes is nominal support. Shared-variant support is the colocalization posterior probability (PP.H4), not a P value; ≥0.80 was the criterion for strong support. All nine estimates are shown.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 P value.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5"/>
    <w:bookmarkEnd w:id="26"/>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2026-09-10T23:35:43Z</dcterms:created>
  <dcterms:modified xsi:type="dcterms:W3CDTF">2026-09-10T23:35:43Z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