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To compare genetic evidence linking blood expression of</w:t>
      </w:r>
      <w:r>
        <w:t xml:space="preserve"> </w:t>
      </w:r>
      <w:r>
        <w:rPr>
          <w:iCs/>
          <w:i/>
        </w:rPr>
        <w:t xml:space="preserve">TSHR</w:t>
      </w:r>
      <w:r>
        <w:t xml:space="preserve"> </w:t>
      </w:r>
      <w:r>
        <w:t xml:space="preserve">and</w:t>
      </w:r>
      <w:r>
        <w:t xml:space="preserve"> </w:t>
      </w:r>
      <w:r>
        <w:rPr>
          <w:iCs/>
          <w:i/>
        </w:rPr>
        <w:t xml:space="preserve">IGF1R</w:t>
      </w:r>
      <w:r>
        <w:t xml:space="preserve"> </w:t>
      </w:r>
      <w:r>
        <w:t xml:space="preserve">to Graves disease (GD) and thyroid eye disease (TED).</w:t>
      </w:r>
      <w:r>
        <w:t xml:space="preserve"> </w:t>
      </w:r>
      <w:r>
        <w:rPr>
          <w:bCs/>
          <w:b/>
        </w:rPr>
        <w:t xml:space="preserve">Methods:</w:t>
      </w:r>
      <w:r>
        <w:t xml:space="preserve"> </w:t>
      </w:r>
      <w:r>
        <w:t xml:space="preserve">We used genetic variants associated with blood gene expression to study 2,544 druggable genes by Mendelian randomization. Biobank Japan (BBJ) GD was the discovery outcome; UK Biobank (UKB) hyperthyroidism and FinnGen Graves ophthalmopathy provided additional comparisons. We reported odds ratios (ORs), 95% confidence intervals (CIs) and</w:t>
      </w:r>
      <w:r>
        <w:t xml:space="preserve"> </w:t>
      </w:r>
      <w:r>
        <w:rPr>
          <w:iCs/>
          <w:i/>
        </w:rPr>
        <w:t xml:space="preserve">P</w:t>
      </w:r>
      <w:r>
        <w:t xml:space="preserve"> </w:t>
      </w:r>
      <w:r>
        <w:t xml:space="preserve">values, and tested whether expression and disease associations shared a genetic variant.</w:t>
      </w:r>
      <w:r>
        <w:t xml:space="preserve"> </w:t>
      </w:r>
      <w:r>
        <w:rPr>
          <w:bCs/>
          <w:b/>
        </w:rPr>
        <w:t xml:space="preserve">Results:</w:t>
      </w:r>
      <w:r>
        <w:t xml:space="preserve"> </w:t>
      </w:r>
      <w:r>
        <w:t xml:space="preserve">Thirteen genes met the multiple-testing threshold. Per approximately one standard deviation (SD) higher genetically proxied blood</w:t>
      </w:r>
      <w:r>
        <w:t xml:space="preserve"> </w:t>
      </w:r>
      <w:r>
        <w:rPr>
          <w:iCs/>
          <w:i/>
        </w:rPr>
        <w:t xml:space="preserve">TSHR</w:t>
      </w:r>
      <w:r>
        <w:t xml:space="preserve"> </w:t>
      </w:r>
      <w:r>
        <w:t xml:space="preserve">expression, the OR for BBJ GD was 0.12 (95% CI 0.07–0.21;</w:t>
      </w:r>
      <w:r>
        <w:t xml:space="preserve"> </w:t>
      </w:r>
      <w:r>
        <w:rPr>
          <w:iCs/>
          <w:i/>
        </w:rPr>
        <w:t xml:space="preserve">P</w:t>
      </w:r>
      <w:r>
        <w:t xml:space="preserve"> </w:t>
      </w:r>
      <w:r>
        <w:t xml:space="preserve">= 1.09×10⁻¹⁴), with the same direction in UKB and FinnGen. Shared-variant support was strong in BBJ and FinnGen, but not UKB; the BBJ result was sensitive to a more conservative prior.</w:t>
      </w:r>
      <w:r>
        <w:t xml:space="preserve"> </w:t>
      </w:r>
      <w:r>
        <w:rPr>
          <w:iCs/>
          <w:i/>
        </w:rPr>
        <w:t xml:space="preserve">IGF1R</w:t>
      </w:r>
      <w:r>
        <w:t xml:space="preserve"> </w:t>
      </w:r>
      <w:r>
        <w:t xml:space="preserve">associations were nominal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and inconclusive in FinnGen (</w:t>
      </w:r>
      <w:r>
        <w:rPr>
          <w:iCs/>
          <w:i/>
        </w:rPr>
        <w:t xml:space="preserve">P</w:t>
      </w:r>
      <w:r>
        <w:t xml:space="preserve"> </w:t>
      </w:r>
      <w:r>
        <w:t xml:space="preserve">= 0.182); shared-variant support remained below threshold. No additional candidate met the combined BBJ and FinnGen shared-variant criterion. Cohort-frequency sensitivity analyses preserved these findings.</w:t>
      </w:r>
      <w:r>
        <w:t xml:space="preserve"> </w:t>
      </w:r>
      <w:r>
        <w:rPr>
          <w:bCs/>
          <w:b/>
        </w:rPr>
        <w:t xml:space="preserve">Conclusions:</w:t>
      </w:r>
      <w:r>
        <w:t xml:space="preserve"> </w:t>
      </w:r>
      <w:r>
        <w:t xml:space="preserve">Genetic evidence was stronger for</w:t>
      </w:r>
      <w:r>
        <w:t xml:space="preserve"> </w:t>
      </w:r>
      <w:r>
        <w:rPr>
          <w:iCs/>
          <w:i/>
        </w:rPr>
        <w:t xml:space="preserve">TSHR</w:t>
      </w:r>
      <w:r>
        <w:t xml:space="preserve"> </w:t>
      </w:r>
      <w:r>
        <w:t xml:space="preserve">than</w:t>
      </w:r>
      <w:r>
        <w:t xml:space="preserve"> </w:t>
      </w:r>
      <w:r>
        <w:rPr>
          <w:iCs/>
          <w:i/>
        </w:rPr>
        <w:t xml:space="preserve">IGF1R</w:t>
      </w:r>
      <w:r>
        <w:t xml:space="preserve"> </w:t>
      </w:r>
      <w:r>
        <w:t xml:space="preserve">in this analysis. An effector role for IGF-1R remains compatible with these findings, alongside an unresolved inherited contribution. FinnGen comparisons with population controls cannot establish an effect specific to TED within GD.</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Here, the exposure was blood gene expression. We also used colocalization, an analysis that asks whether the expression and disease associations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expression–disease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We screened genes considered potentially druggable — that is, genes encoding proteins, such as receptors or enzymes, that are plausible targets for an existing or future drug — and compared</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S2–S3).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Each outcome also lost nominal significance under one other omission (Figure S2; Supplementary Data 6). rs2654980 ranked first conditional on the shared-variant model, but the MR and colocalization analyses reuse the same underlying association data.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Cs/>
          <w:i/>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Cs/>
          <w:i/>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Cs/>
          <w:i/>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Cs/>
          <w:i/>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2026-09-15T05:03:38Z</dcterms:created>
  <dcterms:modified xsi:type="dcterms:W3CDTF">2026-09-15T05:03:38Z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