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Suk-Woo Yang, MD, PhD</w:t>
      </w:r>
      <w:r>
        <w:t xml:space="preserve"> </w:t>
      </w:r>
      <w:r>
        <w:t xml:space="preserve">Department of Ophthalmology, Seoul St. Mary’s Hospital</w:t>
      </w:r>
      <w:r>
        <w:t xml:space="preserve"> </w:t>
      </w:r>
      <w:r>
        <w:t xml:space="preserve">College of Medicine, The Catholic University of Korea</w:t>
      </w:r>
      <w:r>
        <w:t xml:space="preserve"> </w:t>
      </w:r>
      <w:r>
        <w:t xml:space="preserve">Seoul, Republic of Korea</w:t>
      </w:r>
      <w:r>
        <w:t xml:space="preserve"> </w:t>
      </w:r>
      <w:r>
        <w:t xml:space="preserve">yswoph@catholic.ac.kr · +82-2-2258-2847</w:t>
      </w:r>
    </w:p>
    <w:p>
      <w:pPr>
        <w:pStyle w:val="BodyText"/>
      </w:pPr>
      <w:r>
        <w:t xml:space="preserve">4 September 2026</w:t>
      </w:r>
    </w:p>
    <w:p>
      <w:pPr>
        <w:pStyle w:val="BodyText"/>
      </w:pPr>
      <w:r>
        <w:t xml:space="preserve">The Editors</w:t>
      </w:r>
      <w:r>
        <w:t xml:space="preserve"> </w:t>
      </w:r>
      <w:r>
        <w:rPr>
          <w:iCs/>
          <w:i/>
        </w:rPr>
        <w:t xml:space="preserve">Endocrine Connections</w:t>
      </w:r>
    </w:p>
    <w:p>
      <w:pPr>
        <w:pStyle w:val="BodyText"/>
      </w:pPr>
      <w:r>
        <w:t xml:space="preserve">Dear Editors,</w:t>
      </w:r>
    </w:p>
    <w:p>
      <w:pPr>
        <w:pStyle w:val="BodyText"/>
      </w:pPr>
      <w:r>
        <w:t xml:space="preserve">We are pleased to submit our manuscript,</w:t>
      </w:r>
      <w:r>
        <w:t xml:space="preserve"> </w:t>
      </w:r>
      <w:r>
        <w:t xml:space="preserve">“</w:t>
      </w:r>
      <w:r>
        <w:t xml:space="preserve">Genetic susceptibility and therapeutic target biology diverge at TSHR and IGF1R in Graves disease and thyroid eye disease,</w:t>
      </w:r>
      <w:r>
        <w:t xml:space="preserve">”</w:t>
      </w:r>
      <w:r>
        <w:t xml:space="preserve"> </w:t>
      </w:r>
      <w:r>
        <w:t xml:space="preserve">for consideration as an original research article in</w:t>
      </w:r>
      <w:r>
        <w:t xml:space="preserve"> </w:t>
      </w:r>
      <w:r>
        <w:rPr>
          <w:iCs/>
          <w:i/>
        </w:rPr>
        <w:t xml:space="preserve">Endocrine Connections</w:t>
      </w:r>
      <w:r>
        <w:t xml:space="preserve">.</w:t>
      </w:r>
    </w:p>
    <w:p>
      <w:pPr>
        <w:pStyle w:val="BodyText"/>
      </w:pPr>
      <w:r>
        <w:t xml:space="preserve">The approval of the IGF-1R–blocking antibody teprotumumab has made the relationship between TSHR and IGF-1R a central question for the field. IGF-1R is simultaneously a compelling therapeutic target and a gene whose status as a primary genetic driver of disease is unresolved. We address this directly by asking, across the druggable genome, which genes carry the genetic architecture of an expression-colocalized susceptibility locus and which do not.</w:t>
      </w:r>
    </w:p>
    <w:p>
      <w:pPr>
        <w:pStyle w:val="BodyText"/>
      </w:pPr>
      <w:r>
        <w:t xml:space="preserve">Using</w:t>
      </w:r>
      <w:r>
        <w:t xml:space="preserve"> </w:t>
      </w:r>
      <w:r>
        <w:rPr>
          <w:iCs/>
          <w:i/>
        </w:rPr>
        <w:t xml:space="preserve">cis</w:t>
      </w:r>
      <w:r>
        <w:t xml:space="preserve">-eQTL Mendelian randomization and Bayesian colocalization across three outcomes — Biobank Japan Graves disease as discovery, UK Biobank hyperthyroidism as a cross-ancestry broader-phenotype replication, and FinnGen Graves ophthalmopathy as a TED-enriched sensitivity outcome — with</w:t>
      </w:r>
      <w:r>
        <w:t xml:space="preserve"> </w:t>
      </w:r>
      <w:r>
        <w:rPr>
          <w:iCs/>
          <w:i/>
        </w:rPr>
        <w:t xml:space="preserve">CTLA4</w:t>
      </w:r>
      <w:r>
        <w:t xml:space="preserve"> </w:t>
      </w:r>
      <w:r>
        <w:t xml:space="preserve">as a positive control, we report that:</w:t>
      </w:r>
    </w:p>
    <w:p>
      <w:pPr>
        <w:numPr>
          <w:ilvl w:val="0"/>
          <w:numId w:val="1001"/>
        </w:numPr>
        <w:pStyle w:val="Compact"/>
      </w:pPr>
      <w:r>
        <w:rPr>
          <w:iCs/>
          <w:i/>
        </w:rPr>
        <w:t xml:space="preserve">TSHR</w:t>
      </w:r>
      <w:r>
        <w:t xml:space="preserve"> </w:t>
      </w:r>
      <w:r>
        <w:t xml:space="preserve">behaves as an expression-colocalized susceptibility anchor for Graves disease, with direction-consistent effects across all three outcomes and shared-variant colocalization in both Graves disease phenotypes (PP.H4 = 0.951 and 0.986, top-posterior variant rs179252) — but</w:t>
      </w:r>
      <w:r>
        <w:t xml:space="preserve"> </w:t>
      </w:r>
      <w:r>
        <w:rPr>
          <w:bCs/>
          <w:b/>
        </w:rPr>
        <w:t xml:space="preserve">not</w:t>
      </w:r>
      <w:r>
        <w:t xml:space="preserve"> </w:t>
      </w:r>
      <w:r>
        <w:t xml:space="preserve">in the broader hyperthyroidism phenotype, where the posterior favours distinct causal variants (PP.H3 = 0.774);</w:t>
      </w:r>
    </w:p>
    <w:p>
      <w:pPr>
        <w:numPr>
          <w:ilvl w:val="0"/>
          <w:numId w:val="1001"/>
        </w:numPr>
        <w:pStyle w:val="Compact"/>
      </w:pPr>
      <w:r>
        <w:rPr>
          <w:iCs/>
          <w:i/>
        </w:rPr>
        <w:t xml:space="preserve">IGF1R</w:t>
      </w:r>
      <w:r>
        <w:t xml:space="preserve"> </w:t>
      </w:r>
      <w:r>
        <w:t xml:space="preserve">shows directionally consistent risk-direction estimates, nominally significant in the discovery and replication outcomes but not in the smaller TED-enriched outcome, and reaches the shared-variant threshold in no outcome (PP.H4 = 0.073, 0.404, 0.032) — a profile more compatible with pharmacologic effector biology than with the</w:t>
      </w:r>
      <w:r>
        <w:t xml:space="preserve"> </w:t>
      </w:r>
      <w:r>
        <w:rPr>
          <w:iCs/>
          <w:i/>
        </w:rPr>
        <w:t xml:space="preserve">TSHR</w:t>
      </w:r>
      <w:r>
        <w:t xml:space="preserve">-like susceptibility architecture, while not excluding a more modest genetic contribution;</w:t>
      </w:r>
    </w:p>
    <w:p>
      <w:pPr>
        <w:numPr>
          <w:ilvl w:val="0"/>
          <w:numId w:val="1001"/>
        </w:numPr>
        <w:pStyle w:val="Compact"/>
      </w:pPr>
      <w:r>
        <w:t xml:space="preserve">across 2,544 MR-testable druggable genes, no novel candidate satisfied our dual-phenotype colocalization criterion.</w:t>
      </w:r>
    </w:p>
    <w:p>
      <w:pPr>
        <w:pStyle w:val="FirstParagraph"/>
      </w:pPr>
      <w:r>
        <w:t xml:space="preserve">We submit this to</w:t>
      </w:r>
      <w:r>
        <w:t xml:space="preserve"> </w:t>
      </w:r>
      <w:r>
        <w:rPr>
          <w:iCs/>
          <w:i/>
        </w:rPr>
        <w:t xml:space="preserve">Endocrine Connections</w:t>
      </w:r>
      <w:r>
        <w:t xml:space="preserve"> </w:t>
      </w:r>
      <w:r>
        <w:t xml:space="preserve">because its value lies in methodological rigour and interpretive restraint rather than in a novel target claim, and we understand that to be the kind of soundly conducted study your journal is designed to publish. Four features are central to that judgement.</w:t>
      </w:r>
    </w:p>
    <w:p>
      <w:pPr>
        <w:pStyle w:val="BodyText"/>
      </w:pPr>
      <w:r>
        <w:rPr>
          <w:bCs/>
          <w:b/>
        </w:rPr>
        <w:t xml:space="preserve">First, we report the result that argues against our own headline.</w:t>
      </w:r>
      <w:r>
        <w:t xml:space="preserve"> </w:t>
      </w:r>
      <w:r>
        <w:rPr>
          <w:iCs/>
          <w:i/>
        </w:rPr>
        <w:t xml:space="preserve">TSHR</w:t>
      </w:r>
      <w:r>
        <w:t xml:space="preserve"> </w:t>
      </w:r>
      <w:r>
        <w:t xml:space="preserve">does not colocalize in the UK Biobank outcome. This is not a power problem: UKB carries the strongest locus-wide association of the three outcomes (minimum</w:t>
      </w:r>
      <w:r>
        <w:t xml:space="preserve"> </w:t>
      </w:r>
      <w:r>
        <w:rPr>
          <w:iCs/>
          <w:i/>
        </w:rPr>
        <w:t xml:space="preserve">P</w:t>
      </w:r>
      <w:r>
        <w:t xml:space="preserve"> </w:t>
      </w:r>
      <w:r>
        <w:t xml:space="preserve">= 1.4 × 10⁻⁴³) and the largest set of overlapping variants, and the posterior positively favours a distinct causal variant with a different lead SNP. We report it in the abstract, in Table 2 and in Figure 3, and we state the consequence plainly —</w:t>
      </w:r>
      <w:r>
        <w:t xml:space="preserve"> </w:t>
      </w:r>
      <w:r>
        <w:rPr>
          <w:iCs/>
          <w:i/>
        </w:rPr>
        <w:t xml:space="preserve">TSHR</w:t>
      </w:r>
      <w:r>
        <w:t xml:space="preserve"> </w:t>
      </w:r>
      <w:r>
        <w:t xml:space="preserve">colocalization is specific to the two Graves disease phenotypes rather than a property of thyroid autoimmunity in general.</w:t>
      </w:r>
    </w:p>
    <w:p>
      <w:pPr>
        <w:pStyle w:val="BodyText"/>
      </w:pPr>
      <w:r>
        <w:rPr>
          <w:bCs/>
          <w:b/>
        </w:rPr>
        <w:t xml:space="preserve">Second, the conservative outcome is quantified rather than asserted.</w:t>
      </w:r>
      <w:r>
        <w:t xml:space="preserve"> </w:t>
      </w:r>
      <w:r>
        <w:t xml:space="preserve">We report the detectable effect range of the screen itself (Supplementary Table S8): at the study-wide threshold and 80% power the median gene was powered to detect an odds ratio of approximately 2.55, and only 35.6% of genes were powered for OR ≥ 2.0. The absence of a qualifying novel candidate therefore constrains additional large expression-mediated effects, particularly among well-powered genes, but does not exclude moderate ones. The same analysis shows the</w:t>
      </w:r>
      <w:r>
        <w:t xml:space="preserve"> </w:t>
      </w:r>
      <w:r>
        <w:rPr>
          <w:iCs/>
          <w:i/>
        </w:rPr>
        <w:t xml:space="preserve">IGF1R</w:t>
      </w:r>
      <w:r>
        <w:t xml:space="preserve"> </w:t>
      </w:r>
      <w:r>
        <w:t xml:space="preserve">effect lay below its gene-specific detection threshold in every outcome, which is why we assess it across both evidence layers rather than treat it as a failed discovery hit.</w:t>
      </w:r>
    </w:p>
    <w:p>
      <w:pPr>
        <w:pStyle w:val="BodyText"/>
      </w:pPr>
      <w:r>
        <w:rPr>
          <w:bCs/>
          <w:b/>
        </w:rPr>
        <w:t xml:space="preserve">Third, prioritization required agreement between two complementary filters</w:t>
      </w:r>
      <w:r>
        <w:t xml:space="preserve"> </w:t>
      </w:r>
      <w:r>
        <w:t xml:space="preserve">— direction-consistent cross-outcome association and Bayesian colocalization — so a signal had to show both reproducibility and shared-variant support. This is what removes</w:t>
      </w:r>
      <w:r>
        <w:t xml:space="preserve"> </w:t>
      </w:r>
      <w:r>
        <w:rPr>
          <w:iCs/>
          <w:i/>
        </w:rPr>
        <w:t xml:space="preserve">TNFSF14</w:t>
      </w:r>
      <w:r>
        <w:t xml:space="preserve"> </w:t>
      </w:r>
      <w:r>
        <w:t xml:space="preserve">and</w:t>
      </w:r>
      <w:r>
        <w:t xml:space="preserve"> </w:t>
      </w:r>
      <w:r>
        <w:rPr>
          <w:iCs/>
          <w:i/>
        </w:rPr>
        <w:t xml:space="preserve">IFNGR1</w:t>
      </w:r>
      <w:r>
        <w:t xml:space="preserve">, which colocalize strongly with the discovery outcome (PP.H4 = 0.994 and 0.989) but in neither secondary outcome. We are careful about what that means:</w:t>
      </w:r>
      <w:r>
        <w:t xml:space="preserve"> </w:t>
      </w:r>
      <w:r>
        <w:rPr>
          <w:iCs/>
          <w:i/>
        </w:rPr>
        <w:t xml:space="preserve">TNFSF14</w:t>
      </w:r>
      <w:r>
        <w:t xml:space="preserve"> </w:t>
      </w:r>
      <w:r>
        <w:t xml:space="preserve">retains a direction-consistent nominal MR association in UKB (</w:t>
      </w:r>
      <w:r>
        <w:rPr>
          <w:iCs/>
          <w:i/>
        </w:rPr>
        <w:t xml:space="preserve">P</w:t>
      </w:r>
      <w:r>
        <w:t xml:space="preserve"> </w:t>
      </w:r>
      <w:r>
        <w:t xml:space="preserve">= 0.0056), so its exclusion reflects our colocalization criterion rather than an absence of association, and we say so rather than presenting it as a refuted candidate.</w:t>
      </w:r>
    </w:p>
    <w:p>
      <w:pPr>
        <w:pStyle w:val="BodyText"/>
      </w:pPr>
      <w:r>
        <w:rPr>
          <w:bCs/>
          <w:b/>
        </w:rPr>
        <w:t xml:space="preserve">Fourth, we have been deliberate about what the design cannot establish.</w:t>
      </w:r>
      <w:r>
        <w:t xml:space="preserve"> </w:t>
      </w:r>
      <w:r>
        <w:t xml:space="preserve">The manuscript states that the FinnGen Graves ophthalmopathy outcome ascertains cases among patients with Graves disease and compares them with population controls, so its associations substantially re-measure Graves disease susceptibility and cannot isolate a TED-specific effect; that instrument selection at</w:t>
      </w:r>
      <w:r>
        <w:t xml:space="preserve"> </w:t>
      </w:r>
      <w:r>
        <w:rPr>
          <w:iCs/>
          <w:i/>
        </w:rPr>
        <w:t xml:space="preserve">TSHR</w:t>
      </w:r>
      <w:r>
        <w:t xml:space="preserve"> </w:t>
      </w:r>
      <w:r>
        <w:t xml:space="preserve">used the European reference panel matching the eQTL data, and that an ancestry-matched East Asian panel yields two independent variants at the same threshold; that colocalization rests on a single-causal-variant assumption and is sensitive to the prior, with the</w:t>
      </w:r>
      <w:r>
        <w:t xml:space="preserve"> </w:t>
      </w:r>
      <w:r>
        <w:rPr>
          <w:iCs/>
          <w:i/>
        </w:rPr>
        <w:t xml:space="preserve">TSHR</w:t>
      </w:r>
      <w:r>
        <w:t xml:space="preserve"> </w:t>
      </w:r>
      <w:r>
        <w:t xml:space="preserve">discovery posterior falling to 0.661 at p12 = 10⁻⁶; that exposure effect sizes were reconstructed using reference-panel allele frequencies, so reported magnitudes are approximations; and that our single positive control behaved in an ancestry-dependent way. We would rather state these limits ourselves than have the paper read as claiming more than it does.</w:t>
      </w:r>
    </w:p>
    <w:p>
      <w:pPr>
        <w:pStyle w:val="BodyText"/>
      </w:pPr>
      <w:r>
        <w:t xml:space="preserve">We also note that the general principle — an effective drug target need not be a primary genetic susceptibility locus — is already established in the drug-development literature. What we contribute is a worked demonstration within a single disease area, in which the anchor and the candidate effector are resolved side by side under the same outcome hierarchy, analytic framework and filters.</w:t>
      </w:r>
    </w:p>
    <w:p>
      <w:pPr>
        <w:pStyle w:val="BodyText"/>
      </w:pPr>
      <w:r>
        <w:t xml:space="preserve">A note on the in-house orbital tissue dataset. It comprises four thyroid eye disease samples and one control. With a single control, control-side biological variance cannot be estimated, so we perform no differential-expression testing, report no</w:t>
      </w:r>
      <w:r>
        <w:t xml:space="preserve"> </w:t>
      </w:r>
      <w:r>
        <w:rPr>
          <w:iCs/>
          <w:i/>
        </w:rPr>
        <w:t xml:space="preserve">P</w:t>
      </w:r>
      <w:r>
        <w:t xml:space="preserve"> </w:t>
      </w:r>
      <w:r>
        <w:t xml:space="preserve">values, and present the data as a descriptive observation in Supplementary Figure S1 only. No conclusion in the manuscript depends on it. We mention this explicitly because an earlier version of this work treated the tissue data as an evidence layer, and we no longer believe that was defensible.</w:t>
      </w:r>
    </w:p>
    <w:p>
      <w:pPr>
        <w:pStyle w:val="BodyText"/>
      </w:pPr>
      <w:r>
        <w:t xml:space="preserve">Two disclosures. First, an earlier and more narrowly scoped version of this work was previously considered at thyroid-focused journals; in response to editorial feedback the study was restructured around a druggable-gene-wide discovery design with systematic instrument selection, a positive control and a multi-outcome hierarchy. The present manuscript reflects that redesigned analysis. Second, the in-house orbital tissue dataset is also analysed, for a different question and at whole-transcriptome scale, in a separate manuscript currently under review elsewhere. The present study reports no genome-wide differential-expression catalogue or pathway-enrichment result, and the two manuscripts do not overlap in their findings; we are happy to provide the companion manuscript to the editors on request.</w:t>
      </w:r>
    </w:p>
    <w:p>
      <w:pPr>
        <w:pStyle w:val="BodyText"/>
      </w:pPr>
      <w:r>
        <w:t xml:space="preserve">This manuscript is original, has not been published previously, and is not under consideration elsewhere. All authors have read and approved the submission and agree to its content. The study used publicly available summary statistics and an institutionally approved orbital tissue dataset (Institutional Review Board, Pusan National University Hospital, 2104-018-102), with written informed consent obtained from all participants. The authors declare no conflicts of interest and report no specific funding for this work. Analysis code supporting the reported results is available, and reporting follows the STROBE-MR guideline (Supplementary Table S7).</w:t>
      </w:r>
    </w:p>
    <w:p>
      <w:pPr>
        <w:pStyle w:val="BodyText"/>
      </w:pPr>
      <w:r>
        <w:t xml:space="preserve">Thank you for considering our manuscript. We look forward to your evaluation.</w:t>
      </w:r>
    </w:p>
    <w:p>
      <w:pPr>
        <w:pStyle w:val="BodyText"/>
      </w:pPr>
      <w:r>
        <w:t xml:space="preserve">Sincerely,</w:t>
      </w:r>
    </w:p>
    <w:p>
      <w:pPr>
        <w:pStyle w:val="BodyText"/>
      </w:pPr>
      <w:r>
        <w:t xml:space="preserve">Suk-Woo Yang, MD, PhD (corresponding author)</w:t>
      </w:r>
      <w:r>
        <w:t xml:space="preserve"> </w:t>
      </w:r>
      <w:r>
        <w:t xml:space="preserve">On behalf of all authors: Jungyul Park, Min-Seon Kim, Kyung-Hwa Shin, Suk-Woo Yang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2026-09-04T10:51:55Z</dcterms:created>
  <dcterms:modified xsi:type="dcterms:W3CDTF">2026-09-04T10:51:55Z</dcterms:modified>
</cp:coreProperties>
</file>

<file path=docProps/custom.xml><?xml version="1.0" encoding="utf-8"?>
<Properties xmlns="http://schemas.openxmlformats.org/officeDocument/2006/custom-properties" xmlns:vt="http://schemas.openxmlformats.org/officeDocument/2006/docPropsVTypes"/>
</file>