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Graves disease (GD) causes autoimmune hyperthyroidism; thyroid eye disease (TED) is an associated inflammatory orbital disorder. We compared genetic evidence linking blood</w:t>
      </w:r>
      <w:r>
        <w:t xml:space="preserve"> </w:t>
      </w:r>
      <w:r>
        <w:rPr>
          <w:i/>
          <w:iCs/>
        </w:rPr>
        <w:t xml:space="preserve">TSHR</w:t>
      </w:r>
      <w:r>
        <w:t xml:space="preserve"> </w:t>
      </w:r>
      <w:r>
        <w:t xml:space="preserve">and</w:t>
      </w:r>
      <w:r>
        <w:t xml:space="preserve"> </w:t>
      </w:r>
      <w:r>
        <w:rPr>
          <w:i/>
          <w:iCs/>
        </w:rPr>
        <w:t xml:space="preserve">IGF1R</w:t>
      </w:r>
      <w:r>
        <w:t xml:space="preserve"> </w:t>
      </w:r>
      <w:r>
        <w:t xml:space="preserve">expression to disease susceptibility.</w:t>
      </w:r>
      <w:r>
        <w:t xml:space="preserve"> </w:t>
      </w:r>
      <w:r>
        <w:rPr>
          <w:b/>
          <w:bCs/>
        </w:rPr>
        <w:t xml:space="preserve">Methods:</w:t>
      </w:r>
      <w:r>
        <w:t xml:space="preserve"> </w:t>
      </w:r>
      <w:r>
        <w:t xml:space="preserve">We used Wald-ratio or inverse-variance-weighted Mendelian randomization and colocalization (testing for shared expression–disease variants). Outcomes were Biobank Japan (BBJ) GD, UK Biobank (UKB) hyperthyroidism and FinnGen Graves ophthalmopathy. In-house orbital RNA sequencing (four TED patients, one control) was analyzed descriptively.</w:t>
      </w:r>
      <w:r>
        <w:t xml:space="preserve"> </w:t>
      </w:r>
      <w:r>
        <w:rPr>
          <w:b/>
          <w:bCs/>
        </w:rPr>
        <w:t xml:space="preserve">Results:</w:t>
      </w:r>
      <w:r>
        <w:t xml:space="preserve"> </w:t>
      </w:r>
      <w:r>
        <w:t xml:space="preserve">Of 2,544 eligible genes, 13 met the BBJ Bonferroni threshold (</w:t>
      </w:r>
      <w:r>
        <w:rPr>
          <w:i/>
          <w:iCs/>
        </w:rPr>
        <w:t xml:space="preserve">P</w:t>
      </w:r>
      <w:r>
        <w:t xml:space="preserve"> </w:t>
      </w:r>
      <w:r>
        <w:t xml:space="preserve">&lt; 0.05/2,544). Higher genetically predicted</w:t>
      </w:r>
      <w:r>
        <w:t xml:space="preserve"> </w:t>
      </w:r>
      <w:r>
        <w:rPr>
          <w:i/>
          <w:iCs/>
        </w:rPr>
        <w:t xml:space="preserve">TSHR</w:t>
      </w:r>
      <w:r>
        <w:t xml:space="preserve"> </w:t>
      </w:r>
      <w:r>
        <w:t xml:space="preserve">expression was associated with lower BBJ GD odds (odds ratio [OR] per approximately one standard deviation 0.12, 95% confidence interval [CI] 0.07–0.21;</w:t>
      </w:r>
      <w:r>
        <w:t xml:space="preserve"> </w:t>
      </w:r>
      <w:r>
        <w:rPr>
          <w:i/>
          <w:iCs/>
        </w:rPr>
        <w:t xml:space="preserve">P</w:t>
      </w:r>
      <w:r>
        <w:t xml:space="preserve"> </w:t>
      </w:r>
      <w:r>
        <w:t xml:space="preserve">= 1.09×10⁻¹⁴), with concordant directions for the other outcomes. Colocalization probability exceeded 0.80 in BBJ and FinnGen, but not UKB. BBJ support fell below threshold when the shared-variant prior decreased from 10⁻⁵ to 10⁻⁶. Higher</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w:t>
      </w:r>
      <w:r>
        <w:rPr>
          <w:i/>
          <w:iCs/>
        </w:rPr>
        <w:t xml:space="preserve">P</w:t>
      </w:r>
      <w:r>
        <w:t xml:space="preserve"> </w:t>
      </w:r>
      <w:r>
        <w:t xml:space="preserve">= 0.0117).</w:t>
      </w:r>
      <w:r>
        <w:t xml:space="preserve"> </w:t>
      </w:r>
      <w:r>
        <w:rPr>
          <w:i/>
          <w:iCs/>
        </w:rPr>
        <w:t xml:space="preserve">IGF1R</w:t>
      </w:r>
      <w:r>
        <w:t xml:space="preserve"> </w:t>
      </w:r>
      <w:r>
        <w:t xml:space="preserve">did not meet the BBJ discovery threshold. The FinnGen association was non-significant (</w:t>
      </w:r>
      <w:r>
        <w:rPr>
          <w:i/>
          <w:iCs/>
        </w:rPr>
        <w:t xml:space="preserve">P</w:t>
      </w:r>
      <w:r>
        <w:t xml:space="preserve"> </w:t>
      </w:r>
      <w:r>
        <w:t xml:space="preserve">= 0.182).</w:t>
      </w:r>
      <w:r>
        <w:t xml:space="preserve"> </w:t>
      </w:r>
      <w:r>
        <w:rPr>
          <w:i/>
          <w:iCs/>
        </w:rPr>
        <w:t xml:space="preserve">IGF1R</w:t>
      </w:r>
      <w:r>
        <w:t xml:space="preserve"> </w:t>
      </w:r>
      <w:r>
        <w:t xml:space="preserve">lacked strong colocalization support; no additional candidate met the combined BBJ–FinnGen criterion. Cohort-frequency sensitivity preserved these findings. Mean orbital</w:t>
      </w:r>
      <w:r>
        <w:t xml:space="preserve"> </w:t>
      </w:r>
      <w:r>
        <w:rPr>
          <w:i/>
          <w:iCs/>
        </w:rPr>
        <w:t xml:space="preserve">TSHR</w:t>
      </w:r>
      <w:r>
        <w:t xml:space="preserve"> </w:t>
      </w:r>
      <w:r>
        <w:t xml:space="preserve">and</w:t>
      </w:r>
      <w:r>
        <w:t xml:space="preserve"> </w:t>
      </w:r>
      <w:r>
        <w:rPr>
          <w:i/>
          <w:iCs/>
        </w:rPr>
        <w:t xml:space="preserve">IGF1R</w:t>
      </w:r>
      <w:r>
        <w:t xml:space="preserve"> </w:t>
      </w:r>
      <w:r>
        <w:t xml:space="preserve">transcript levels were higher in TED than in the control.</w:t>
      </w:r>
      <w:r>
        <w:t xml:space="preserve"> </w:t>
      </w:r>
      <w:r>
        <w:rPr>
          <w:b/>
          <w:bCs/>
        </w:rPr>
        <w:t xml:space="preserve">Conclusions:</w:t>
      </w:r>
      <w:r>
        <w:t xml:space="preserve"> </w:t>
      </w:r>
      <w:r>
        <w:t xml:space="preserve">Evidence linking genetically predicted blood</w:t>
      </w:r>
      <w:r>
        <w:t xml:space="preserve"> </w:t>
      </w:r>
      <w:r>
        <w:rPr>
          <w:i/>
          <w:iCs/>
        </w:rPr>
        <w:t xml:space="preserve">TSHR</w:t>
      </w:r>
      <w:r>
        <w:t xml:space="preserve"> </w:t>
      </w:r>
      <w:r>
        <w:t xml:space="preserve">expression to GD susceptibility was stronger than for</w:t>
      </w:r>
      <w:r>
        <w:t xml:space="preserve"> </w:t>
      </w:r>
      <w:r>
        <w:rPr>
          <w:i/>
          <w:iCs/>
        </w:rPr>
        <w:t xml:space="preserve">IGF1R</w:t>
      </w:r>
      <w:r>
        <w:t xml:space="preserve">. FinnGen population controls prevent isolating TED susceptibility within GD; treatment response was not assessed.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
          <w:iCs/>
        </w:rPr>
        <w:t xml:space="preserve">IGF1R</w:t>
      </w:r>
      <w:r>
        <w:t xml:space="preserve"> </w:t>
      </w:r>
      <w:r>
        <w:t xml:space="preserve">SNP-exclusion estimates retained the higher-odds direction, but omitting rs2654980 yielded OR 1.49 (95% CI 0.96–2.30;</w:t>
      </w:r>
      <w:r>
        <w:t xml:space="preserve"> </w:t>
      </w:r>
      <w:r>
        <w:rPr>
          <w:i/>
          <w:iCs/>
        </w:rPr>
        <w:t xml:space="preserve">P</w:t>
      </w:r>
      <w:r>
        <w:t xml:space="preserve"> </w:t>
      </w:r>
      <w:r>
        <w:t xml:space="preserve">= 0.0751) in BBJ and OR 1.16 (0.78–1.72;</w:t>
      </w:r>
      <w:r>
        <w:t xml:space="preserve"> </w:t>
      </w:r>
      <w:r>
        <w:rPr>
          <w:i/>
          <w:iCs/>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
          <w:iCs/>
        </w:rPr>
        <w:t xml:space="preserve">IGF1R</w:t>
      </w:r>
      <w:r>
        <w:t xml:space="preserve"> </w:t>
      </w:r>
      <w:r>
        <w:t xml:space="preserve">significance was sensitive to instrument omission and that European</w:t>
      </w:r>
      <w:r>
        <w:t xml:space="preserve"> </w:t>
      </w:r>
      <w:r>
        <w:rPr>
          <w:i/>
          <w:iCs/>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
          <w:iCs/>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2026-09-15T07:08:43Z</dcterms:created>
  <dcterms:modified xsi:type="dcterms:W3CDTF">2026-09-15T07:08:43Z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