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ble-1.-data-sources"/>
    <w:p>
      <w:pPr>
        <w:pStyle w:val="Heading2"/>
      </w:pPr>
      <w:r>
        <w:rPr>
          <w:color w:val="000000"/>
        </w:rPr>
        <w:t xml:space="preserve">Table 1. Data sources</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1980"/>
        <w:gridCol w:w="1980"/>
        <w:gridCol w:w="1980"/>
        <w:gridCol w:w="1980"/>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Dataset / endpoint</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Cases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Controls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Exposure or clinical role</w:t>
            </w:r>
          </w:p>
        </w:tc>
      </w:tr>
      <w:tr>
        <w:trPr>
          <w:cantSplit/>
        </w:trPr>
        <w:tc>
          <w:tcPr/>
          <w:p>
            <w:pPr>
              <w:pStyle w:val="Compact"/>
              <w:spacing w:line="240" w:lineRule="auto" w:after="20" w:before="20"/>
              <w:jc w:val="left"/>
            </w:pPr>
            <w:r>
              <w:rPr>
                <w:rFonts w:ascii="Times New Roman" w:hAnsi="Times New Roman"/>
                <w:sz w:val="18"/>
              </w:rPr>
              <w:t xml:space="preserve">eQTLGen blood expression</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w:t>
            </w:r>
          </w:p>
        </w:tc>
        <w:tc>
          <w:tcPr/>
          <w:p>
            <w:pPr>
              <w:pStyle w:val="Compact"/>
              <w:spacing w:line="240" w:lineRule="auto" w:after="20" w:before="20"/>
              <w:jc w:val="left"/>
            </w:pPr>
            <w:r>
              <w:rPr>
                <w:rFonts w:ascii="Times New Roman" w:hAnsi="Times New Roman"/>
                <w:sz w:val="18"/>
              </w:rPr>
              <w:t xml:space="preserve">Exposure: up to 31,684; predominantly European</w:t>
            </w:r>
          </w:p>
        </w:tc>
      </w:tr>
      <w:tr>
        <w:trPr>
          <w:cantSplit/>
        </w:trPr>
        <w:tc>
          <w:tcPr/>
          <w:p>
            <w:pPr>
              <w:pStyle w:val="Compact"/>
              <w:spacing w:line="240" w:lineRule="auto" w:after="20" w:before="20"/>
              <w:jc w:val="left"/>
            </w:pPr>
            <w:r>
              <w:rPr>
                <w:rFonts w:ascii="Times New Roman" w:hAnsi="Times New Roman"/>
                <w:sz w:val="18"/>
              </w:rPr>
              <w:t xml:space="preserve">BBJ GD (GCST90018627)</w:t>
            </w:r>
          </w:p>
        </w:tc>
        <w:tc>
          <w:tcPr/>
          <w:p>
            <w:pPr>
              <w:pStyle w:val="Compact"/>
              <w:spacing w:line="240" w:lineRule="auto" w:after="20" w:before="20"/>
              <w:jc w:val="left"/>
            </w:pPr>
            <w:r>
              <w:rPr>
                <w:rFonts w:ascii="Times New Roman" w:hAnsi="Times New Roman"/>
                <w:sz w:val="18"/>
              </w:rPr>
              <w:t xml:space="preserve">2,809</w:t>
            </w:r>
          </w:p>
        </w:tc>
        <w:tc>
          <w:tcPr/>
          <w:p>
            <w:pPr>
              <w:pStyle w:val="Compact"/>
              <w:spacing w:line="240" w:lineRule="auto" w:after="20" w:before="20"/>
              <w:jc w:val="left"/>
            </w:pPr>
            <w:r>
              <w:rPr>
                <w:rFonts w:ascii="Times New Roman" w:hAnsi="Times New Roman"/>
                <w:sz w:val="18"/>
              </w:rPr>
              <w:t xml:space="preserve">172,656</w:t>
            </w:r>
          </w:p>
        </w:tc>
        <w:tc>
          <w:tcPr/>
          <w:p>
            <w:pPr>
              <w:pStyle w:val="Compact"/>
              <w:spacing w:line="240" w:lineRule="auto" w:after="20" w:before="20"/>
              <w:jc w:val="left"/>
            </w:pPr>
            <w:r>
              <w:rPr>
                <w:rFonts w:ascii="Times New Roman" w:hAnsi="Times New Roman"/>
                <w:sz w:val="18"/>
              </w:rPr>
              <w:t xml:space="preserve">Discovery; East Asian</w:t>
            </w:r>
          </w:p>
        </w:tc>
      </w:tr>
      <w:tr>
        <w:trPr>
          <w:cantSplit/>
        </w:trPr>
        <w:tc>
          <w:tcPr/>
          <w:p>
            <w:pPr>
              <w:pStyle w:val="Compact"/>
              <w:spacing w:line="240" w:lineRule="auto" w:after="20" w:before="20"/>
              <w:jc w:val="left"/>
            </w:pPr>
            <w:r>
              <w:rPr>
                <w:rFonts w:ascii="Times New Roman" w:hAnsi="Times New Roman"/>
                <w:sz w:val="18"/>
              </w:rPr>
              <w:t xml:space="preserve">FinnGen GD (E4_GRAVES_STRICT)</w:t>
            </w:r>
          </w:p>
        </w:tc>
        <w:tc>
          <w:tcPr/>
          <w:p>
            <w:pPr>
              <w:pStyle w:val="Compact"/>
              <w:spacing w:line="240" w:lineRule="auto" w:after="20" w:before="20"/>
              <w:jc w:val="left"/>
            </w:pPr>
            <w:r>
              <w:rPr>
                <w:rFonts w:ascii="Times New Roman" w:hAnsi="Times New Roman"/>
                <w:sz w:val="18"/>
              </w:rPr>
              <w:t xml:space="preserve">3,962</w:t>
            </w:r>
          </w:p>
        </w:tc>
        <w:tc>
          <w:tcPr/>
          <w:p>
            <w:pPr>
              <w:pStyle w:val="Compact"/>
              <w:spacing w:line="240" w:lineRule="auto" w:after="20" w:before="20"/>
              <w:jc w:val="left"/>
            </w:pPr>
            <w:r>
              <w:rPr>
                <w:rFonts w:ascii="Times New Roman" w:hAnsi="Times New Roman"/>
                <w:sz w:val="18"/>
              </w:rPr>
              <w:t xml:space="preserve">496,386</w:t>
            </w:r>
          </w:p>
        </w:tc>
        <w:tc>
          <w:tcPr/>
          <w:p>
            <w:pPr>
              <w:pStyle w:val="Compact"/>
              <w:spacing w:line="240" w:lineRule="auto" w:after="20" w:before="20"/>
              <w:jc w:val="left"/>
            </w:pPr>
            <w:r>
              <w:rPr>
                <w:rFonts w:ascii="Times New Roman" w:hAnsi="Times New Roman"/>
                <w:sz w:val="18"/>
              </w:rPr>
              <w:t xml:space="preserve">Post hoc GD comparison; Finnish</w:t>
            </w:r>
          </w:p>
        </w:tc>
      </w:tr>
      <w:tr>
        <w:trPr>
          <w:cantSplit/>
        </w:trPr>
        <w:tc>
          <w:tcPr/>
          <w:p>
            <w:pPr>
              <w:pStyle w:val="Compact"/>
              <w:spacing w:line="240" w:lineRule="auto" w:after="20" w:before="20"/>
              <w:jc w:val="left"/>
            </w:pPr>
            <w:r>
              <w:rPr>
                <w:rFonts w:ascii="Times New Roman" w:hAnsi="Times New Roman"/>
                <w:sz w:val="18"/>
              </w:rPr>
              <w:t xml:space="preserve">UKB hyperthyroidism (GCST90038636)</w:t>
            </w:r>
          </w:p>
        </w:tc>
        <w:tc>
          <w:tcPr/>
          <w:p>
            <w:pPr>
              <w:pStyle w:val="Compact"/>
              <w:spacing w:line="240" w:lineRule="auto" w:after="20" w:before="20"/>
              <w:jc w:val="left"/>
            </w:pPr>
            <w:r>
              <w:rPr>
                <w:rFonts w:ascii="Times New Roman" w:hAnsi="Times New Roman"/>
                <w:sz w:val="18"/>
              </w:rPr>
              <w:t xml:space="preserve">3,731</w:t>
            </w:r>
          </w:p>
        </w:tc>
        <w:tc>
          <w:tcPr/>
          <w:p>
            <w:pPr>
              <w:pStyle w:val="Compact"/>
              <w:spacing w:line="240" w:lineRule="auto" w:after="20" w:before="20"/>
              <w:jc w:val="left"/>
            </w:pPr>
            <w:r>
              <w:rPr>
                <w:rFonts w:ascii="Times New Roman" w:hAnsi="Times New Roman"/>
                <w:sz w:val="18"/>
              </w:rPr>
              <w:t xml:space="preserve">480,867</w:t>
            </w:r>
          </w:p>
        </w:tc>
        <w:tc>
          <w:tcPr/>
          <w:p>
            <w:pPr>
              <w:pStyle w:val="Compact"/>
              <w:spacing w:line="240" w:lineRule="auto" w:after="20" w:before="20"/>
              <w:jc w:val="left"/>
            </w:pPr>
            <w:r>
              <w:rPr>
                <w:rFonts w:ascii="Times New Roman" w:hAnsi="Times New Roman"/>
                <w:sz w:val="18"/>
              </w:rPr>
              <w:t xml:space="preserve">Self-report; ancestry not established as exclusively European</w:t>
            </w:r>
          </w:p>
        </w:tc>
      </w:tr>
      <w:tr>
        <w:trPr>
          <w:cantSplit/>
        </w:trPr>
        <w:tc>
          <w:tcPr/>
          <w:p>
            <w:pPr>
              <w:pStyle w:val="Compact"/>
              <w:spacing w:line="240" w:lineRule="auto" w:after="20" w:before="20"/>
              <w:jc w:val="left"/>
            </w:pPr>
            <w:r>
              <w:rPr>
                <w:rFonts w:ascii="Times New Roman" w:hAnsi="Times New Roman"/>
                <w:sz w:val="18"/>
              </w:rPr>
              <w:t xml:space="preserve">FinnGen GO (GRAVES_OPHT)</w:t>
            </w:r>
          </w:p>
        </w:tc>
        <w:tc>
          <w:tcPr/>
          <w:p>
            <w:pPr>
              <w:pStyle w:val="Compact"/>
              <w:spacing w:line="240" w:lineRule="auto" w:after="20" w:before="20"/>
              <w:jc w:val="left"/>
            </w:pPr>
            <w:r>
              <w:rPr>
                <w:rFonts w:ascii="Times New Roman" w:hAnsi="Times New Roman"/>
                <w:sz w:val="18"/>
              </w:rPr>
              <w:t xml:space="preserve">858</w:t>
            </w:r>
          </w:p>
        </w:tc>
        <w:tc>
          <w:tcPr/>
          <w:p>
            <w:pPr>
              <w:pStyle w:val="Compact"/>
              <w:spacing w:line="240" w:lineRule="auto" w:after="20" w:before="20"/>
              <w:jc w:val="left"/>
            </w:pPr>
            <w:r>
              <w:rPr>
                <w:rFonts w:ascii="Times New Roman" w:hAnsi="Times New Roman"/>
                <w:sz w:val="18"/>
              </w:rPr>
              <w:t xml:space="preserve">499,490</w:t>
            </w:r>
          </w:p>
        </w:tc>
        <w:tc>
          <w:tcPr/>
          <w:p>
            <w:pPr>
              <w:pStyle w:val="Compact"/>
              <w:spacing w:line="240" w:lineRule="auto" w:after="20" w:before="20"/>
              <w:jc w:val="left"/>
            </w:pPr>
            <w:r>
              <w:rPr>
                <w:rFonts w:ascii="Times New Roman" w:hAnsi="Times New Roman"/>
                <w:sz w:val="18"/>
              </w:rPr>
              <w:t xml:space="preserve">Original ophthalmopathy comparison; Finnish</w:t>
            </w:r>
          </w:p>
        </w:tc>
      </w:tr>
      <w:tr>
        <w:trPr>
          <w:cantSplit/>
        </w:trPr>
        <w:tc>
          <w:tcPr/>
          <w:p>
            <w:pPr>
              <w:pStyle w:val="Compact"/>
              <w:spacing w:line="240" w:lineRule="auto" w:after="20" w:before="20"/>
              <w:jc w:val="left"/>
            </w:pPr>
            <w:r>
              <w:rPr>
                <w:rFonts w:ascii="Times New Roman" w:hAnsi="Times New Roman"/>
                <w:sz w:val="18"/>
              </w:rPr>
              <w:t xml:space="preserve">FinnGen GO strict (E4_GRAVES_OPHT_STRICT)</w:t>
            </w:r>
          </w:p>
        </w:tc>
        <w:tc>
          <w:tcPr/>
          <w:p>
            <w:pPr>
              <w:pStyle w:val="Compact"/>
              <w:spacing w:line="240" w:lineRule="auto" w:after="20" w:before="20"/>
              <w:jc w:val="left"/>
            </w:pPr>
            <w:r>
              <w:rPr>
                <w:rFonts w:ascii="Times New Roman" w:hAnsi="Times New Roman"/>
                <w:sz w:val="18"/>
              </w:rPr>
              <w:t xml:space="preserve">753</w:t>
            </w:r>
          </w:p>
        </w:tc>
        <w:tc>
          <w:tcPr/>
          <w:p>
            <w:pPr>
              <w:pStyle w:val="Compact"/>
              <w:spacing w:line="240" w:lineRule="auto" w:after="20" w:before="20"/>
              <w:jc w:val="left"/>
            </w:pPr>
            <w:r>
              <w:rPr>
                <w:rFonts w:ascii="Times New Roman" w:hAnsi="Times New Roman"/>
                <w:sz w:val="18"/>
              </w:rPr>
              <w:t xml:space="preserve">499,595</w:t>
            </w:r>
          </w:p>
        </w:tc>
        <w:tc>
          <w:tcPr/>
          <w:p>
            <w:pPr>
              <w:pStyle w:val="Compact"/>
              <w:spacing w:line="240" w:lineRule="auto" w:after="20" w:before="20"/>
              <w:jc w:val="left"/>
            </w:pPr>
            <w:r>
              <w:rPr>
                <w:rFonts w:ascii="Times New Roman" w:hAnsi="Times New Roman"/>
                <w:sz w:val="18"/>
              </w:rPr>
              <w:t xml:space="preserve">Post hoc definition sensitivity; Finnish</w:t>
            </w:r>
          </w:p>
        </w:tc>
      </w:tr>
    </w:tbl>
    <w:p>
      <w:pPr>
        <w:pStyle w:val="BodyText"/>
        <w:spacing w:line="264" w:lineRule="auto" w:after="120"/>
      </w:pPr>
      <w:r>
        <w:rPr>
          <w:color w:val="000000"/>
          <w:sz w:val="18"/>
        </w:rPr>
        <w:t xml:space="preserve">GD, Graves disease; GO, Graves ophthalmopathy; HT, hyperthyroidism/thyrotoxicosis. The three FinnGen R12 endpoints overlap and use population non-cases for their respective definitions. Strict is the source endpoint label, not proof of perfect specificity. The descriptive orbital series (four TED patients, one control) is separate from the genetic datasets.</w:t>
      </w:r>
    </w:p>
    <w:bookmarkEnd w:id="20"/>
    <w:bookmarkStart w:id="21" w:name="table-2.-tshr-igf1r-and-ctla4"/>
    <w:p>
      <w:pPr>
        <w:pStyle w:val="Heading2"/>
        <w:pageBreakBefore/>
      </w:pPr>
      <w:r>
        <w:rPr>
          <w:color w:val="000000"/>
        </w:rPr>
        <w:t xml:space="preserve">Table 2.</w:t>
      </w:r>
      <w:r>
        <w:rPr>
          <w:color w:val="000000"/>
        </w:rPr>
        <w:t xml:space="preserve"> </w:t>
      </w:r>
      <w:r>
        <w:rPr>
          <w:iCs/>
          <w:i/>
          <w:color w:val="000000"/>
        </w:rPr>
        <w:t xml:space="preserve">TSHR</w:t>
      </w:r>
      <w:r>
        <w:rPr>
          <w:color w:val="000000"/>
        </w:rPr>
        <w:t xml:space="preserve">,</w:t>
      </w:r>
      <w:r>
        <w:rPr>
          <w:color w:val="000000"/>
        </w:rPr>
        <w:t xml:space="preserve"> </w:t>
      </w:r>
      <w:r>
        <w:rPr>
          <w:iCs/>
          <w:i/>
          <w:color w:val="000000"/>
        </w:rPr>
        <w:t xml:space="preserve">IGF1R</w:t>
      </w:r>
      <w:r>
        <w:rPr>
          <w:color w:val="000000"/>
        </w:rPr>
        <w:t xml:space="preserve"> </w:t>
      </w:r>
      <w:r>
        <w:rPr>
          <w:color w:val="000000"/>
        </w:rPr>
        <w:t xml:space="preserve">and</w:t>
      </w:r>
      <w:r>
        <w:rPr>
          <w:color w:val="000000"/>
        </w:rPr>
        <w:t xml:space="preserve"> </w:t>
      </w:r>
      <w:r>
        <w:rPr>
          <w:iCs/>
          <w:i/>
          <w:color w:val="000000"/>
        </w:rPr>
        <w:t xml:space="preserve">CTLA4</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990"/>
        <w:gridCol w:w="990"/>
        <w:gridCol w:w="990"/>
        <w:gridCol w:w="990"/>
        <w:gridCol w:w="990"/>
        <w:gridCol w:w="990"/>
        <w:gridCol w:w="990"/>
        <w:gridCol w:w="990"/>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Gene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Dataset</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IVs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OR (95% CI)</w:t>
            </w:r>
          </w:p>
        </w:tc>
        <w:tc>
          <w:tcPr>
            <w:tcBorders>
              <w:bottom w:val="single" w:sz="8" w:space="0" w:color="000000"/>
            </w:tcBorders>
          </w:tcPr>
          <w:p>
            <w:pPr>
              <w:pStyle w:val="Compact"/>
              <w:spacing w:line="240" w:lineRule="auto" w:after="20" w:before="20"/>
              <w:jc w:val="left"/>
            </w:pPr>
            <w:r>
              <w:rPr>
                <w:iCs/>
                <w:rFonts w:ascii="Times New Roman" w:hAnsi="Times New Roman"/>
                <w:b/>
                <w:i/>
                <w:sz w:val="18"/>
              </w:rPr>
              <w:t xml:space="preserve">P</w:t>
            </w:r>
            <w:r>
              <w:rPr>
                <w:rFonts w:ascii="Times New Roman" w:hAnsi="Times New Roman"/>
                <w:b/>
                <w:sz w:val="18"/>
              </w:rPr>
              <w:t xml:space="preserve"> </w:t>
            </w:r>
            <w:r>
              <w:rPr>
                <w:rFonts w:ascii="Times New Roman" w:hAnsi="Times New Roman"/>
                <w:b/>
                <w:sz w:val="18"/>
              </w:rPr>
              <w:t xml:space="preserve">value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PP.H2</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PP.H3</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PP.H4</w:t>
            </w:r>
          </w:p>
        </w:tc>
      </w:tr>
      <w:tr>
        <w:trPr>
          <w:cantSplit/>
        </w:trPr>
        <w:tc>
          <w:tcPr/>
          <w:p>
            <w:pPr>
              <w:pStyle w:val="Compact"/>
              <w:spacing w:line="240" w:lineRule="auto" w:after="20" w:before="20"/>
              <w:jc w:val="left"/>
            </w:pPr>
            <w:r>
              <w:rPr>
                <w:iCs/>
                <w:rFonts w:ascii="Times New Roman" w:hAnsi="Times New Roman"/>
                <w:i/>
                <w:sz w:val="18"/>
              </w:rPr>
              <w:t xml:space="preserve">TSHR</w:t>
            </w:r>
          </w:p>
        </w:tc>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0.12 (0.07–0.21)</w:t>
            </w:r>
          </w:p>
        </w:tc>
        <w:tc>
          <w:tcPr/>
          <w:p>
            <w:pPr>
              <w:pStyle w:val="Compact"/>
              <w:spacing w:line="240" w:lineRule="auto" w:after="20" w:before="20"/>
              <w:jc w:val="left"/>
            </w:pPr>
            <w:r>
              <w:rPr>
                <w:bCs/>
                <w:rFonts w:ascii="Times New Roman" w:hAnsi="Times New Roman"/>
                <w:b/>
                <w:sz w:val="18"/>
              </w:rPr>
              <w:t xml:space="preserve">1.09×10⁻¹⁴</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0.049</w:t>
            </w:r>
          </w:p>
        </w:tc>
        <w:tc>
          <w:tcPr/>
          <w:p>
            <w:pPr>
              <w:pStyle w:val="Compact"/>
              <w:spacing w:line="240" w:lineRule="auto" w:after="20" w:before="20"/>
              <w:jc w:val="left"/>
            </w:pPr>
            <w:r>
              <w:rPr>
                <w:bCs/>
                <w:rFonts w:ascii="Times New Roman" w:hAnsi="Times New Roman"/>
                <w:b/>
                <w:sz w:val="18"/>
              </w:rPr>
              <w:t xml:space="preserve">0.951</w:t>
            </w:r>
          </w:p>
        </w:tc>
      </w:tr>
      <w:tr>
        <w:trPr>
          <w:cantSplit/>
        </w:trPr>
        <w:tc>
          <w:tcPr/>
          <w:p>
            <w:pPr>
              <w:pStyle w:val="Compact"/>
              <w:spacing w:line="240" w:lineRule="auto" w:after="20" w:before="20"/>
              <w:jc w:val="left"/>
            </w:pPr>
            <w:r>
              <w:rPr>
                <w:iCs/>
                <w:rFonts w:ascii="Times New Roman" w:hAnsi="Times New Roman"/>
                <w:i/>
                <w:sz w:val="18"/>
              </w:rPr>
              <w:t xml:space="preserve">TSHR</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0.08 (0.05–0.12)</w:t>
            </w:r>
          </w:p>
        </w:tc>
        <w:tc>
          <w:tcPr/>
          <w:p>
            <w:pPr>
              <w:pStyle w:val="Compact"/>
              <w:spacing w:line="240" w:lineRule="auto" w:after="20" w:before="20"/>
              <w:jc w:val="left"/>
            </w:pPr>
            <w:r>
              <w:rPr>
                <w:bCs/>
                <w:rFonts w:ascii="Times New Roman" w:hAnsi="Times New Roman"/>
                <w:b/>
                <w:sz w:val="18"/>
              </w:rPr>
              <w:t xml:space="preserve">3.19×10⁻³²</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0.736</w:t>
            </w:r>
          </w:p>
        </w:tc>
        <w:tc>
          <w:tcPr/>
          <w:p>
            <w:pPr>
              <w:pStyle w:val="Compact"/>
              <w:spacing w:line="240" w:lineRule="auto" w:after="20" w:before="20"/>
              <w:jc w:val="left"/>
            </w:pPr>
            <w:r>
              <w:rPr>
                <w:rFonts w:ascii="Times New Roman" w:hAnsi="Times New Roman"/>
                <w:sz w:val="18"/>
              </w:rPr>
              <w:t xml:space="preserve">0.264</w:t>
            </w:r>
          </w:p>
        </w:tc>
      </w:tr>
      <w:tr>
        <w:trPr>
          <w:cantSplit/>
        </w:trPr>
        <w:tc>
          <w:tcPr/>
          <w:p>
            <w:pPr>
              <w:pStyle w:val="Compact"/>
              <w:spacing w:line="240" w:lineRule="auto" w:after="20" w:before="20"/>
              <w:jc w:val="left"/>
            </w:pPr>
            <w:r>
              <w:rPr>
                <w:iCs/>
                <w:rFonts w:ascii="Times New Roman" w:hAnsi="Times New Roman"/>
                <w:i/>
                <w:sz w:val="18"/>
              </w:rPr>
              <w:t xml:space="preserve">TSHR</w:t>
            </w:r>
          </w:p>
        </w:tc>
        <w:tc>
          <w:tcPr/>
          <w:p>
            <w:pPr>
              <w:pStyle w:val="Compact"/>
              <w:spacing w:line="240" w:lineRule="auto" w:after="20" w:before="20"/>
              <w:jc w:val="left"/>
            </w:pPr>
            <w:r>
              <w:rPr>
                <w:rFonts w:ascii="Times New Roman" w:hAnsi="Times New Roman"/>
                <w:sz w:val="18"/>
              </w:rPr>
              <w:t xml:space="preserve">UKB HT</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0.09 (0.06–0.14)</w:t>
            </w:r>
          </w:p>
        </w:tc>
        <w:tc>
          <w:tcPr/>
          <w:p>
            <w:pPr>
              <w:pStyle w:val="Compact"/>
              <w:spacing w:line="240" w:lineRule="auto" w:after="20" w:before="20"/>
              <w:jc w:val="left"/>
            </w:pPr>
            <w:r>
              <w:rPr>
                <w:bCs/>
                <w:rFonts w:ascii="Times New Roman" w:hAnsi="Times New Roman"/>
                <w:b/>
                <w:sz w:val="18"/>
              </w:rPr>
              <w:t xml:space="preserve">8.77×10⁻²⁸</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0.774</w:t>
            </w:r>
          </w:p>
        </w:tc>
        <w:tc>
          <w:tcPr/>
          <w:p>
            <w:pPr>
              <w:pStyle w:val="Compact"/>
              <w:spacing w:line="240" w:lineRule="auto" w:after="20" w:before="20"/>
              <w:jc w:val="left"/>
            </w:pPr>
            <w:r>
              <w:rPr>
                <w:rFonts w:ascii="Times New Roman" w:hAnsi="Times New Roman"/>
                <w:sz w:val="18"/>
              </w:rPr>
              <w:t xml:space="preserve">0.226</w:t>
            </w:r>
          </w:p>
        </w:tc>
      </w:tr>
      <w:tr>
        <w:trPr>
          <w:cantSplit/>
        </w:trPr>
        <w:tc>
          <w:tcPr/>
          <w:p>
            <w:pPr>
              <w:pStyle w:val="Compact"/>
              <w:spacing w:line="240" w:lineRule="auto" w:after="20" w:before="20"/>
              <w:jc w:val="left"/>
            </w:pPr>
            <w:r>
              <w:rPr>
                <w:iCs/>
                <w:rFonts w:ascii="Times New Roman" w:hAnsi="Times New Roman"/>
                <w:i/>
                <w:sz w:val="18"/>
              </w:rPr>
              <w:t xml:space="preserve">TSHR</w:t>
            </w:r>
          </w:p>
        </w:tc>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0.10 (0.04–0.24)</w:t>
            </w:r>
          </w:p>
        </w:tc>
        <w:tc>
          <w:tcPr/>
          <w:p>
            <w:pPr>
              <w:pStyle w:val="Compact"/>
              <w:spacing w:line="240" w:lineRule="auto" w:after="20" w:before="20"/>
              <w:jc w:val="left"/>
            </w:pPr>
            <w:r>
              <w:rPr>
                <w:bCs/>
                <w:rFonts w:ascii="Times New Roman" w:hAnsi="Times New Roman"/>
                <w:b/>
                <w:sz w:val="18"/>
              </w:rPr>
              <w:t xml:space="preserve">2.82×10⁻⁷</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0.014</w:t>
            </w:r>
          </w:p>
        </w:tc>
        <w:tc>
          <w:tcPr/>
          <w:p>
            <w:pPr>
              <w:pStyle w:val="Compact"/>
              <w:spacing w:line="240" w:lineRule="auto" w:after="20" w:before="20"/>
              <w:jc w:val="left"/>
            </w:pPr>
            <w:r>
              <w:rPr>
                <w:bCs/>
                <w:rFonts w:ascii="Times New Roman" w:hAnsi="Times New Roman"/>
                <w:b/>
                <w:sz w:val="18"/>
              </w:rPr>
              <w:t xml:space="preserve">0.986</w:t>
            </w:r>
          </w:p>
        </w:tc>
      </w:tr>
      <w:tr>
        <w:trPr>
          <w:cantSplit/>
        </w:trPr>
        <w:tc>
          <w:tcPr/>
          <w:p>
            <w:pPr>
              <w:pStyle w:val="Compact"/>
              <w:spacing w:line="240" w:lineRule="auto" w:after="20" w:before="20"/>
              <w:jc w:val="left"/>
            </w:pPr>
            <w:r>
              <w:rPr>
                <w:iCs/>
                <w:rFonts w:ascii="Times New Roman" w:hAnsi="Times New Roman"/>
                <w:i/>
                <w:sz w:val="18"/>
              </w:rPr>
              <w:t xml:space="preserve">TSHR</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0.15 (0.06–0.39)</w:t>
            </w:r>
          </w:p>
        </w:tc>
        <w:tc>
          <w:tcPr/>
          <w:p>
            <w:pPr>
              <w:pStyle w:val="Compact"/>
              <w:spacing w:line="240" w:lineRule="auto" w:after="20" w:before="20"/>
              <w:jc w:val="left"/>
            </w:pPr>
            <w:r>
              <w:rPr>
                <w:bCs/>
                <w:rFonts w:ascii="Times New Roman" w:hAnsi="Times New Roman"/>
                <w:b/>
                <w:sz w:val="18"/>
              </w:rPr>
              <w:t xml:space="preserve">9.02×10⁻⁵</w:t>
            </w:r>
          </w:p>
        </w:tc>
        <w:tc>
          <w:tcPr/>
          <w:p>
            <w:pPr>
              <w:pStyle w:val="Compact"/>
              <w:spacing w:line="240" w:lineRule="auto" w:after="20" w:before="20"/>
              <w:jc w:val="left"/>
            </w:pPr>
            <w:r>
              <w:rPr>
                <w:rFonts w:ascii="Times New Roman" w:hAnsi="Times New Roman"/>
                <w:sz w:val="18"/>
              </w:rPr>
              <w:t xml:space="preserve">0.027</w:t>
            </w:r>
          </w:p>
        </w:tc>
        <w:tc>
          <w:tcPr/>
          <w:p>
            <w:pPr>
              <w:pStyle w:val="Compact"/>
              <w:spacing w:line="240" w:lineRule="auto" w:after="20" w:before="20"/>
              <w:jc w:val="left"/>
            </w:pPr>
            <w:r>
              <w:rPr>
                <w:rFonts w:ascii="Times New Roman" w:hAnsi="Times New Roman"/>
                <w:sz w:val="18"/>
              </w:rPr>
              <w:t xml:space="preserve">0.082</w:t>
            </w:r>
          </w:p>
        </w:tc>
        <w:tc>
          <w:tcPr/>
          <w:p>
            <w:pPr>
              <w:pStyle w:val="Compact"/>
              <w:spacing w:line="240" w:lineRule="auto" w:after="20" w:before="20"/>
              <w:jc w:val="left"/>
            </w:pPr>
            <w:r>
              <w:rPr>
                <w:bCs/>
                <w:rFonts w:ascii="Times New Roman" w:hAnsi="Times New Roman"/>
                <w:b/>
                <w:sz w:val="18"/>
              </w:rPr>
              <w:t xml:space="preserve">0.891</w:t>
            </w:r>
          </w:p>
        </w:tc>
      </w:tr>
      <w:tr>
        <w:trPr>
          <w:cantSplit/>
        </w:trPr>
        <w:tc>
          <w:tcPr/>
          <w:p>
            <w:pPr>
              <w:pStyle w:val="Compact"/>
              <w:spacing w:line="240" w:lineRule="auto" w:after="20" w:before="20"/>
              <w:jc w:val="left"/>
            </w:pPr>
            <w:r>
              <w:rPr>
                <w:iCs/>
                <w:rFonts w:ascii="Times New Roman" w:hAnsi="Times New Roman"/>
                <w:i/>
                <w:sz w:val="18"/>
              </w:rPr>
              <w:t xml:space="preserve">IGF1R</w:t>
            </w:r>
          </w:p>
        </w:tc>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4</w:t>
            </w:r>
          </w:p>
        </w:tc>
        <w:tc>
          <w:tcPr/>
          <w:p>
            <w:pPr>
              <w:pStyle w:val="Compact"/>
              <w:spacing w:line="240" w:lineRule="auto" w:after="20" w:before="20"/>
              <w:jc w:val="left"/>
            </w:pPr>
            <w:r>
              <w:rPr>
                <w:rFonts w:ascii="Times New Roman" w:hAnsi="Times New Roman"/>
                <w:sz w:val="18"/>
              </w:rPr>
              <w:t xml:space="preserve">1.56 (1.07–2.28)</w:t>
            </w:r>
          </w:p>
        </w:tc>
        <w:tc>
          <w:tcPr/>
          <w:p>
            <w:pPr>
              <w:pStyle w:val="Compact"/>
              <w:spacing w:line="240" w:lineRule="auto" w:after="20" w:before="20"/>
              <w:jc w:val="left"/>
            </w:pPr>
            <w:r>
              <w:rPr>
                <w:bCs/>
                <w:rFonts w:ascii="Times New Roman" w:hAnsi="Times New Roman"/>
                <w:b/>
                <w:sz w:val="18"/>
              </w:rPr>
              <w:t xml:space="preserve">0.0212</w:t>
            </w:r>
          </w:p>
        </w:tc>
        <w:tc>
          <w:tcPr/>
          <w:p>
            <w:pPr>
              <w:pStyle w:val="Compact"/>
              <w:spacing w:line="240" w:lineRule="auto" w:after="20" w:before="20"/>
              <w:jc w:val="left"/>
            </w:pPr>
            <w:r>
              <w:rPr>
                <w:rFonts w:ascii="Times New Roman" w:hAnsi="Times New Roman"/>
                <w:sz w:val="18"/>
              </w:rPr>
              <w:t xml:space="preserve">0.690</w:t>
            </w:r>
          </w:p>
        </w:tc>
        <w:tc>
          <w:tcPr/>
          <w:p>
            <w:pPr>
              <w:pStyle w:val="Compact"/>
              <w:spacing w:line="240" w:lineRule="auto" w:after="20" w:before="20"/>
              <w:jc w:val="left"/>
            </w:pPr>
            <w:r>
              <w:rPr>
                <w:rFonts w:ascii="Times New Roman" w:hAnsi="Times New Roman"/>
                <w:sz w:val="18"/>
              </w:rPr>
              <w:t xml:space="preserve">0.236</w:t>
            </w:r>
          </w:p>
        </w:tc>
        <w:tc>
          <w:tcPr/>
          <w:p>
            <w:pPr>
              <w:pStyle w:val="Compact"/>
              <w:spacing w:line="240" w:lineRule="auto" w:after="20" w:before="20"/>
              <w:jc w:val="left"/>
            </w:pPr>
            <w:r>
              <w:rPr>
                <w:rFonts w:ascii="Times New Roman" w:hAnsi="Times New Roman"/>
                <w:sz w:val="18"/>
              </w:rPr>
              <w:t xml:space="preserve">0.073</w:t>
            </w:r>
          </w:p>
        </w:tc>
      </w:tr>
      <w:tr>
        <w:trPr>
          <w:cantSplit/>
        </w:trPr>
        <w:tc>
          <w:tcPr/>
          <w:p>
            <w:pPr>
              <w:pStyle w:val="Compact"/>
              <w:spacing w:line="240" w:lineRule="auto" w:after="20" w:before="20"/>
              <w:jc w:val="left"/>
            </w:pPr>
            <w:r>
              <w:rPr>
                <w:iCs/>
                <w:rFonts w:ascii="Times New Roman" w:hAnsi="Times New Roman"/>
                <w:i/>
                <w:sz w:val="18"/>
              </w:rPr>
              <w:t xml:space="preserve">IGF1R</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3</w:t>
            </w:r>
          </w:p>
        </w:tc>
        <w:tc>
          <w:tcPr/>
          <w:p>
            <w:pPr>
              <w:pStyle w:val="Compact"/>
              <w:spacing w:line="240" w:lineRule="auto" w:after="20" w:before="20"/>
              <w:jc w:val="left"/>
            </w:pPr>
            <w:r>
              <w:rPr>
                <w:rFonts w:ascii="Times New Roman" w:hAnsi="Times New Roman"/>
                <w:sz w:val="18"/>
              </w:rPr>
              <w:t xml:space="preserve">1.07 (0.86–1.33)</w:t>
            </w:r>
          </w:p>
        </w:tc>
        <w:tc>
          <w:tcPr/>
          <w:p>
            <w:pPr>
              <w:pStyle w:val="Compact"/>
              <w:spacing w:line="240" w:lineRule="auto" w:after="20" w:before="20"/>
              <w:jc w:val="left"/>
            </w:pPr>
            <w:r>
              <w:rPr>
                <w:rFonts w:ascii="Times New Roman" w:hAnsi="Times New Roman"/>
                <w:sz w:val="18"/>
              </w:rPr>
              <w:t xml:space="preserve">0.539</w:t>
            </w:r>
          </w:p>
        </w:tc>
        <w:tc>
          <w:tcPr/>
          <w:p>
            <w:pPr>
              <w:pStyle w:val="Compact"/>
              <w:spacing w:line="240" w:lineRule="auto" w:after="20" w:before="20"/>
              <w:jc w:val="left"/>
            </w:pPr>
            <w:r>
              <w:rPr>
                <w:rFonts w:ascii="Times New Roman" w:hAnsi="Times New Roman"/>
                <w:sz w:val="18"/>
              </w:rPr>
              <w:t xml:space="preserve">0.731</w:t>
            </w:r>
          </w:p>
        </w:tc>
        <w:tc>
          <w:tcPr/>
          <w:p>
            <w:pPr>
              <w:pStyle w:val="Compact"/>
              <w:spacing w:line="240" w:lineRule="auto" w:after="20" w:before="20"/>
              <w:jc w:val="left"/>
            </w:pPr>
            <w:r>
              <w:rPr>
                <w:rFonts w:ascii="Times New Roman" w:hAnsi="Times New Roman"/>
                <w:sz w:val="18"/>
              </w:rPr>
              <w:t xml:space="preserve">0.259</w:t>
            </w:r>
          </w:p>
        </w:tc>
        <w:tc>
          <w:tcPr/>
          <w:p>
            <w:pPr>
              <w:pStyle w:val="Compact"/>
              <w:spacing w:line="240" w:lineRule="auto" w:after="20" w:before="20"/>
              <w:jc w:val="left"/>
            </w:pPr>
            <w:r>
              <w:rPr>
                <w:rFonts w:ascii="Times New Roman" w:hAnsi="Times New Roman"/>
                <w:sz w:val="18"/>
              </w:rPr>
              <w:t xml:space="preserve">0.010</w:t>
            </w:r>
          </w:p>
        </w:tc>
      </w:tr>
      <w:tr>
        <w:trPr>
          <w:cantSplit/>
        </w:trPr>
        <w:tc>
          <w:tcPr/>
          <w:p>
            <w:pPr>
              <w:pStyle w:val="Compact"/>
              <w:spacing w:line="240" w:lineRule="auto" w:after="20" w:before="20"/>
              <w:jc w:val="left"/>
            </w:pPr>
            <w:r>
              <w:rPr>
                <w:iCs/>
                <w:rFonts w:ascii="Times New Roman" w:hAnsi="Times New Roman"/>
                <w:i/>
                <w:sz w:val="18"/>
              </w:rPr>
              <w:t xml:space="preserve">IGF1R</w:t>
            </w:r>
          </w:p>
        </w:tc>
        <w:tc>
          <w:tcPr/>
          <w:p>
            <w:pPr>
              <w:pStyle w:val="Compact"/>
              <w:spacing w:line="240" w:lineRule="auto" w:after="20" w:before="20"/>
              <w:jc w:val="left"/>
            </w:pPr>
            <w:r>
              <w:rPr>
                <w:rFonts w:ascii="Times New Roman" w:hAnsi="Times New Roman"/>
                <w:sz w:val="18"/>
              </w:rPr>
              <w:t xml:space="preserve">UKB HT</w:t>
            </w:r>
          </w:p>
        </w:tc>
        <w:tc>
          <w:tcPr/>
          <w:p>
            <w:pPr>
              <w:pStyle w:val="Compact"/>
              <w:spacing w:line="240" w:lineRule="auto" w:after="20" w:before="20"/>
              <w:jc w:val="left"/>
            </w:pPr>
            <w:r>
              <w:rPr>
                <w:rFonts w:ascii="Times New Roman" w:hAnsi="Times New Roman"/>
                <w:sz w:val="18"/>
              </w:rPr>
              <w:t xml:space="preserve">4</w:t>
            </w:r>
          </w:p>
        </w:tc>
        <w:tc>
          <w:tcPr/>
          <w:p>
            <w:pPr>
              <w:pStyle w:val="Compact"/>
              <w:spacing w:line="240" w:lineRule="auto" w:after="20" w:before="20"/>
              <w:jc w:val="left"/>
            </w:pPr>
            <w:r>
              <w:rPr>
                <w:rFonts w:ascii="Times New Roman" w:hAnsi="Times New Roman"/>
                <w:sz w:val="18"/>
              </w:rPr>
              <w:t xml:space="preserve">1.35 (1.07–1.70)</w:t>
            </w:r>
          </w:p>
        </w:tc>
        <w:tc>
          <w:tcPr/>
          <w:p>
            <w:pPr>
              <w:pStyle w:val="Compact"/>
              <w:spacing w:line="240" w:lineRule="auto" w:after="20" w:before="20"/>
              <w:jc w:val="left"/>
            </w:pPr>
            <w:r>
              <w:rPr>
                <w:bCs/>
                <w:rFonts w:ascii="Times New Roman" w:hAnsi="Times New Roman"/>
                <w:b/>
                <w:sz w:val="18"/>
              </w:rPr>
              <w:t xml:space="preserve">0.0117</w:t>
            </w:r>
          </w:p>
        </w:tc>
        <w:tc>
          <w:tcPr/>
          <w:p>
            <w:pPr>
              <w:pStyle w:val="Compact"/>
              <w:spacing w:line="240" w:lineRule="auto" w:after="20" w:before="20"/>
              <w:jc w:val="left"/>
            </w:pPr>
            <w:r>
              <w:rPr>
                <w:rFonts w:ascii="Times New Roman" w:hAnsi="Times New Roman"/>
                <w:sz w:val="18"/>
              </w:rPr>
              <w:t xml:space="preserve">0.400</w:t>
            </w:r>
          </w:p>
        </w:tc>
        <w:tc>
          <w:tcPr/>
          <w:p>
            <w:pPr>
              <w:pStyle w:val="Compact"/>
              <w:spacing w:line="240" w:lineRule="auto" w:after="20" w:before="20"/>
              <w:jc w:val="left"/>
            </w:pPr>
            <w:r>
              <w:rPr>
                <w:rFonts w:ascii="Times New Roman" w:hAnsi="Times New Roman"/>
                <w:sz w:val="18"/>
              </w:rPr>
              <w:t xml:space="preserve">0.196</w:t>
            </w:r>
          </w:p>
        </w:tc>
        <w:tc>
          <w:tcPr/>
          <w:p>
            <w:pPr>
              <w:pStyle w:val="Compact"/>
              <w:spacing w:line="240" w:lineRule="auto" w:after="20" w:before="20"/>
              <w:jc w:val="left"/>
            </w:pPr>
            <w:r>
              <w:rPr>
                <w:rFonts w:ascii="Times New Roman" w:hAnsi="Times New Roman"/>
                <w:sz w:val="18"/>
              </w:rPr>
              <w:t xml:space="preserve">0.404</w:t>
            </w:r>
          </w:p>
        </w:tc>
      </w:tr>
      <w:tr>
        <w:trPr>
          <w:cantSplit/>
        </w:trPr>
        <w:tc>
          <w:tcPr/>
          <w:p>
            <w:pPr>
              <w:pStyle w:val="Compact"/>
              <w:spacing w:line="240" w:lineRule="auto" w:after="20" w:before="20"/>
              <w:jc w:val="left"/>
            </w:pPr>
            <w:r>
              <w:rPr>
                <w:iCs/>
                <w:rFonts w:ascii="Times New Roman" w:hAnsi="Times New Roman"/>
                <w:i/>
                <w:sz w:val="18"/>
              </w:rPr>
              <w:t xml:space="preserve">IGF1R</w:t>
            </w:r>
          </w:p>
        </w:tc>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3</w:t>
            </w:r>
          </w:p>
        </w:tc>
        <w:tc>
          <w:tcPr/>
          <w:p>
            <w:pPr>
              <w:pStyle w:val="Compact"/>
              <w:spacing w:line="240" w:lineRule="auto" w:after="20" w:before="20"/>
              <w:jc w:val="left"/>
            </w:pPr>
            <w:r>
              <w:rPr>
                <w:rFonts w:ascii="Times New Roman" w:hAnsi="Times New Roman"/>
                <w:sz w:val="18"/>
              </w:rPr>
              <w:t xml:space="preserve">1.41 (0.85–2.33)</w:t>
            </w:r>
          </w:p>
        </w:tc>
        <w:tc>
          <w:tcPr/>
          <w:p>
            <w:pPr>
              <w:pStyle w:val="Compact"/>
              <w:spacing w:line="240" w:lineRule="auto" w:after="20" w:before="20"/>
              <w:jc w:val="left"/>
            </w:pPr>
            <w:r>
              <w:rPr>
                <w:rFonts w:ascii="Times New Roman" w:hAnsi="Times New Roman"/>
                <w:sz w:val="18"/>
              </w:rPr>
              <w:t xml:space="preserve">0.182</w:t>
            </w:r>
          </w:p>
        </w:tc>
        <w:tc>
          <w:tcPr/>
          <w:p>
            <w:pPr>
              <w:pStyle w:val="Compact"/>
              <w:spacing w:line="240" w:lineRule="auto" w:after="20" w:before="20"/>
              <w:jc w:val="left"/>
            </w:pPr>
            <w:r>
              <w:rPr>
                <w:rFonts w:ascii="Times New Roman" w:hAnsi="Times New Roman"/>
                <w:sz w:val="18"/>
              </w:rPr>
              <w:t xml:space="preserve">0.623</w:t>
            </w:r>
          </w:p>
        </w:tc>
        <w:tc>
          <w:tcPr/>
          <w:p>
            <w:pPr>
              <w:pStyle w:val="Compact"/>
              <w:spacing w:line="240" w:lineRule="auto" w:after="20" w:before="20"/>
              <w:jc w:val="left"/>
            </w:pPr>
            <w:r>
              <w:rPr>
                <w:rFonts w:ascii="Times New Roman" w:hAnsi="Times New Roman"/>
                <w:sz w:val="18"/>
              </w:rPr>
              <w:t xml:space="preserve">0.346</w:t>
            </w:r>
          </w:p>
        </w:tc>
        <w:tc>
          <w:tcPr/>
          <w:p>
            <w:pPr>
              <w:pStyle w:val="Compact"/>
              <w:spacing w:line="240" w:lineRule="auto" w:after="20" w:before="20"/>
              <w:jc w:val="left"/>
            </w:pPr>
            <w:r>
              <w:rPr>
                <w:rFonts w:ascii="Times New Roman" w:hAnsi="Times New Roman"/>
                <w:sz w:val="18"/>
              </w:rPr>
              <w:t xml:space="preserve">0.032</w:t>
            </w:r>
          </w:p>
        </w:tc>
      </w:tr>
      <w:tr>
        <w:trPr>
          <w:cantSplit/>
        </w:trPr>
        <w:tc>
          <w:tcPr/>
          <w:p>
            <w:pPr>
              <w:pStyle w:val="Compact"/>
              <w:spacing w:line="240" w:lineRule="auto" w:after="20" w:before="20"/>
              <w:jc w:val="left"/>
            </w:pPr>
            <w:r>
              <w:rPr>
                <w:iCs/>
                <w:rFonts w:ascii="Times New Roman" w:hAnsi="Times New Roman"/>
                <w:i/>
                <w:sz w:val="18"/>
              </w:rPr>
              <w:t xml:space="preserve">IGF1R</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3</w:t>
            </w:r>
          </w:p>
        </w:tc>
        <w:tc>
          <w:tcPr/>
          <w:p>
            <w:pPr>
              <w:pStyle w:val="Compact"/>
              <w:spacing w:line="240" w:lineRule="auto" w:after="20" w:before="20"/>
              <w:jc w:val="left"/>
            </w:pPr>
            <w:r>
              <w:rPr>
                <w:rFonts w:ascii="Times New Roman" w:hAnsi="Times New Roman"/>
                <w:sz w:val="18"/>
              </w:rPr>
              <w:t xml:space="preserve">1.52 (0.92–2.49)</w:t>
            </w:r>
          </w:p>
        </w:tc>
        <w:tc>
          <w:tcPr/>
          <w:p>
            <w:pPr>
              <w:pStyle w:val="Compact"/>
              <w:spacing w:line="240" w:lineRule="auto" w:after="20" w:before="20"/>
              <w:jc w:val="left"/>
            </w:pPr>
            <w:r>
              <w:rPr>
                <w:rFonts w:ascii="Times New Roman" w:hAnsi="Times New Roman"/>
                <w:sz w:val="18"/>
              </w:rPr>
              <w:t xml:space="preserve">0.0996</w:t>
            </w:r>
          </w:p>
        </w:tc>
        <w:tc>
          <w:tcPr/>
          <w:p>
            <w:pPr>
              <w:pStyle w:val="Compact"/>
              <w:spacing w:line="240" w:lineRule="auto" w:after="20" w:before="20"/>
              <w:jc w:val="left"/>
            </w:pPr>
            <w:r>
              <w:rPr>
                <w:rFonts w:ascii="Times New Roman" w:hAnsi="Times New Roman"/>
                <w:sz w:val="18"/>
              </w:rPr>
              <w:t xml:space="preserve">0.571</w:t>
            </w:r>
          </w:p>
        </w:tc>
        <w:tc>
          <w:tcPr/>
          <w:p>
            <w:pPr>
              <w:pStyle w:val="Compact"/>
              <w:spacing w:line="240" w:lineRule="auto" w:after="20" w:before="20"/>
              <w:jc w:val="left"/>
            </w:pPr>
            <w:r>
              <w:rPr>
                <w:rFonts w:ascii="Times New Roman" w:hAnsi="Times New Roman"/>
                <w:sz w:val="18"/>
              </w:rPr>
              <w:t xml:space="preserve">0.391</w:t>
            </w:r>
          </w:p>
        </w:tc>
        <w:tc>
          <w:tcPr/>
          <w:p>
            <w:pPr>
              <w:pStyle w:val="Compact"/>
              <w:spacing w:line="240" w:lineRule="auto" w:after="20" w:before="20"/>
              <w:jc w:val="left"/>
            </w:pPr>
            <w:r>
              <w:rPr>
                <w:rFonts w:ascii="Times New Roman" w:hAnsi="Times New Roman"/>
                <w:sz w:val="18"/>
              </w:rPr>
              <w:t xml:space="preserve">0.038</w:t>
            </w:r>
          </w:p>
        </w:tc>
      </w:tr>
      <w:tr>
        <w:trPr>
          <w:cantSplit/>
        </w:trPr>
        <w:tc>
          <w:tcPr/>
          <w:p>
            <w:pPr>
              <w:pStyle w:val="Compact"/>
              <w:spacing w:line="240" w:lineRule="auto" w:after="20" w:before="20"/>
              <w:jc w:val="left"/>
            </w:pPr>
            <w:r>
              <w:rPr>
                <w:iCs/>
                <w:rFonts w:ascii="Times New Roman" w:hAnsi="Times New Roman"/>
                <w:i/>
                <w:sz w:val="18"/>
              </w:rPr>
              <w:t xml:space="preserve">CTLA4</w:t>
            </w:r>
          </w:p>
        </w:tc>
        <w:tc>
          <w:tcPr/>
          <w:p>
            <w:pPr>
              <w:pStyle w:val="Compact"/>
              <w:spacing w:line="240" w:lineRule="auto" w:after="20" w:before="20"/>
              <w:jc w:val="left"/>
            </w:pPr>
            <w:r>
              <w:rPr>
                <w:rFonts w:ascii="Times New Roman" w:hAnsi="Times New Roman"/>
                <w:sz w:val="18"/>
              </w:rPr>
              <w:t xml:space="preserve">BBJ GD</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0.18 (0.11–0.27)</w:t>
            </w:r>
          </w:p>
        </w:tc>
        <w:tc>
          <w:tcPr/>
          <w:p>
            <w:pPr>
              <w:pStyle w:val="Compact"/>
              <w:spacing w:line="240" w:lineRule="auto" w:after="20" w:before="20"/>
              <w:jc w:val="left"/>
            </w:pPr>
            <w:r>
              <w:rPr>
                <w:bCs/>
                <w:rFonts w:ascii="Times New Roman" w:hAnsi="Times New Roman"/>
                <w:b/>
                <w:sz w:val="18"/>
              </w:rPr>
              <w:t xml:space="preserve">5.45×10⁻¹⁵</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0.799</w:t>
            </w:r>
          </w:p>
        </w:tc>
        <w:tc>
          <w:tcPr/>
          <w:p>
            <w:pPr>
              <w:pStyle w:val="Compact"/>
              <w:spacing w:line="240" w:lineRule="auto" w:after="20" w:before="20"/>
              <w:jc w:val="left"/>
            </w:pPr>
            <w:r>
              <w:rPr>
                <w:rFonts w:ascii="Times New Roman" w:hAnsi="Times New Roman"/>
                <w:sz w:val="18"/>
              </w:rPr>
              <w:t xml:space="preserve">0.201</w:t>
            </w:r>
          </w:p>
        </w:tc>
      </w:tr>
      <w:tr>
        <w:trPr>
          <w:cantSplit/>
        </w:trPr>
        <w:tc>
          <w:tcPr/>
          <w:p>
            <w:pPr>
              <w:pStyle w:val="Compact"/>
              <w:spacing w:line="240" w:lineRule="auto" w:after="20" w:before="20"/>
              <w:jc w:val="left"/>
            </w:pPr>
            <w:r>
              <w:rPr>
                <w:iCs/>
                <w:rFonts w:ascii="Times New Roman" w:hAnsi="Times New Roman"/>
                <w:i/>
                <w:sz w:val="18"/>
              </w:rPr>
              <w:t xml:space="preserve">CTLA4</w:t>
            </w:r>
          </w:p>
        </w:tc>
        <w:tc>
          <w:tcPr/>
          <w:p>
            <w:pPr>
              <w:pStyle w:val="Compact"/>
              <w:spacing w:line="240" w:lineRule="auto" w:after="20" w:before="20"/>
              <w:jc w:val="left"/>
            </w:pPr>
            <w:r>
              <w:rPr>
                <w:rFonts w:ascii="Times New Roman" w:hAnsi="Times New Roman"/>
                <w:sz w:val="18"/>
              </w:rPr>
              <w:t xml:space="preserve">FinnGen GD</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0.17 (0.08–0.36)</w:t>
            </w:r>
          </w:p>
        </w:tc>
        <w:tc>
          <w:tcPr/>
          <w:p>
            <w:pPr>
              <w:pStyle w:val="Compact"/>
              <w:spacing w:line="240" w:lineRule="auto" w:after="20" w:before="20"/>
              <w:jc w:val="left"/>
            </w:pPr>
            <w:r>
              <w:rPr>
                <w:bCs/>
                <w:rFonts w:ascii="Times New Roman" w:hAnsi="Times New Roman"/>
                <w:b/>
                <w:sz w:val="18"/>
              </w:rPr>
              <w:t xml:space="preserve">2.15×10⁻⁶</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0.746</w:t>
            </w:r>
          </w:p>
        </w:tc>
        <w:tc>
          <w:tcPr/>
          <w:p>
            <w:pPr>
              <w:pStyle w:val="Compact"/>
              <w:spacing w:line="240" w:lineRule="auto" w:after="20" w:before="20"/>
              <w:jc w:val="left"/>
            </w:pPr>
            <w:r>
              <w:rPr>
                <w:rFonts w:ascii="Times New Roman" w:hAnsi="Times New Roman"/>
                <w:sz w:val="18"/>
              </w:rPr>
              <w:t xml:space="preserve">0.254</w:t>
            </w:r>
          </w:p>
        </w:tc>
      </w:tr>
      <w:tr>
        <w:trPr>
          <w:cantSplit/>
        </w:trPr>
        <w:tc>
          <w:tcPr/>
          <w:p>
            <w:pPr>
              <w:pStyle w:val="Compact"/>
              <w:spacing w:line="240" w:lineRule="auto" w:after="20" w:before="20"/>
              <w:jc w:val="left"/>
            </w:pPr>
            <w:r>
              <w:rPr>
                <w:iCs/>
                <w:rFonts w:ascii="Times New Roman" w:hAnsi="Times New Roman"/>
                <w:i/>
                <w:sz w:val="18"/>
              </w:rPr>
              <w:t xml:space="preserve">CTLA4</w:t>
            </w:r>
          </w:p>
        </w:tc>
        <w:tc>
          <w:tcPr/>
          <w:p>
            <w:pPr>
              <w:pStyle w:val="Compact"/>
              <w:spacing w:line="240" w:lineRule="auto" w:after="20" w:before="20"/>
              <w:jc w:val="left"/>
            </w:pPr>
            <w:r>
              <w:rPr>
                <w:rFonts w:ascii="Times New Roman" w:hAnsi="Times New Roman"/>
                <w:sz w:val="18"/>
              </w:rPr>
              <w:t xml:space="preserve">UKB HT</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0.21 (0.08–0.57)</w:t>
            </w:r>
          </w:p>
        </w:tc>
        <w:tc>
          <w:tcPr/>
          <w:p>
            <w:pPr>
              <w:pStyle w:val="Compact"/>
              <w:spacing w:line="240" w:lineRule="auto" w:after="20" w:before="20"/>
              <w:jc w:val="left"/>
            </w:pPr>
            <w:r>
              <w:rPr>
                <w:bCs/>
                <w:rFonts w:ascii="Times New Roman" w:hAnsi="Times New Roman"/>
                <w:b/>
                <w:sz w:val="18"/>
              </w:rPr>
              <w:t xml:space="preserve">0.0022</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0.047</w:t>
            </w:r>
          </w:p>
        </w:tc>
        <w:tc>
          <w:tcPr/>
          <w:p>
            <w:pPr>
              <w:pStyle w:val="Compact"/>
              <w:spacing w:line="240" w:lineRule="auto" w:after="20" w:before="20"/>
              <w:jc w:val="left"/>
            </w:pPr>
            <w:r>
              <w:rPr>
                <w:bCs/>
                <w:rFonts w:ascii="Times New Roman" w:hAnsi="Times New Roman"/>
                <w:b/>
                <w:sz w:val="18"/>
              </w:rPr>
              <w:t xml:space="preserve">0.953</w:t>
            </w:r>
          </w:p>
        </w:tc>
      </w:tr>
      <w:tr>
        <w:trPr>
          <w:cantSplit/>
        </w:trPr>
        <w:tc>
          <w:tcPr/>
          <w:p>
            <w:pPr>
              <w:pStyle w:val="Compact"/>
              <w:spacing w:line="240" w:lineRule="auto" w:after="20" w:before="20"/>
              <w:jc w:val="left"/>
            </w:pPr>
            <w:r>
              <w:rPr>
                <w:iCs/>
                <w:rFonts w:ascii="Times New Roman" w:hAnsi="Times New Roman"/>
                <w:i/>
                <w:sz w:val="18"/>
              </w:rPr>
              <w:t xml:space="preserve">CTLA4</w:t>
            </w:r>
          </w:p>
        </w:tc>
        <w:tc>
          <w:tcPr/>
          <w:p>
            <w:pPr>
              <w:pStyle w:val="Compact"/>
              <w:spacing w:line="240" w:lineRule="auto" w:after="20" w:before="20"/>
              <w:jc w:val="left"/>
            </w:pPr>
            <w:r>
              <w:rPr>
                <w:rFonts w:ascii="Times New Roman" w:hAnsi="Times New Roman"/>
                <w:sz w:val="18"/>
              </w:rPr>
              <w:t xml:space="preserve">FinnGen GO</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0.17 (0.04–0.68)</w:t>
            </w:r>
          </w:p>
        </w:tc>
        <w:tc>
          <w:tcPr/>
          <w:p>
            <w:pPr>
              <w:pStyle w:val="Compact"/>
              <w:spacing w:line="240" w:lineRule="auto" w:after="20" w:before="20"/>
              <w:jc w:val="left"/>
            </w:pPr>
            <w:r>
              <w:rPr>
                <w:bCs/>
                <w:rFonts w:ascii="Times New Roman" w:hAnsi="Times New Roman"/>
                <w:b/>
                <w:sz w:val="18"/>
              </w:rPr>
              <w:t xml:space="preserve">0.0118</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0.022</w:t>
            </w:r>
          </w:p>
        </w:tc>
        <w:tc>
          <w:tcPr/>
          <w:p>
            <w:pPr>
              <w:pStyle w:val="Compact"/>
              <w:spacing w:line="240" w:lineRule="auto" w:after="20" w:before="20"/>
              <w:jc w:val="left"/>
            </w:pPr>
            <w:r>
              <w:rPr>
                <w:bCs/>
                <w:rFonts w:ascii="Times New Roman" w:hAnsi="Times New Roman"/>
                <w:b/>
                <w:sz w:val="18"/>
              </w:rPr>
              <w:t xml:space="preserve">0.978</w:t>
            </w:r>
          </w:p>
        </w:tc>
      </w:tr>
      <w:tr>
        <w:trPr>
          <w:cantSplit/>
        </w:trPr>
        <w:tc>
          <w:tcPr/>
          <w:p>
            <w:pPr>
              <w:pStyle w:val="Compact"/>
              <w:spacing w:line="240" w:lineRule="auto" w:after="20" w:before="20"/>
              <w:jc w:val="left"/>
            </w:pPr>
            <w:r>
              <w:rPr>
                <w:iCs/>
                <w:rFonts w:ascii="Times New Roman" w:hAnsi="Times New Roman"/>
                <w:i/>
                <w:sz w:val="18"/>
              </w:rPr>
              <w:t xml:space="preserve">CTLA4</w:t>
            </w:r>
          </w:p>
        </w:tc>
        <w:tc>
          <w:tcPr/>
          <w:p>
            <w:pPr>
              <w:pStyle w:val="Compact"/>
              <w:spacing w:line="240" w:lineRule="auto" w:after="20" w:before="20"/>
              <w:jc w:val="left"/>
            </w:pPr>
            <w:r>
              <w:rPr>
                <w:rFonts w:ascii="Times New Roman" w:hAnsi="Times New Roman"/>
                <w:sz w:val="18"/>
              </w:rPr>
              <w:t xml:space="preserve">FinnGen GO strict</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0.17 (0.05–0.64)</w:t>
            </w:r>
          </w:p>
        </w:tc>
        <w:tc>
          <w:tcPr/>
          <w:p>
            <w:pPr>
              <w:pStyle w:val="Compact"/>
              <w:spacing w:line="240" w:lineRule="auto" w:after="20" w:before="20"/>
              <w:jc w:val="left"/>
            </w:pPr>
            <w:r>
              <w:rPr>
                <w:bCs/>
                <w:rFonts w:ascii="Times New Roman" w:hAnsi="Times New Roman"/>
                <w:b/>
                <w:sz w:val="18"/>
              </w:rPr>
              <w:t xml:space="preserve">0.00888</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0.021</w:t>
            </w:r>
          </w:p>
        </w:tc>
        <w:tc>
          <w:tcPr/>
          <w:p>
            <w:pPr>
              <w:pStyle w:val="Compact"/>
              <w:spacing w:line="240" w:lineRule="auto" w:after="20" w:before="20"/>
              <w:jc w:val="left"/>
            </w:pPr>
            <w:r>
              <w:rPr>
                <w:bCs/>
                <w:rFonts w:ascii="Times New Roman" w:hAnsi="Times New Roman"/>
                <w:b/>
                <w:sz w:val="18"/>
              </w:rPr>
              <w:t xml:space="preserve">0.979</w:t>
            </w:r>
          </w:p>
        </w:tc>
      </w:tr>
    </w:tbl>
    <w:p>
      <w:pPr>
        <w:pStyle w:val="BodyText"/>
        <w:spacing w:line="264" w:lineRule="auto" w:after="120"/>
      </w:pPr>
      <w:r>
        <w:rPr>
          <w:color w:val="000000"/>
          <w:sz w:val="18"/>
        </w:rPr>
        <w:t xml:space="preserve">GD, Graves disease; GO, Graves ophthalmopathy; HT, hyperthyroidism/thyrotoxicosis. IVs, instrumental variables (retained genetic variants). Wald ratio for one IV; random-effects IVW for multiple IVs. ORs are per approximately one SD higher reconstructed blood expression. Bold</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values denote nominal</w:t>
      </w:r>
      <w:r>
        <w:rPr>
          <w:color w:val="000000"/>
          <w:sz w:val="18"/>
        </w:rPr>
        <w:t xml:space="preserve"> </w:t>
      </w:r>
      <w:r>
        <w:rPr>
          <w:iCs/>
          <w:i/>
          <w:color w:val="000000"/>
          <w:sz w:val="18"/>
        </w:rPr>
        <w:t xml:space="preserve">P</w:t>
      </w:r>
      <w:r>
        <w:rPr>
          <w:color w:val="000000"/>
          <w:sz w:val="18"/>
        </w:rPr>
        <w:t xml:space="preserve"> </w:t>
      </w:r>
      <w:r>
        <w:rPr>
          <w:color w:val="000000"/>
          <w:sz w:val="18"/>
        </w:rPr>
        <w:t xml:space="preserve">&lt; 0.05 only. Discovery uses 0.05/2,544. PP.H2 supports an expression-only signal; PP.H3 supports distinct variants; PP.H4 supports one shared variant. Bold PP.H4 denotes ≥0.80 under p12 = 10⁻⁵. These are probabilities, not</w:t>
      </w:r>
      <w:r>
        <w:rPr>
          <w:color w:val="000000"/>
          <w:sz w:val="18"/>
        </w:rPr>
        <w:t xml:space="preserve"> </w:t>
      </w:r>
      <w:r>
        <w:rPr>
          <w:iCs/>
          <w:i/>
          <w:color w:val="000000"/>
          <w:sz w:val="18"/>
        </w:rPr>
        <w:t xml:space="preserve">P</w:t>
      </w:r>
      <w:r>
        <w:rPr>
          <w:color w:val="000000"/>
          <w:sz w:val="18"/>
        </w:rPr>
        <w:t xml:space="preserve"> </w:t>
      </w:r>
      <w:r>
        <w:rPr>
          <w:color w:val="000000"/>
          <w:sz w:val="18"/>
        </w:rPr>
        <w:t xml:space="preserve">values.</w:t>
      </w:r>
      <w:r>
        <w:rPr>
          <w:color w:val="000000"/>
          <w:sz w:val="18"/>
        </w:rPr>
        <w:t xml:space="preserve"> </w:t>
      </w:r>
      <w:r>
        <w:rPr>
          <w:iCs/>
          <w:i/>
          <w:color w:val="000000"/>
          <w:sz w:val="18"/>
        </w:rPr>
        <w:t xml:space="preserve">CTLA4</w:t>
      </w:r>
      <w:r>
        <w:rPr>
          <w:color w:val="000000"/>
          <w:sz w:val="18"/>
        </w:rPr>
        <w:t xml:space="preserve"> </w:t>
      </w:r>
      <w:r>
        <w:rPr>
          <w:color w:val="000000"/>
          <w:sz w:val="18"/>
        </w:rPr>
        <w:t xml:space="preserve">multi-IV results are concentrated in rs13030124;</w:t>
      </w:r>
      <w:r>
        <w:rPr>
          <w:color w:val="000000"/>
          <w:sz w:val="18"/>
        </w:rPr>
        <w:t xml:space="preserve"> </w:t>
      </w:r>
      <w:r>
        <w:rPr>
          <w:iCs/>
          <w:i/>
          <w:color w:val="000000"/>
          <w:sz w:val="18"/>
        </w:rPr>
        <w:t xml:space="preserve">TSHR</w:t>
      </w:r>
      <w:r>
        <w:rPr>
          <w:color w:val="000000"/>
          <w:sz w:val="18"/>
        </w:rPr>
        <w:t xml:space="preserve"> </w:t>
      </w:r>
      <w:r>
        <w:rPr>
          <w:color w:val="000000"/>
          <w:sz w:val="18"/>
        </w:rPr>
        <w:t xml:space="preserve">is single-IV in all datasets.</w:t>
      </w:r>
    </w:p>
    <w:bookmarkEnd w:id="21"/>
    <w:bookmarkStart w:id="25" w:name="table-3.-screen-and-supporting-analyses"/>
    <w:p>
      <w:pPr>
        <w:pStyle w:val="Heading2"/>
        <w:pageBreakBefore/>
      </w:pPr>
      <w:r>
        <w:rPr>
          <w:color w:val="000000"/>
        </w:rPr>
        <w:t xml:space="preserve">Table 3. Screen and supporting analyses</w:t>
      </w:r>
    </w:p>
    <w:bookmarkStart w:id="22" w:name="X3499dbbf80eb550f389ea95c0a786530fbe335b"/>
    <w:p>
      <w:pPr>
        <w:pStyle w:val="Heading3"/>
      </w:pPr>
      <w:r>
        <w:rPr>
          <w:color w:val="000000"/>
        </w:rPr>
        <w:t xml:space="preserve">A. BBJ discoveries and FinnGen GD comparison</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1131"/>
        <w:gridCol w:w="1131"/>
        <w:gridCol w:w="1131"/>
        <w:gridCol w:w="1131"/>
        <w:gridCol w:w="1131"/>
        <w:gridCol w:w="1131"/>
        <w:gridCol w:w="1131"/>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BBJ discovery gene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BBJ OR (95% CI)</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BBJ</w:t>
            </w:r>
            <w:r>
              <w:rPr>
                <w:rFonts w:ascii="Times New Roman" w:hAnsi="Times New Roman"/>
                <w:b/>
                <w:sz w:val="18"/>
              </w:rPr>
              <w:t xml:space="preserve"> </w:t>
            </w:r>
            <w:r>
              <w:rPr>
                <w:iCs/>
                <w:rFonts w:ascii="Times New Roman" w:hAnsi="Times New Roman"/>
                <w:b/>
                <w:i/>
                <w:sz w:val="18"/>
              </w:rPr>
              <w:t xml:space="preserve">P</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FinnGen GD OR (95% CI)</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FinnGen GD</w:t>
            </w:r>
            <w:r>
              <w:rPr>
                <w:rFonts w:ascii="Times New Roman" w:hAnsi="Times New Roman"/>
                <w:b/>
                <w:sz w:val="18"/>
              </w:rPr>
              <w:t xml:space="preserve"> </w:t>
            </w:r>
            <w:r>
              <w:rPr>
                <w:iCs/>
                <w:rFonts w:ascii="Times New Roman" w:hAnsi="Times New Roman"/>
                <w:b/>
                <w:i/>
                <w:sz w:val="18"/>
              </w:rPr>
              <w:t xml:space="preserve">P</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Focused support</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GD PP.H4</w:t>
            </w:r>
          </w:p>
        </w:tc>
      </w:tr>
      <w:tr>
        <w:trPr>
          <w:cantSplit/>
        </w:trPr>
        <w:tc>
          <w:tcPr/>
          <w:p>
            <w:pPr>
              <w:pStyle w:val="Compact"/>
              <w:spacing w:line="240" w:lineRule="auto" w:after="20" w:before="20"/>
              <w:jc w:val="left"/>
            </w:pPr>
            <w:r>
              <w:rPr>
                <w:iCs/>
                <w:rFonts w:ascii="Times New Roman" w:hAnsi="Times New Roman"/>
                <w:i/>
                <w:sz w:val="18"/>
              </w:rPr>
              <w:t xml:space="preserve">HLA-A</w:t>
            </w:r>
          </w:p>
        </w:tc>
        <w:tc>
          <w:tcPr/>
          <w:p>
            <w:pPr>
              <w:pStyle w:val="Compact"/>
              <w:spacing w:line="240" w:lineRule="auto" w:after="20" w:before="20"/>
              <w:jc w:val="left"/>
            </w:pPr>
            <w:r>
              <w:rPr>
                <w:rFonts w:ascii="Times New Roman" w:hAnsi="Times New Roman"/>
                <w:sz w:val="18"/>
              </w:rPr>
              <w:t xml:space="preserve">1.98 (1.73–2.27)</w:t>
            </w:r>
          </w:p>
        </w:tc>
        <w:tc>
          <w:tcPr/>
          <w:p>
            <w:pPr>
              <w:pStyle w:val="Compact"/>
              <w:spacing w:line="240" w:lineRule="auto" w:after="20" w:before="20"/>
              <w:jc w:val="left"/>
            </w:pPr>
            <w:r>
              <w:rPr>
                <w:rFonts w:ascii="Times New Roman" w:hAnsi="Times New Roman"/>
                <w:sz w:val="18"/>
              </w:rPr>
              <w:t xml:space="preserve">2.60×10⁻²³</w:t>
            </w:r>
          </w:p>
        </w:tc>
        <w:tc>
          <w:tcPr/>
          <w:p>
            <w:pPr>
              <w:pStyle w:val="Compact"/>
              <w:spacing w:line="240" w:lineRule="auto" w:after="20" w:before="20"/>
              <w:jc w:val="left"/>
            </w:pPr>
            <w:r>
              <w:rPr>
                <w:rFonts w:ascii="Times New Roman" w:hAnsi="Times New Roman"/>
                <w:sz w:val="18"/>
              </w:rPr>
              <w:t xml:space="preserve">1.08 (0.77–1.53)</w:t>
            </w:r>
          </w:p>
        </w:tc>
        <w:tc>
          <w:tcPr/>
          <w:p>
            <w:pPr>
              <w:pStyle w:val="Compact"/>
              <w:spacing w:line="240" w:lineRule="auto" w:after="20" w:before="20"/>
              <w:jc w:val="left"/>
            </w:pPr>
            <w:r>
              <w:rPr>
                <w:rFonts w:ascii="Times New Roman" w:hAnsi="Times New Roman"/>
                <w:sz w:val="18"/>
              </w:rPr>
              <w:t xml:space="preserve">0.648</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HLA-DQA2</w:t>
            </w:r>
          </w:p>
        </w:tc>
        <w:tc>
          <w:tcPr/>
          <w:p>
            <w:pPr>
              <w:pStyle w:val="Compact"/>
              <w:spacing w:line="240" w:lineRule="auto" w:after="20" w:before="20"/>
              <w:jc w:val="left"/>
            </w:pPr>
            <w:r>
              <w:rPr>
                <w:rFonts w:ascii="Times New Roman" w:hAnsi="Times New Roman"/>
                <w:sz w:val="18"/>
              </w:rPr>
              <w:t xml:space="preserve">2.39 (1.95–2.93)</w:t>
            </w:r>
          </w:p>
        </w:tc>
        <w:tc>
          <w:tcPr/>
          <w:p>
            <w:pPr>
              <w:pStyle w:val="Compact"/>
              <w:spacing w:line="240" w:lineRule="auto" w:after="20" w:before="20"/>
              <w:jc w:val="left"/>
            </w:pPr>
            <w:r>
              <w:rPr>
                <w:rFonts w:ascii="Times New Roman" w:hAnsi="Times New Roman"/>
                <w:sz w:val="18"/>
              </w:rPr>
              <w:t xml:space="preserve">8.30×10⁻¹⁷</w:t>
            </w:r>
          </w:p>
        </w:tc>
        <w:tc>
          <w:tcPr/>
          <w:p>
            <w:pPr>
              <w:pStyle w:val="Compact"/>
              <w:spacing w:line="240" w:lineRule="auto" w:after="20" w:before="20"/>
              <w:jc w:val="left"/>
            </w:pPr>
            <w:r>
              <w:rPr>
                <w:rFonts w:ascii="Times New Roman" w:hAnsi="Times New Roman"/>
                <w:sz w:val="18"/>
              </w:rPr>
              <w:t xml:space="preserve">1.90 (1.64–2.20)</w:t>
            </w:r>
          </w:p>
        </w:tc>
        <w:tc>
          <w:tcPr/>
          <w:p>
            <w:pPr>
              <w:pStyle w:val="Compact"/>
              <w:spacing w:line="240" w:lineRule="auto" w:after="20" w:before="20"/>
              <w:jc w:val="left"/>
            </w:pPr>
            <w:r>
              <w:rPr>
                <w:rFonts w:ascii="Times New Roman" w:hAnsi="Times New Roman"/>
                <w:sz w:val="18"/>
              </w:rPr>
              <w:t xml:space="preserve">1.41×10⁻¹⁷</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CTLA4</w:t>
            </w:r>
          </w:p>
        </w:tc>
        <w:tc>
          <w:tcPr/>
          <w:p>
            <w:pPr>
              <w:pStyle w:val="Compact"/>
              <w:spacing w:line="240" w:lineRule="auto" w:after="20" w:before="20"/>
              <w:jc w:val="left"/>
            </w:pPr>
            <w:r>
              <w:rPr>
                <w:rFonts w:ascii="Times New Roman" w:hAnsi="Times New Roman"/>
                <w:sz w:val="18"/>
              </w:rPr>
              <w:t xml:space="preserve">0.18 (0.11–0.27)</w:t>
            </w:r>
          </w:p>
        </w:tc>
        <w:tc>
          <w:tcPr/>
          <w:p>
            <w:pPr>
              <w:pStyle w:val="Compact"/>
              <w:spacing w:line="240" w:lineRule="auto" w:after="20" w:before="20"/>
              <w:jc w:val="left"/>
            </w:pPr>
            <w:r>
              <w:rPr>
                <w:rFonts w:ascii="Times New Roman" w:hAnsi="Times New Roman"/>
                <w:sz w:val="18"/>
              </w:rPr>
              <w:t xml:space="preserve">5.45×10⁻¹⁵</w:t>
            </w:r>
          </w:p>
        </w:tc>
        <w:tc>
          <w:tcPr/>
          <w:p>
            <w:pPr>
              <w:pStyle w:val="Compact"/>
              <w:spacing w:line="240" w:lineRule="auto" w:after="20" w:before="20"/>
              <w:jc w:val="left"/>
            </w:pPr>
            <w:r>
              <w:rPr>
                <w:rFonts w:ascii="Times New Roman" w:hAnsi="Times New Roman"/>
                <w:sz w:val="18"/>
              </w:rPr>
              <w:t xml:space="preserve">0.17 (0.08–0.36)</w:t>
            </w:r>
          </w:p>
        </w:tc>
        <w:tc>
          <w:tcPr/>
          <w:p>
            <w:pPr>
              <w:pStyle w:val="Compact"/>
              <w:spacing w:line="240" w:lineRule="auto" w:after="20" w:before="20"/>
              <w:jc w:val="left"/>
            </w:pPr>
            <w:r>
              <w:rPr>
                <w:rFonts w:ascii="Times New Roman" w:hAnsi="Times New Roman"/>
                <w:sz w:val="18"/>
              </w:rPr>
              <w:t xml:space="preserve">2.15×10⁻⁶</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0.254</w:t>
            </w:r>
          </w:p>
        </w:tc>
      </w:tr>
      <w:tr>
        <w:trPr>
          <w:cantSplit/>
        </w:trPr>
        <w:tc>
          <w:tcPr/>
          <w:p>
            <w:pPr>
              <w:pStyle w:val="Compact"/>
              <w:spacing w:line="240" w:lineRule="auto" w:after="20" w:before="20"/>
              <w:jc w:val="left"/>
            </w:pPr>
            <w:r>
              <w:rPr>
                <w:iCs/>
                <w:rFonts w:ascii="Times New Roman" w:hAnsi="Times New Roman"/>
                <w:i/>
                <w:sz w:val="18"/>
              </w:rPr>
              <w:t xml:space="preserve">TSHR</w:t>
            </w:r>
          </w:p>
        </w:tc>
        <w:tc>
          <w:tcPr/>
          <w:p>
            <w:pPr>
              <w:pStyle w:val="Compact"/>
              <w:spacing w:line="240" w:lineRule="auto" w:after="20" w:before="20"/>
              <w:jc w:val="left"/>
            </w:pPr>
            <w:r>
              <w:rPr>
                <w:rFonts w:ascii="Times New Roman" w:hAnsi="Times New Roman"/>
                <w:sz w:val="18"/>
              </w:rPr>
              <w:t xml:space="preserve">0.12 (0.07–0.21)</w:t>
            </w:r>
          </w:p>
        </w:tc>
        <w:tc>
          <w:tcPr/>
          <w:p>
            <w:pPr>
              <w:pStyle w:val="Compact"/>
              <w:spacing w:line="240" w:lineRule="auto" w:after="20" w:before="20"/>
              <w:jc w:val="left"/>
            </w:pPr>
            <w:r>
              <w:rPr>
                <w:rFonts w:ascii="Times New Roman" w:hAnsi="Times New Roman"/>
                <w:sz w:val="18"/>
              </w:rPr>
              <w:t xml:space="preserve">1.09×10⁻¹⁴</w:t>
            </w:r>
          </w:p>
        </w:tc>
        <w:tc>
          <w:tcPr/>
          <w:p>
            <w:pPr>
              <w:pStyle w:val="Compact"/>
              <w:spacing w:line="240" w:lineRule="auto" w:after="20" w:before="20"/>
              <w:jc w:val="left"/>
            </w:pPr>
            <w:r>
              <w:rPr>
                <w:rFonts w:ascii="Times New Roman" w:hAnsi="Times New Roman"/>
                <w:sz w:val="18"/>
              </w:rPr>
              <w:t xml:space="preserve">0.08 (0.05–0.12)</w:t>
            </w:r>
          </w:p>
        </w:tc>
        <w:tc>
          <w:tcPr/>
          <w:p>
            <w:pPr>
              <w:pStyle w:val="Compact"/>
              <w:spacing w:line="240" w:lineRule="auto" w:after="20" w:before="20"/>
              <w:jc w:val="left"/>
            </w:pPr>
            <w:r>
              <w:rPr>
                <w:rFonts w:ascii="Times New Roman" w:hAnsi="Times New Roman"/>
                <w:sz w:val="18"/>
              </w:rPr>
              <w:t xml:space="preserve">3.19×10⁻³²</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0.264</w:t>
            </w:r>
          </w:p>
        </w:tc>
      </w:tr>
      <w:tr>
        <w:trPr>
          <w:cantSplit/>
        </w:trPr>
        <w:tc>
          <w:tcPr/>
          <w:p>
            <w:pPr>
              <w:pStyle w:val="Compact"/>
              <w:spacing w:line="240" w:lineRule="auto" w:after="20" w:before="20"/>
              <w:jc w:val="left"/>
            </w:pPr>
            <w:r>
              <w:rPr>
                <w:iCs/>
                <w:rFonts w:ascii="Times New Roman" w:hAnsi="Times New Roman"/>
                <w:i/>
                <w:sz w:val="18"/>
              </w:rPr>
              <w:t xml:space="preserve">C4A</w:t>
            </w:r>
          </w:p>
        </w:tc>
        <w:tc>
          <w:tcPr/>
          <w:p>
            <w:pPr>
              <w:pStyle w:val="Compact"/>
              <w:spacing w:line="240" w:lineRule="auto" w:after="20" w:before="20"/>
              <w:jc w:val="left"/>
            </w:pPr>
            <w:r>
              <w:rPr>
                <w:rFonts w:ascii="Times New Roman" w:hAnsi="Times New Roman"/>
                <w:sz w:val="18"/>
              </w:rPr>
              <w:t xml:space="preserve">0.45 (0.35–0.57)</w:t>
            </w:r>
          </w:p>
        </w:tc>
        <w:tc>
          <w:tcPr/>
          <w:p>
            <w:pPr>
              <w:pStyle w:val="Compact"/>
              <w:spacing w:line="240" w:lineRule="auto" w:after="20" w:before="20"/>
              <w:jc w:val="left"/>
            </w:pPr>
            <w:r>
              <w:rPr>
                <w:rFonts w:ascii="Times New Roman" w:hAnsi="Times New Roman"/>
                <w:sz w:val="18"/>
              </w:rPr>
              <w:t xml:space="preserve">2.23×10⁻¹⁰</w:t>
            </w:r>
          </w:p>
        </w:tc>
        <w:tc>
          <w:tcPr/>
          <w:p>
            <w:pPr>
              <w:pStyle w:val="Compact"/>
              <w:spacing w:line="240" w:lineRule="auto" w:after="20" w:before="20"/>
              <w:jc w:val="left"/>
            </w:pPr>
            <w:r>
              <w:rPr>
                <w:rFonts w:ascii="Times New Roman" w:hAnsi="Times New Roman"/>
                <w:sz w:val="18"/>
              </w:rPr>
              <w:t xml:space="preserve">0.41 (0.26–0.63)</w:t>
            </w:r>
          </w:p>
        </w:tc>
        <w:tc>
          <w:tcPr/>
          <w:p>
            <w:pPr>
              <w:pStyle w:val="Compact"/>
              <w:spacing w:line="240" w:lineRule="auto" w:after="20" w:before="20"/>
              <w:jc w:val="left"/>
            </w:pPr>
            <w:r>
              <w:rPr>
                <w:rFonts w:ascii="Times New Roman" w:hAnsi="Times New Roman"/>
                <w:sz w:val="18"/>
              </w:rPr>
              <w:t xml:space="preserve">4.97×10⁻⁵</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HSD3B7</w:t>
            </w:r>
          </w:p>
        </w:tc>
        <w:tc>
          <w:tcPr/>
          <w:p>
            <w:pPr>
              <w:pStyle w:val="Compact"/>
              <w:spacing w:line="240" w:lineRule="auto" w:after="20" w:before="20"/>
              <w:jc w:val="left"/>
            </w:pPr>
            <w:r>
              <w:rPr>
                <w:rFonts w:ascii="Times New Roman" w:hAnsi="Times New Roman"/>
                <w:sz w:val="18"/>
              </w:rPr>
              <w:t xml:space="preserve">0.29 (0.18–0.47)</w:t>
            </w:r>
          </w:p>
        </w:tc>
        <w:tc>
          <w:tcPr/>
          <w:p>
            <w:pPr>
              <w:pStyle w:val="Compact"/>
              <w:spacing w:line="240" w:lineRule="auto" w:after="20" w:before="20"/>
              <w:jc w:val="left"/>
            </w:pPr>
            <w:r>
              <w:rPr>
                <w:rFonts w:ascii="Times New Roman" w:hAnsi="Times New Roman"/>
                <w:sz w:val="18"/>
              </w:rPr>
              <w:t xml:space="preserve">2.04×10⁻⁷</w:t>
            </w:r>
          </w:p>
        </w:tc>
        <w:tc>
          <w:tcPr/>
          <w:p>
            <w:pPr>
              <w:pStyle w:val="Compact"/>
              <w:spacing w:line="240" w:lineRule="auto" w:after="20" w:before="20"/>
              <w:jc w:val="left"/>
            </w:pPr>
            <w:r>
              <w:rPr>
                <w:rFonts w:ascii="Times New Roman" w:hAnsi="Times New Roman"/>
                <w:sz w:val="18"/>
              </w:rPr>
              <w:t xml:space="preserve">0.90 (0.72–1.13)</w:t>
            </w:r>
          </w:p>
        </w:tc>
        <w:tc>
          <w:tcPr/>
          <w:p>
            <w:pPr>
              <w:pStyle w:val="Compact"/>
              <w:spacing w:line="240" w:lineRule="auto" w:after="20" w:before="20"/>
              <w:jc w:val="left"/>
            </w:pPr>
            <w:r>
              <w:rPr>
                <w:rFonts w:ascii="Times New Roman" w:hAnsi="Times New Roman"/>
                <w:sz w:val="18"/>
              </w:rPr>
              <w:t xml:space="preserve">0.372</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0.011</w:t>
            </w:r>
          </w:p>
        </w:tc>
      </w:tr>
      <w:tr>
        <w:trPr>
          <w:cantSplit/>
        </w:trPr>
        <w:tc>
          <w:tcPr/>
          <w:p>
            <w:pPr>
              <w:pStyle w:val="Compact"/>
              <w:spacing w:line="240" w:lineRule="auto" w:after="20" w:before="20"/>
              <w:jc w:val="left"/>
            </w:pPr>
            <w:r>
              <w:rPr>
                <w:iCs/>
                <w:rFonts w:ascii="Times New Roman" w:hAnsi="Times New Roman"/>
                <w:i/>
                <w:sz w:val="18"/>
              </w:rPr>
              <w:t xml:space="preserve">TUBB</w:t>
            </w:r>
          </w:p>
        </w:tc>
        <w:tc>
          <w:tcPr/>
          <w:p>
            <w:pPr>
              <w:pStyle w:val="Compact"/>
              <w:spacing w:line="240" w:lineRule="auto" w:after="20" w:before="20"/>
              <w:jc w:val="left"/>
            </w:pPr>
            <w:r>
              <w:rPr>
                <w:rFonts w:ascii="Times New Roman" w:hAnsi="Times New Roman"/>
                <w:sz w:val="18"/>
              </w:rPr>
              <w:t xml:space="preserve">1.49 (1.28–1.74)</w:t>
            </w:r>
          </w:p>
        </w:tc>
        <w:tc>
          <w:tcPr/>
          <w:p>
            <w:pPr>
              <w:pStyle w:val="Compact"/>
              <w:spacing w:line="240" w:lineRule="auto" w:after="20" w:before="20"/>
              <w:jc w:val="left"/>
            </w:pPr>
            <w:r>
              <w:rPr>
                <w:rFonts w:ascii="Times New Roman" w:hAnsi="Times New Roman"/>
                <w:sz w:val="18"/>
              </w:rPr>
              <w:t xml:space="preserve">3.14×10⁻⁷</w:t>
            </w:r>
          </w:p>
        </w:tc>
        <w:tc>
          <w:tcPr/>
          <w:p>
            <w:pPr>
              <w:pStyle w:val="Compact"/>
              <w:spacing w:line="240" w:lineRule="auto" w:after="20" w:before="20"/>
              <w:jc w:val="left"/>
            </w:pPr>
            <w:r>
              <w:rPr>
                <w:rFonts w:ascii="Times New Roman" w:hAnsi="Times New Roman"/>
                <w:sz w:val="18"/>
              </w:rPr>
              <w:t xml:space="preserve">3.28 (2.09–5.17)</w:t>
            </w:r>
          </w:p>
        </w:tc>
        <w:tc>
          <w:tcPr/>
          <w:p>
            <w:pPr>
              <w:pStyle w:val="Compact"/>
              <w:spacing w:line="240" w:lineRule="auto" w:after="20" w:before="20"/>
              <w:jc w:val="left"/>
            </w:pPr>
            <w:r>
              <w:rPr>
                <w:rFonts w:ascii="Times New Roman" w:hAnsi="Times New Roman"/>
                <w:sz w:val="18"/>
              </w:rPr>
              <w:t xml:space="preserve">2.68×10⁻⁷</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VKORC1</w:t>
            </w:r>
          </w:p>
        </w:tc>
        <w:tc>
          <w:tcPr/>
          <w:p>
            <w:pPr>
              <w:pStyle w:val="Compact"/>
              <w:spacing w:line="240" w:lineRule="auto" w:after="20" w:before="20"/>
              <w:jc w:val="left"/>
            </w:pPr>
            <w:r>
              <w:rPr>
                <w:rFonts w:ascii="Times New Roman" w:hAnsi="Times New Roman"/>
                <w:sz w:val="18"/>
              </w:rPr>
              <w:t xml:space="preserve">0.13 (0.06–0.29)</w:t>
            </w:r>
          </w:p>
        </w:tc>
        <w:tc>
          <w:tcPr/>
          <w:p>
            <w:pPr>
              <w:pStyle w:val="Compact"/>
              <w:spacing w:line="240" w:lineRule="auto" w:after="20" w:before="20"/>
              <w:jc w:val="left"/>
            </w:pPr>
            <w:r>
              <w:rPr>
                <w:rFonts w:ascii="Times New Roman" w:hAnsi="Times New Roman"/>
                <w:sz w:val="18"/>
              </w:rPr>
              <w:t xml:space="preserve">6.35×10⁻⁷</w:t>
            </w:r>
          </w:p>
        </w:tc>
        <w:tc>
          <w:tcPr/>
          <w:p>
            <w:pPr>
              <w:pStyle w:val="Compact"/>
              <w:spacing w:line="240" w:lineRule="auto" w:after="20" w:before="20"/>
              <w:jc w:val="left"/>
            </w:pPr>
            <w:r>
              <w:rPr>
                <w:rFonts w:ascii="Times New Roman" w:hAnsi="Times New Roman"/>
                <w:sz w:val="18"/>
              </w:rPr>
              <w:t xml:space="preserve">NA</w:t>
            </w:r>
          </w:p>
        </w:tc>
        <w:tc>
          <w:tcPr/>
          <w:p>
            <w:pPr>
              <w:pStyle w:val="Compact"/>
              <w:spacing w:line="240" w:lineRule="auto" w:after="20" w:before="20"/>
              <w:jc w:val="left"/>
            </w:pPr>
            <w:r>
              <w:rPr>
                <w:rFonts w:ascii="Times New Roman" w:hAnsi="Times New Roman"/>
                <w:sz w:val="18"/>
              </w:rPr>
              <w:t xml:space="preserve">NA</w:t>
            </w:r>
          </w:p>
        </w:tc>
        <w:tc>
          <w:tcPr/>
          <w:p>
            <w:pPr>
              <w:pStyle w:val="Compact"/>
              <w:spacing w:line="240" w:lineRule="auto" w:after="20" w:before="20"/>
              <w:jc w:val="left"/>
            </w:pPr>
            <w:r>
              <w:rPr>
                <w:rFonts w:ascii="Times New Roman" w:hAnsi="Times New Roman"/>
                <w:sz w:val="18"/>
              </w:rPr>
              <w:t xml:space="preserve">NA</w:t>
            </w:r>
          </w:p>
        </w:tc>
        <w:tc>
          <w:tcPr/>
          <w:p>
            <w:pPr>
              <w:pStyle w:val="Compact"/>
              <w:spacing w:line="240" w:lineRule="auto" w:after="20" w:before="20"/>
              <w:jc w:val="left"/>
            </w:pPr>
            <w:r>
              <w:rPr>
                <w:rFonts w:ascii="Times New Roman" w:hAnsi="Times New Roman"/>
                <w:sz w:val="18"/>
              </w:rPr>
              <w:t xml:space="preserve">0.011</w:t>
            </w:r>
          </w:p>
        </w:tc>
      </w:tr>
      <w:tr>
        <w:trPr>
          <w:cantSplit/>
        </w:trPr>
        <w:tc>
          <w:tcPr/>
          <w:p>
            <w:pPr>
              <w:pStyle w:val="Compact"/>
              <w:spacing w:line="240" w:lineRule="auto" w:after="20" w:before="20"/>
              <w:jc w:val="left"/>
            </w:pPr>
            <w:r>
              <w:rPr>
                <w:iCs/>
                <w:rFonts w:ascii="Times New Roman" w:hAnsi="Times New Roman"/>
                <w:i/>
                <w:sz w:val="18"/>
              </w:rPr>
              <w:t xml:space="preserve">TNFSF14</w:t>
            </w:r>
          </w:p>
        </w:tc>
        <w:tc>
          <w:tcPr/>
          <w:p>
            <w:pPr>
              <w:pStyle w:val="Compact"/>
              <w:spacing w:line="240" w:lineRule="auto" w:after="20" w:before="20"/>
              <w:jc w:val="left"/>
            </w:pPr>
            <w:r>
              <w:rPr>
                <w:rFonts w:ascii="Times New Roman" w:hAnsi="Times New Roman"/>
                <w:sz w:val="18"/>
              </w:rPr>
              <w:t xml:space="preserve">0.63 (0.52–0.76)</w:t>
            </w:r>
          </w:p>
        </w:tc>
        <w:tc>
          <w:tcPr/>
          <w:p>
            <w:pPr>
              <w:pStyle w:val="Compact"/>
              <w:spacing w:line="240" w:lineRule="auto" w:after="20" w:before="20"/>
              <w:jc w:val="left"/>
            </w:pPr>
            <w:r>
              <w:rPr>
                <w:rFonts w:ascii="Times New Roman" w:hAnsi="Times New Roman"/>
                <w:sz w:val="18"/>
              </w:rPr>
              <w:t xml:space="preserve">1.48×10⁻⁶</w:t>
            </w:r>
          </w:p>
        </w:tc>
        <w:tc>
          <w:tcPr/>
          <w:p>
            <w:pPr>
              <w:pStyle w:val="Compact"/>
              <w:spacing w:line="240" w:lineRule="auto" w:after="20" w:before="20"/>
              <w:jc w:val="left"/>
            </w:pPr>
            <w:r>
              <w:rPr>
                <w:rFonts w:ascii="Times New Roman" w:hAnsi="Times New Roman"/>
                <w:sz w:val="18"/>
              </w:rPr>
              <w:t xml:space="preserve">0.77 (0.65–0.92)</w:t>
            </w:r>
          </w:p>
        </w:tc>
        <w:tc>
          <w:tcPr/>
          <w:p>
            <w:pPr>
              <w:pStyle w:val="Compact"/>
              <w:spacing w:line="240" w:lineRule="auto" w:after="20" w:before="20"/>
              <w:jc w:val="left"/>
            </w:pPr>
            <w:r>
              <w:rPr>
                <w:rFonts w:ascii="Times New Roman" w:hAnsi="Times New Roman"/>
                <w:sz w:val="18"/>
              </w:rPr>
              <w:t xml:space="preserve">0.00361</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0.303</w:t>
            </w:r>
          </w:p>
        </w:tc>
      </w:tr>
      <w:tr>
        <w:trPr>
          <w:cantSplit/>
        </w:trPr>
        <w:tc>
          <w:tcPr/>
          <w:p>
            <w:pPr>
              <w:pStyle w:val="Compact"/>
              <w:spacing w:line="240" w:lineRule="auto" w:after="20" w:before="20"/>
              <w:jc w:val="left"/>
            </w:pPr>
            <w:r>
              <w:rPr>
                <w:iCs/>
                <w:rFonts w:ascii="Times New Roman" w:hAnsi="Times New Roman"/>
                <w:i/>
                <w:sz w:val="18"/>
              </w:rPr>
              <w:t xml:space="preserve">PRSS36</w:t>
            </w:r>
          </w:p>
        </w:tc>
        <w:tc>
          <w:tcPr/>
          <w:p>
            <w:pPr>
              <w:pStyle w:val="Compact"/>
              <w:spacing w:line="240" w:lineRule="auto" w:after="20" w:before="20"/>
              <w:jc w:val="left"/>
            </w:pPr>
            <w:r>
              <w:rPr>
                <w:rFonts w:ascii="Times New Roman" w:hAnsi="Times New Roman"/>
                <w:sz w:val="18"/>
              </w:rPr>
              <w:t xml:space="preserve">6.00 (2.87–12.57)</w:t>
            </w:r>
          </w:p>
        </w:tc>
        <w:tc>
          <w:tcPr/>
          <w:p>
            <w:pPr>
              <w:pStyle w:val="Compact"/>
              <w:spacing w:line="240" w:lineRule="auto" w:after="20" w:before="20"/>
              <w:jc w:val="left"/>
            </w:pPr>
            <w:r>
              <w:rPr>
                <w:rFonts w:ascii="Times New Roman" w:hAnsi="Times New Roman"/>
                <w:sz w:val="18"/>
              </w:rPr>
              <w:t xml:space="preserve">2.02×10⁻⁶</w:t>
            </w:r>
          </w:p>
        </w:tc>
        <w:tc>
          <w:tcPr/>
          <w:p>
            <w:pPr>
              <w:pStyle w:val="Compact"/>
              <w:spacing w:line="240" w:lineRule="auto" w:after="20" w:before="20"/>
              <w:jc w:val="left"/>
            </w:pPr>
            <w:r>
              <w:rPr>
                <w:rFonts w:ascii="Times New Roman" w:hAnsi="Times New Roman"/>
                <w:sz w:val="18"/>
              </w:rPr>
              <w:t xml:space="preserve">1.40 (1.00–1.96)</w:t>
            </w:r>
          </w:p>
        </w:tc>
        <w:tc>
          <w:tcPr/>
          <w:p>
            <w:pPr>
              <w:pStyle w:val="Compact"/>
              <w:spacing w:line="240" w:lineRule="auto" w:after="20" w:before="20"/>
              <w:jc w:val="left"/>
            </w:pPr>
            <w:r>
              <w:rPr>
                <w:rFonts w:ascii="Times New Roman" w:hAnsi="Times New Roman"/>
                <w:sz w:val="18"/>
              </w:rPr>
              <w:t xml:space="preserve">0.0490</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0.063</w:t>
            </w:r>
          </w:p>
        </w:tc>
      </w:tr>
      <w:tr>
        <w:trPr>
          <w:cantSplit/>
        </w:trPr>
        <w:tc>
          <w:tcPr/>
          <w:p>
            <w:pPr>
              <w:pStyle w:val="Compact"/>
              <w:spacing w:line="240" w:lineRule="auto" w:after="20" w:before="20"/>
              <w:jc w:val="left"/>
            </w:pPr>
            <w:r>
              <w:rPr>
                <w:iCs/>
                <w:rFonts w:ascii="Times New Roman" w:hAnsi="Times New Roman"/>
                <w:i/>
                <w:sz w:val="18"/>
              </w:rPr>
              <w:t xml:space="preserve">MAPKAPK5</w:t>
            </w:r>
          </w:p>
        </w:tc>
        <w:tc>
          <w:tcPr/>
          <w:p>
            <w:pPr>
              <w:pStyle w:val="Compact"/>
              <w:spacing w:line="240" w:lineRule="auto" w:after="20" w:before="20"/>
              <w:jc w:val="left"/>
            </w:pPr>
            <w:r>
              <w:rPr>
                <w:rFonts w:ascii="Times New Roman" w:hAnsi="Times New Roman"/>
                <w:sz w:val="18"/>
              </w:rPr>
              <w:t xml:space="preserve">0.977 (0.967–0.987)</w:t>
            </w:r>
          </w:p>
        </w:tc>
        <w:tc>
          <w:tcPr/>
          <w:p>
            <w:pPr>
              <w:pStyle w:val="Compact"/>
              <w:spacing w:line="240" w:lineRule="auto" w:after="20" w:before="20"/>
              <w:jc w:val="left"/>
            </w:pPr>
            <w:r>
              <w:rPr>
                <w:rFonts w:ascii="Times New Roman" w:hAnsi="Times New Roman"/>
                <w:sz w:val="18"/>
              </w:rPr>
              <w:t xml:space="preserve">5.28×10⁻⁶</w:t>
            </w:r>
          </w:p>
        </w:tc>
        <w:tc>
          <w:tcPr/>
          <w:p>
            <w:pPr>
              <w:pStyle w:val="Compact"/>
              <w:spacing w:line="240" w:lineRule="auto" w:after="20" w:before="20"/>
              <w:jc w:val="left"/>
            </w:pPr>
            <w:r>
              <w:rPr>
                <w:rFonts w:ascii="Times New Roman" w:hAnsi="Times New Roman"/>
                <w:sz w:val="18"/>
              </w:rPr>
              <w:t xml:space="preserve">0.990 (0.929–1.055)</w:t>
            </w:r>
          </w:p>
        </w:tc>
        <w:tc>
          <w:tcPr/>
          <w:p>
            <w:pPr>
              <w:pStyle w:val="Compact"/>
              <w:spacing w:line="240" w:lineRule="auto" w:after="20" w:before="20"/>
              <w:jc w:val="left"/>
            </w:pPr>
            <w:r>
              <w:rPr>
                <w:rFonts w:ascii="Times New Roman" w:hAnsi="Times New Roman"/>
                <w:sz w:val="18"/>
              </w:rPr>
              <w:t xml:space="preserve">0.751</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0.041</w:t>
            </w:r>
          </w:p>
        </w:tc>
      </w:tr>
      <w:tr>
        <w:trPr>
          <w:cantSplit/>
        </w:trPr>
        <w:tc>
          <w:tcPr/>
          <w:p>
            <w:pPr>
              <w:pStyle w:val="Compact"/>
              <w:spacing w:line="240" w:lineRule="auto" w:after="20" w:before="20"/>
              <w:jc w:val="left"/>
            </w:pPr>
            <w:r>
              <w:rPr>
                <w:iCs/>
                <w:rFonts w:ascii="Times New Roman" w:hAnsi="Times New Roman"/>
                <w:i/>
                <w:sz w:val="18"/>
              </w:rPr>
              <w:t xml:space="preserve">PSMB8</w:t>
            </w:r>
          </w:p>
        </w:tc>
        <w:tc>
          <w:tcPr/>
          <w:p>
            <w:pPr>
              <w:pStyle w:val="Compact"/>
              <w:spacing w:line="240" w:lineRule="auto" w:after="20" w:before="20"/>
              <w:jc w:val="left"/>
            </w:pPr>
            <w:r>
              <w:rPr>
                <w:rFonts w:ascii="Times New Roman" w:hAnsi="Times New Roman"/>
                <w:sz w:val="18"/>
              </w:rPr>
              <w:t xml:space="preserve">1.25 (1.13–1.38)</w:t>
            </w:r>
          </w:p>
        </w:tc>
        <w:tc>
          <w:tcPr/>
          <w:p>
            <w:pPr>
              <w:pStyle w:val="Compact"/>
              <w:spacing w:line="240" w:lineRule="auto" w:after="20" w:before="20"/>
              <w:jc w:val="left"/>
            </w:pPr>
            <w:r>
              <w:rPr>
                <w:rFonts w:ascii="Times New Roman" w:hAnsi="Times New Roman"/>
                <w:sz w:val="18"/>
              </w:rPr>
              <w:t xml:space="preserve">6.86×10⁻⁶</w:t>
            </w:r>
          </w:p>
        </w:tc>
        <w:tc>
          <w:tcPr/>
          <w:p>
            <w:pPr>
              <w:pStyle w:val="Compact"/>
              <w:spacing w:line="240" w:lineRule="auto" w:after="20" w:before="20"/>
              <w:jc w:val="left"/>
            </w:pPr>
            <w:r>
              <w:rPr>
                <w:rFonts w:ascii="Times New Roman" w:hAnsi="Times New Roman"/>
                <w:sz w:val="18"/>
              </w:rPr>
              <w:t xml:space="preserve">0.96 (0.85–1.08)</w:t>
            </w:r>
          </w:p>
        </w:tc>
        <w:tc>
          <w:tcPr/>
          <w:p>
            <w:pPr>
              <w:pStyle w:val="Compact"/>
              <w:spacing w:line="240" w:lineRule="auto" w:after="20" w:before="20"/>
              <w:jc w:val="left"/>
            </w:pPr>
            <w:r>
              <w:rPr>
                <w:rFonts w:ascii="Times New Roman" w:hAnsi="Times New Roman"/>
                <w:sz w:val="18"/>
              </w:rPr>
              <w:t xml:space="preserve">0.512</w:t>
            </w:r>
          </w:p>
        </w:tc>
        <w:tc>
          <w:tcPr/>
          <w:p>
            <w:pPr>
              <w:pStyle w:val="Compact"/>
              <w:spacing w:line="240" w:lineRule="auto" w:after="20" w:before="20"/>
              <w:jc w:val="left"/>
            </w:pPr>
            <w:r>
              <w:rPr>
                <w:rFonts w:ascii="Times New Roman" w:hAnsi="Times New Roman"/>
                <w:sz w:val="18"/>
              </w:rPr>
              <w:t xml:space="preserve">No</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IFNGR1</w:t>
            </w:r>
          </w:p>
        </w:tc>
        <w:tc>
          <w:tcPr/>
          <w:p>
            <w:pPr>
              <w:pStyle w:val="Compact"/>
              <w:spacing w:line="240" w:lineRule="auto" w:after="20" w:before="20"/>
              <w:jc w:val="left"/>
            </w:pPr>
            <w:r>
              <w:rPr>
                <w:rFonts w:ascii="Times New Roman" w:hAnsi="Times New Roman"/>
                <w:sz w:val="18"/>
              </w:rPr>
              <w:t xml:space="preserve">2.10 (1.51–2.91)</w:t>
            </w:r>
          </w:p>
        </w:tc>
        <w:tc>
          <w:tcPr/>
          <w:p>
            <w:pPr>
              <w:pStyle w:val="Compact"/>
              <w:spacing w:line="240" w:lineRule="auto" w:after="20" w:before="20"/>
              <w:jc w:val="left"/>
            </w:pPr>
            <w:r>
              <w:rPr>
                <w:rFonts w:ascii="Times New Roman" w:hAnsi="Times New Roman"/>
                <w:sz w:val="18"/>
              </w:rPr>
              <w:t xml:space="preserve">9.41×10⁻⁶</w:t>
            </w:r>
          </w:p>
        </w:tc>
        <w:tc>
          <w:tcPr/>
          <w:p>
            <w:pPr>
              <w:pStyle w:val="Compact"/>
              <w:spacing w:line="240" w:lineRule="auto" w:after="20" w:before="20"/>
              <w:jc w:val="left"/>
            </w:pPr>
            <w:r>
              <w:rPr>
                <w:rFonts w:ascii="Times New Roman" w:hAnsi="Times New Roman"/>
                <w:sz w:val="18"/>
              </w:rPr>
              <w:t xml:space="preserve">1.62 (1.18–2.24)</w:t>
            </w:r>
          </w:p>
        </w:tc>
        <w:tc>
          <w:tcPr/>
          <w:p>
            <w:pPr>
              <w:pStyle w:val="Compact"/>
              <w:spacing w:line="240" w:lineRule="auto" w:after="20" w:before="20"/>
              <w:jc w:val="left"/>
            </w:pPr>
            <w:r>
              <w:rPr>
                <w:rFonts w:ascii="Times New Roman" w:hAnsi="Times New Roman"/>
                <w:sz w:val="18"/>
              </w:rPr>
              <w:t xml:space="preserve">0.00330</w:t>
            </w:r>
          </w:p>
        </w:tc>
        <w:tc>
          <w:tcPr/>
          <w:p>
            <w:pPr>
              <w:pStyle w:val="Compact"/>
              <w:spacing w:line="240" w:lineRule="auto" w:after="20" w:before="20"/>
              <w:jc w:val="left"/>
            </w:pPr>
            <w:r>
              <w:rPr>
                <w:rFonts w:ascii="Times New Roman" w:hAnsi="Times New Roman"/>
                <w:sz w:val="18"/>
              </w:rPr>
              <w:t xml:space="preserve">Yes</w:t>
            </w:r>
          </w:p>
        </w:tc>
        <w:tc>
          <w:tcPr/>
          <w:p>
            <w:pPr>
              <w:pStyle w:val="Compact"/>
              <w:spacing w:line="240" w:lineRule="auto" w:after="20" w:before="20"/>
              <w:jc w:val="left"/>
            </w:pPr>
            <w:r>
              <w:rPr>
                <w:rFonts w:ascii="Times New Roman" w:hAnsi="Times New Roman"/>
                <w:sz w:val="18"/>
              </w:rPr>
              <w:t xml:space="preserve">0.313</w:t>
            </w:r>
          </w:p>
        </w:tc>
      </w:tr>
    </w:tbl>
    <w:bookmarkEnd w:id="22"/>
    <w:bookmarkStart w:id="23" w:name="b.-additional-finngen-gd-discoveries"/>
    <w:p>
      <w:pPr>
        <w:pStyle w:val="Heading3"/>
      </w:pPr>
      <w:r>
        <w:rPr>
          <w:color w:val="000000"/>
        </w:rPr>
        <w:t xml:space="preserve">B. Additional FinnGen GD discoveries</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1131"/>
        <w:gridCol w:w="1131"/>
        <w:gridCol w:w="1131"/>
        <w:gridCol w:w="1131"/>
        <w:gridCol w:w="1131"/>
        <w:gridCol w:w="1131"/>
        <w:gridCol w:w="1131"/>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Additional gene</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GD IVs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GD OR (95% CI)</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GD</w:t>
            </w:r>
            <w:r>
              <w:rPr>
                <w:rFonts w:ascii="Times New Roman" w:hAnsi="Times New Roman"/>
                <w:b/>
                <w:sz w:val="18"/>
              </w:rPr>
              <w:t xml:space="preserve"> </w:t>
            </w:r>
            <w:r>
              <w:rPr>
                <w:iCs/>
                <w:rFonts w:ascii="Times New Roman" w:hAnsi="Times New Roman"/>
                <w:b/>
                <w:i/>
                <w:sz w:val="18"/>
              </w:rPr>
              <w:t xml:space="preserve">P</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BBJ PP.H4</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GD PP.H4</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GO strict PP.H4</w:t>
            </w:r>
          </w:p>
        </w:tc>
      </w:tr>
      <w:tr>
        <w:trPr>
          <w:cantSplit/>
        </w:trPr>
        <w:tc>
          <w:tcPr/>
          <w:p>
            <w:pPr>
              <w:pStyle w:val="Compact"/>
              <w:spacing w:line="240" w:lineRule="auto" w:after="20" w:before="20"/>
              <w:jc w:val="left"/>
            </w:pPr>
            <w:r>
              <w:rPr>
                <w:iCs/>
                <w:rFonts w:ascii="Times New Roman" w:hAnsi="Times New Roman"/>
                <w:i/>
                <w:sz w:val="18"/>
              </w:rPr>
              <w:t xml:space="preserve">APOM</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0.05 (0.04–0.06)</w:t>
            </w:r>
          </w:p>
        </w:tc>
        <w:tc>
          <w:tcPr/>
          <w:p>
            <w:pPr>
              <w:pStyle w:val="Compact"/>
              <w:spacing w:line="240" w:lineRule="auto" w:after="20" w:before="20"/>
              <w:jc w:val="left"/>
            </w:pPr>
            <w:r>
              <w:rPr>
                <w:rFonts w:ascii="Times New Roman" w:hAnsi="Times New Roman"/>
                <w:sz w:val="18"/>
              </w:rPr>
              <w:t xml:space="preserve">1.43×10⁻¹⁰⁸</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0.227</w:t>
            </w:r>
          </w:p>
        </w:tc>
      </w:tr>
      <w:tr>
        <w:trPr>
          <w:cantSplit/>
        </w:trPr>
        <w:tc>
          <w:tcPr/>
          <w:p>
            <w:pPr>
              <w:pStyle w:val="Compact"/>
              <w:spacing w:line="240" w:lineRule="auto" w:after="20" w:before="20"/>
              <w:jc w:val="left"/>
            </w:pPr>
            <w:r>
              <w:rPr>
                <w:iCs/>
                <w:rFonts w:ascii="Times New Roman" w:hAnsi="Times New Roman"/>
                <w:i/>
                <w:sz w:val="18"/>
              </w:rPr>
              <w:t xml:space="preserve">NEU1</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0.04 (0.03–0.06)</w:t>
            </w:r>
          </w:p>
        </w:tc>
        <w:tc>
          <w:tcPr/>
          <w:p>
            <w:pPr>
              <w:pStyle w:val="Compact"/>
              <w:spacing w:line="240" w:lineRule="auto" w:after="20" w:before="20"/>
              <w:jc w:val="left"/>
            </w:pPr>
            <w:r>
              <w:rPr>
                <w:rFonts w:ascii="Times New Roman" w:hAnsi="Times New Roman"/>
                <w:sz w:val="18"/>
              </w:rPr>
              <w:t xml:space="preserve">1.43×10⁻¹⁰⁸</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0.061</w:t>
            </w:r>
          </w:p>
        </w:tc>
      </w:tr>
      <w:tr>
        <w:trPr>
          <w:cantSplit/>
        </w:trPr>
        <w:tc>
          <w:tcPr/>
          <w:p>
            <w:pPr>
              <w:pStyle w:val="Compact"/>
              <w:spacing w:line="240" w:lineRule="auto" w:after="20" w:before="20"/>
              <w:jc w:val="left"/>
            </w:pPr>
            <w:r>
              <w:rPr>
                <w:iCs/>
                <w:rFonts w:ascii="Times New Roman" w:hAnsi="Times New Roman"/>
                <w:i/>
                <w:sz w:val="18"/>
              </w:rPr>
              <w:t xml:space="preserve">IGLV2-18</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0.56 (0.48–0.66)</w:t>
            </w:r>
          </w:p>
        </w:tc>
        <w:tc>
          <w:tcPr/>
          <w:p>
            <w:pPr>
              <w:pStyle w:val="Compact"/>
              <w:spacing w:line="240" w:lineRule="auto" w:after="20" w:before="20"/>
              <w:jc w:val="left"/>
            </w:pPr>
            <w:r>
              <w:rPr>
                <w:rFonts w:ascii="Times New Roman" w:hAnsi="Times New Roman"/>
                <w:sz w:val="18"/>
              </w:rPr>
              <w:t xml:space="preserve">7.52×10⁻¹²</w:t>
            </w:r>
          </w:p>
        </w:tc>
        <w:tc>
          <w:tcPr/>
          <w:p>
            <w:pPr>
              <w:pStyle w:val="Compact"/>
              <w:spacing w:line="240" w:lineRule="auto" w:after="20" w:before="20"/>
              <w:jc w:val="left"/>
            </w:pPr>
            <w:r>
              <w:rPr>
                <w:rFonts w:ascii="Times New Roman" w:hAnsi="Times New Roman"/>
                <w:sz w:val="18"/>
              </w:rPr>
              <w:t xml:space="preserve">0.029</w:t>
            </w:r>
          </w:p>
        </w:tc>
        <w:tc>
          <w:tcPr/>
          <w:p>
            <w:pPr>
              <w:pStyle w:val="Compact"/>
              <w:spacing w:line="240" w:lineRule="auto" w:after="20" w:before="20"/>
              <w:jc w:val="left"/>
            </w:pPr>
            <w:r>
              <w:rPr>
                <w:rFonts w:ascii="Times New Roman" w:hAnsi="Times New Roman"/>
                <w:sz w:val="18"/>
              </w:rPr>
              <w:t xml:space="preserve">0.020</w:t>
            </w:r>
          </w:p>
        </w:tc>
        <w:tc>
          <w:tcPr/>
          <w:p>
            <w:pPr>
              <w:pStyle w:val="Compact"/>
              <w:spacing w:line="240" w:lineRule="auto" w:after="20" w:before="20"/>
              <w:jc w:val="left"/>
            </w:pPr>
            <w:r>
              <w:rPr>
                <w:rFonts w:ascii="Times New Roman" w:hAnsi="Times New Roman"/>
                <w:sz w:val="18"/>
              </w:rPr>
              <w:t xml:space="preserve">0.100</w:t>
            </w:r>
          </w:p>
        </w:tc>
      </w:tr>
      <w:tr>
        <w:trPr>
          <w:cantSplit/>
        </w:trPr>
        <w:tc>
          <w:tcPr/>
          <w:p>
            <w:pPr>
              <w:pStyle w:val="Compact"/>
              <w:spacing w:line="240" w:lineRule="auto" w:after="20" w:before="20"/>
              <w:jc w:val="left"/>
            </w:pPr>
            <w:r>
              <w:rPr>
                <w:iCs/>
                <w:rFonts w:ascii="Times New Roman" w:hAnsi="Times New Roman"/>
                <w:i/>
                <w:sz w:val="18"/>
              </w:rPr>
              <w:t xml:space="preserve">IGLV3-12</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1.20 (1.14–1.26)</w:t>
            </w:r>
          </w:p>
        </w:tc>
        <w:tc>
          <w:tcPr/>
          <w:p>
            <w:pPr>
              <w:pStyle w:val="Compact"/>
              <w:spacing w:line="240" w:lineRule="auto" w:after="20" w:before="20"/>
              <w:jc w:val="left"/>
            </w:pPr>
            <w:r>
              <w:rPr>
                <w:rFonts w:ascii="Times New Roman" w:hAnsi="Times New Roman"/>
                <w:sz w:val="18"/>
              </w:rPr>
              <w:t xml:space="preserve">7.52×10⁻¹²</w:t>
            </w:r>
          </w:p>
        </w:tc>
        <w:tc>
          <w:tcPr/>
          <w:p>
            <w:pPr>
              <w:pStyle w:val="Compact"/>
              <w:spacing w:line="240" w:lineRule="auto" w:after="20" w:before="20"/>
              <w:jc w:val="left"/>
            </w:pPr>
            <w:r>
              <w:rPr>
                <w:rFonts w:ascii="Times New Roman" w:hAnsi="Times New Roman"/>
                <w:sz w:val="18"/>
              </w:rPr>
              <w:t xml:space="preserve">0.019</w:t>
            </w:r>
          </w:p>
        </w:tc>
        <w:tc>
          <w:tcPr/>
          <w:p>
            <w:pPr>
              <w:pStyle w:val="Compact"/>
              <w:spacing w:line="240" w:lineRule="auto" w:after="20" w:before="20"/>
              <w:jc w:val="left"/>
            </w:pPr>
            <w:r>
              <w:rPr>
                <w:rFonts w:ascii="Times New Roman" w:hAnsi="Times New Roman"/>
                <w:sz w:val="18"/>
              </w:rPr>
              <w:t xml:space="preserve">0.022</w:t>
            </w:r>
          </w:p>
        </w:tc>
        <w:tc>
          <w:tcPr/>
          <w:p>
            <w:pPr>
              <w:pStyle w:val="Compact"/>
              <w:spacing w:line="240" w:lineRule="auto" w:after="20" w:before="20"/>
              <w:jc w:val="left"/>
            </w:pPr>
            <w:r>
              <w:rPr>
                <w:rFonts w:ascii="Times New Roman" w:hAnsi="Times New Roman"/>
                <w:sz w:val="18"/>
              </w:rPr>
              <w:t xml:space="preserve">0.101</w:t>
            </w:r>
          </w:p>
        </w:tc>
      </w:tr>
      <w:tr>
        <w:trPr>
          <w:cantSplit/>
        </w:trPr>
        <w:tc>
          <w:tcPr/>
          <w:p>
            <w:pPr>
              <w:pStyle w:val="Compact"/>
              <w:spacing w:line="240" w:lineRule="auto" w:after="20" w:before="20"/>
              <w:jc w:val="left"/>
            </w:pPr>
            <w:r>
              <w:rPr>
                <w:iCs/>
                <w:rFonts w:ascii="Times New Roman" w:hAnsi="Times New Roman"/>
                <w:i/>
                <w:sz w:val="18"/>
              </w:rPr>
              <w:t xml:space="preserve">TNF</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0.60 (0.51–0.71)</w:t>
            </w:r>
          </w:p>
        </w:tc>
        <w:tc>
          <w:tcPr/>
          <w:p>
            <w:pPr>
              <w:pStyle w:val="Compact"/>
              <w:spacing w:line="240" w:lineRule="auto" w:after="20" w:before="20"/>
              <w:jc w:val="left"/>
            </w:pPr>
            <w:r>
              <w:rPr>
                <w:rFonts w:ascii="Times New Roman" w:hAnsi="Times New Roman"/>
                <w:sz w:val="18"/>
              </w:rPr>
              <w:t xml:space="preserve">4.65×10⁻¹⁰</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HIST1H4E</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2.54 (1.88–3.43)</w:t>
            </w:r>
          </w:p>
        </w:tc>
        <w:tc>
          <w:tcPr/>
          <w:p>
            <w:pPr>
              <w:pStyle w:val="Compact"/>
              <w:spacing w:line="240" w:lineRule="auto" w:after="20" w:before="20"/>
              <w:jc w:val="left"/>
            </w:pPr>
            <w:r>
              <w:rPr>
                <w:rFonts w:ascii="Times New Roman" w:hAnsi="Times New Roman"/>
                <w:sz w:val="18"/>
              </w:rPr>
              <w:t xml:space="preserve">1.51×10⁻⁹</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0.007</w:t>
            </w:r>
          </w:p>
        </w:tc>
      </w:tr>
      <w:tr>
        <w:trPr>
          <w:cantSplit/>
        </w:trPr>
        <w:tc>
          <w:tcPr/>
          <w:p>
            <w:pPr>
              <w:pStyle w:val="Compact"/>
              <w:spacing w:line="240" w:lineRule="auto" w:after="20" w:before="20"/>
              <w:jc w:val="left"/>
            </w:pPr>
            <w:r>
              <w:rPr>
                <w:iCs/>
                <w:rFonts w:ascii="Times New Roman" w:hAnsi="Times New Roman"/>
                <w:i/>
                <w:sz w:val="18"/>
              </w:rPr>
              <w:t xml:space="preserve">LTA</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0.46 (0.35–0.61)</w:t>
            </w:r>
          </w:p>
        </w:tc>
        <w:tc>
          <w:tcPr/>
          <w:p>
            <w:pPr>
              <w:pStyle w:val="Compact"/>
              <w:spacing w:line="240" w:lineRule="auto" w:after="20" w:before="20"/>
              <w:jc w:val="left"/>
            </w:pPr>
            <w:r>
              <w:rPr>
                <w:rFonts w:ascii="Times New Roman" w:hAnsi="Times New Roman"/>
                <w:sz w:val="18"/>
              </w:rPr>
              <w:t xml:space="preserve">3.75×10⁻⁸</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LTB</w:t>
            </w:r>
          </w:p>
        </w:tc>
        <w:tc>
          <w:tcPr/>
          <w:p>
            <w:pPr>
              <w:pStyle w:val="Compact"/>
              <w:spacing w:line="240" w:lineRule="auto" w:after="20" w:before="20"/>
              <w:jc w:val="left"/>
            </w:pPr>
            <w:r>
              <w:rPr>
                <w:rFonts w:ascii="Times New Roman" w:hAnsi="Times New Roman"/>
                <w:sz w:val="18"/>
              </w:rPr>
              <w:t xml:space="preserve">1</w:t>
            </w:r>
          </w:p>
        </w:tc>
        <w:tc>
          <w:tcPr/>
          <w:p>
            <w:pPr>
              <w:pStyle w:val="Compact"/>
              <w:spacing w:line="240" w:lineRule="auto" w:after="20" w:before="20"/>
              <w:jc w:val="left"/>
            </w:pPr>
            <w:r>
              <w:rPr>
                <w:rFonts w:ascii="Times New Roman" w:hAnsi="Times New Roman"/>
                <w:sz w:val="18"/>
              </w:rPr>
              <w:t xml:space="preserve">0.18 (0.10–0.36)</w:t>
            </w:r>
          </w:p>
        </w:tc>
        <w:tc>
          <w:tcPr/>
          <w:p>
            <w:pPr>
              <w:pStyle w:val="Compact"/>
              <w:spacing w:line="240" w:lineRule="auto" w:after="20" w:before="20"/>
              <w:jc w:val="left"/>
            </w:pPr>
            <w:r>
              <w:rPr>
                <w:rFonts w:ascii="Times New Roman" w:hAnsi="Times New Roman"/>
                <w:sz w:val="18"/>
              </w:rPr>
              <w:t xml:space="preserve">4.89×10⁻⁷</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r>
      <w:tr>
        <w:trPr>
          <w:cantSplit/>
        </w:trPr>
        <w:tc>
          <w:tcPr/>
          <w:p>
            <w:pPr>
              <w:pStyle w:val="Compact"/>
              <w:spacing w:line="240" w:lineRule="auto" w:after="20" w:before="20"/>
              <w:jc w:val="left"/>
            </w:pPr>
            <w:r>
              <w:rPr>
                <w:iCs/>
                <w:rFonts w:ascii="Times New Roman" w:hAnsi="Times New Roman"/>
                <w:i/>
                <w:sz w:val="18"/>
              </w:rPr>
              <w:t xml:space="preserve">C4B</w:t>
            </w:r>
          </w:p>
        </w:tc>
        <w:tc>
          <w:tcPr/>
          <w:p>
            <w:pPr>
              <w:pStyle w:val="Compact"/>
              <w:spacing w:line="240" w:lineRule="auto" w:after="20" w:before="20"/>
              <w:jc w:val="left"/>
            </w:pPr>
            <w:r>
              <w:rPr>
                <w:rFonts w:ascii="Times New Roman" w:hAnsi="Times New Roman"/>
                <w:sz w:val="18"/>
              </w:rPr>
              <w:t xml:space="preserve">2</w:t>
            </w:r>
          </w:p>
        </w:tc>
        <w:tc>
          <w:tcPr/>
          <w:p>
            <w:pPr>
              <w:pStyle w:val="Compact"/>
              <w:spacing w:line="240" w:lineRule="auto" w:after="20" w:before="20"/>
              <w:jc w:val="left"/>
            </w:pPr>
            <w:r>
              <w:rPr>
                <w:rFonts w:ascii="Times New Roman" w:hAnsi="Times New Roman"/>
                <w:sz w:val="18"/>
              </w:rPr>
              <w:t xml:space="preserve">1.63 (1.31–2.03)</w:t>
            </w:r>
          </w:p>
        </w:tc>
        <w:tc>
          <w:tcPr/>
          <w:p>
            <w:pPr>
              <w:pStyle w:val="Compact"/>
              <w:spacing w:line="240" w:lineRule="auto" w:after="20" w:before="20"/>
              <w:jc w:val="left"/>
            </w:pPr>
            <w:r>
              <w:rPr>
                <w:rFonts w:ascii="Times New Roman" w:hAnsi="Times New Roman"/>
                <w:sz w:val="18"/>
              </w:rPr>
              <w:t xml:space="preserve">1.10×10⁻⁵</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&lt;0.001</w:t>
            </w:r>
          </w:p>
        </w:tc>
        <w:tc>
          <w:tcPr/>
          <w:p>
            <w:pPr>
              <w:pStyle w:val="Compact"/>
              <w:spacing w:line="240" w:lineRule="auto" w:after="20" w:before="20"/>
              <w:jc w:val="left"/>
            </w:pPr>
            <w:r>
              <w:rPr>
                <w:rFonts w:ascii="Times New Roman" w:hAnsi="Times New Roman"/>
                <w:sz w:val="18"/>
              </w:rPr>
              <w:t xml:space="preserve">0.311</w:t>
            </w:r>
          </w:p>
        </w:tc>
      </w:tr>
    </w:tbl>
    <w:bookmarkEnd w:id="23"/>
    <w:bookmarkStart w:id="24" w:name="c.-frequency-sensitive-results"/>
    <w:p>
      <w:pPr>
        <w:pStyle w:val="Heading3"/>
        <w:pageBreakBefore/>
      </w:pPr>
      <w:r>
        <w:rPr>
          <w:color w:val="000000"/>
        </w:rPr>
        <w:t xml:space="preserve">C. Frequency-sensitive results</w:t>
      </w:r>
    </w:p>
    <w:tbl>
      <w:tblPr>
        <w:tblStyle w:val="Table"/>
        <w:tblW w:type="pct" w:w="5000"/>
        <w:jc w:val="center"/>
        <w:tblLook w:firstRow="1" w:lastRow="0" w:firstColumn="0" w:lastColumn="0" w:noHBand="0" w:noVBand="0" w:val="0020"/>
        <w:tblBorders>
          <w:top w:val="single" w:sz="12" w:space="0" w:color="000000"/>
          <w:bottom w:val="single" w:sz="12" w:space="0" w:color="000000"/>
        </w:tblBorders>
      </w:tblPr>
      <w:tblGrid>
        <w:gridCol w:w="1320"/>
        <w:gridCol w:w="1320"/>
        <w:gridCol w:w="1320"/>
        <w:gridCol w:w="1320"/>
        <w:gridCol w:w="1320"/>
        <w:gridCol w:w="1320"/>
      </w:tblGrid>
      <w:tr>
        <w:trPr>
          <w:tblHeader w:val="true"/>
          <w:cantSplit/>
          <w:tblHeader/>
        </w:trPr>
        <w:tc>
          <w:tcPr>
            <w:tcBorders>
              <w:bottom w:val="single" w:sz="8" w:space="0" w:color="000000"/>
            </w:tcBorders>
          </w:tcPr>
          <w:p>
            <w:pPr>
              <w:pStyle w:val="Compact"/>
              <w:spacing w:line="240" w:lineRule="auto" w:after="20" w:before="20"/>
              <w:jc w:val="left"/>
            </w:pPr>
            <w:r>
              <w:rPr>
                <w:rFonts w:ascii="Times New Roman" w:hAnsi="Times New Roman"/>
                <w:b/>
                <w:sz w:val="18"/>
              </w:rPr>
              <w:t xml:space="preserve">Gene / GD analysis</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Reference OR (95% CI)</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Reference</w:t>
            </w:r>
            <w:r>
              <w:rPr>
                <w:rFonts w:ascii="Times New Roman" w:hAnsi="Times New Roman"/>
                <w:b/>
                <w:sz w:val="18"/>
              </w:rPr>
              <w:t xml:space="preserve"> </w:t>
            </w:r>
            <w:r>
              <w:rPr>
                <w:iCs/>
                <w:rFonts w:ascii="Times New Roman" w:hAnsi="Times New Roman"/>
                <w:b/>
                <w:i/>
                <w:sz w:val="18"/>
              </w:rPr>
              <w:t xml:space="preserve">P</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Cohort-frequency OR (95% CI)</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Cohort</w:t>
            </w:r>
            <w:r>
              <w:rPr>
                <w:rFonts w:ascii="Times New Roman" w:hAnsi="Times New Roman"/>
                <w:b/>
                <w:sz w:val="18"/>
              </w:rPr>
              <w:t xml:space="preserve"> </w:t>
            </w:r>
            <w:r>
              <w:rPr>
                <w:iCs/>
                <w:rFonts w:ascii="Times New Roman" w:hAnsi="Times New Roman"/>
                <w:b/>
                <w:i/>
                <w:sz w:val="18"/>
              </w:rPr>
              <w:t xml:space="preserve">P</w:t>
            </w:r>
          </w:p>
        </w:tc>
        <w:tc>
          <w:tcPr>
            <w:tcBorders>
              <w:bottom w:val="single" w:sz="8" w:space="0" w:color="000000"/>
            </w:tcBorders>
          </w:tcPr>
          <w:p>
            <w:pPr>
              <w:pStyle w:val="Compact"/>
              <w:spacing w:line="240" w:lineRule="auto" w:after="20" w:before="20"/>
              <w:jc w:val="left"/>
            </w:pPr>
            <w:r>
              <w:rPr>
                <w:rFonts w:ascii="Times New Roman" w:hAnsi="Times New Roman"/>
                <w:b/>
                <w:sz w:val="18"/>
              </w:rPr>
              <w:t xml:space="preserve">Interpretation</w:t>
            </w:r>
          </w:p>
        </w:tc>
      </w:tr>
      <w:tr>
        <w:trPr>
          <w:cantSplit/>
        </w:trPr>
        <w:tc>
          <w:tcPr/>
          <w:p>
            <w:pPr>
              <w:pStyle w:val="Compact"/>
              <w:spacing w:line="240" w:lineRule="auto" w:after="20" w:before="20"/>
              <w:jc w:val="left"/>
            </w:pPr>
            <w:r>
              <w:rPr>
                <w:iCs/>
                <w:rFonts w:ascii="Times New Roman" w:hAnsi="Times New Roman"/>
                <w:i/>
                <w:sz w:val="18"/>
              </w:rPr>
              <w:t xml:space="preserve">C4B</w:t>
            </w:r>
          </w:p>
        </w:tc>
        <w:tc>
          <w:tcPr/>
          <w:p>
            <w:pPr>
              <w:pStyle w:val="Compact"/>
              <w:spacing w:line="240" w:lineRule="auto" w:after="20" w:before="20"/>
              <w:jc w:val="left"/>
            </w:pPr>
            <w:r>
              <w:rPr>
                <w:rFonts w:ascii="Times New Roman" w:hAnsi="Times New Roman"/>
                <w:sz w:val="18"/>
              </w:rPr>
              <w:t xml:space="preserve">1.63 (1.31–2.03)</w:t>
            </w:r>
          </w:p>
        </w:tc>
        <w:tc>
          <w:tcPr/>
          <w:p>
            <w:pPr>
              <w:pStyle w:val="Compact"/>
              <w:spacing w:line="240" w:lineRule="auto" w:after="20" w:before="20"/>
              <w:jc w:val="left"/>
            </w:pPr>
            <w:r>
              <w:rPr>
                <w:rFonts w:ascii="Times New Roman" w:hAnsi="Times New Roman"/>
                <w:sz w:val="18"/>
              </w:rPr>
              <w:t xml:space="preserve">1.10×10⁻⁵</w:t>
            </w:r>
          </w:p>
        </w:tc>
        <w:tc>
          <w:tcPr/>
          <w:p>
            <w:pPr>
              <w:pStyle w:val="Compact"/>
              <w:spacing w:line="240" w:lineRule="auto" w:after="20" w:before="20"/>
              <w:jc w:val="left"/>
            </w:pPr>
            <w:r>
              <w:rPr>
                <w:rFonts w:ascii="Times New Roman" w:hAnsi="Times New Roman"/>
                <w:sz w:val="18"/>
              </w:rPr>
              <w:t xml:space="preserve">1.75 (1.31–2.33)</w:t>
            </w:r>
          </w:p>
        </w:tc>
        <w:tc>
          <w:tcPr/>
          <w:p>
            <w:pPr>
              <w:pStyle w:val="Compact"/>
              <w:spacing w:line="240" w:lineRule="auto" w:after="20" w:before="20"/>
              <w:jc w:val="left"/>
            </w:pPr>
            <w:r>
              <w:rPr>
                <w:rFonts w:ascii="Times New Roman" w:hAnsi="Times New Roman"/>
                <w:sz w:val="18"/>
              </w:rPr>
              <w:t xml:space="preserve">1.48×10⁻⁴</w:t>
            </w:r>
          </w:p>
        </w:tc>
        <w:tc>
          <w:tcPr/>
          <w:p>
            <w:pPr>
              <w:pStyle w:val="Compact"/>
              <w:spacing w:line="240" w:lineRule="auto" w:after="20" w:before="20"/>
              <w:jc w:val="left"/>
            </w:pPr>
            <w:r>
              <w:rPr>
                <w:rFonts w:ascii="Times New Roman" w:hAnsi="Times New Roman"/>
                <w:sz w:val="18"/>
              </w:rPr>
              <w:t xml:space="preserve">Heterogeneous; loses screen significance</w:t>
            </w:r>
          </w:p>
        </w:tc>
      </w:tr>
      <w:tr>
        <w:trPr>
          <w:cantSplit/>
        </w:trPr>
        <w:tc>
          <w:tcPr/>
          <w:p>
            <w:pPr>
              <w:pStyle w:val="Compact"/>
              <w:spacing w:line="240" w:lineRule="auto" w:after="20" w:before="20"/>
              <w:jc w:val="left"/>
            </w:pPr>
            <w:r>
              <w:rPr>
                <w:iCs/>
                <w:rFonts w:ascii="Times New Roman" w:hAnsi="Times New Roman"/>
                <w:i/>
                <w:sz w:val="18"/>
              </w:rPr>
              <w:t xml:space="preserve">HLA-G</w:t>
            </w:r>
          </w:p>
        </w:tc>
        <w:tc>
          <w:tcPr/>
          <w:p>
            <w:pPr>
              <w:pStyle w:val="Compact"/>
              <w:spacing w:line="240" w:lineRule="auto" w:after="20" w:before="20"/>
              <w:jc w:val="left"/>
            </w:pPr>
            <w:r>
              <w:rPr>
                <w:rFonts w:ascii="Times New Roman" w:hAnsi="Times New Roman"/>
                <w:sz w:val="18"/>
              </w:rPr>
              <w:t xml:space="preserve">0.86 (0.72–1.03)</w:t>
            </w:r>
          </w:p>
        </w:tc>
        <w:tc>
          <w:tcPr/>
          <w:p>
            <w:pPr>
              <w:pStyle w:val="Compact"/>
              <w:spacing w:line="240" w:lineRule="auto" w:after="20" w:before="20"/>
              <w:jc w:val="left"/>
            </w:pPr>
            <w:r>
              <w:rPr>
                <w:rFonts w:ascii="Times New Roman" w:hAnsi="Times New Roman"/>
                <w:sz w:val="18"/>
              </w:rPr>
              <w:t xml:space="preserve">0.107</w:t>
            </w:r>
          </w:p>
        </w:tc>
        <w:tc>
          <w:tcPr/>
          <w:p>
            <w:pPr>
              <w:pStyle w:val="Compact"/>
              <w:spacing w:line="240" w:lineRule="auto" w:after="20" w:before="20"/>
              <w:jc w:val="left"/>
            </w:pPr>
            <w:r>
              <w:rPr>
                <w:rFonts w:ascii="Times New Roman" w:hAnsi="Times New Roman"/>
                <w:sz w:val="18"/>
              </w:rPr>
              <w:t xml:space="preserve">0.60 (0.47–0.75)</w:t>
            </w:r>
          </w:p>
        </w:tc>
        <w:tc>
          <w:tcPr/>
          <w:p>
            <w:pPr>
              <w:pStyle w:val="Compact"/>
              <w:spacing w:line="240" w:lineRule="auto" w:after="20" w:before="20"/>
              <w:jc w:val="left"/>
            </w:pPr>
            <w:r>
              <w:rPr>
                <w:rFonts w:ascii="Times New Roman" w:hAnsi="Times New Roman"/>
                <w:sz w:val="18"/>
              </w:rPr>
              <w:t xml:space="preserve">1.72×10⁻⁵</w:t>
            </w:r>
          </w:p>
        </w:tc>
        <w:tc>
          <w:tcPr/>
          <w:p>
            <w:pPr>
              <w:pStyle w:val="Compact"/>
              <w:spacing w:line="240" w:lineRule="auto" w:after="20" w:before="20"/>
              <w:jc w:val="left"/>
            </w:pPr>
            <w:r>
              <w:rPr>
                <w:rFonts w:ascii="Times New Roman" w:hAnsi="Times New Roman"/>
                <w:sz w:val="18"/>
              </w:rPr>
              <w:t xml:space="preserve">Weight-sensitive; single-variant dependence</w:t>
            </w:r>
          </w:p>
        </w:tc>
      </w:tr>
    </w:tbl>
    <w:p>
      <w:pPr>
        <w:pStyle w:val="BodyText"/>
        <w:spacing w:line="264" w:lineRule="auto" w:after="120"/>
      </w:pPr>
      <w:r>
        <w:rPr>
          <w:color w:val="000000"/>
          <w:sz w:val="18"/>
        </w:rPr>
        <w:t xml:space="preserve">Panel A: focused support requires concordant direction and</w:t>
      </w:r>
      <w:r>
        <w:rPr>
          <w:color w:val="000000"/>
          <w:sz w:val="18"/>
        </w:rPr>
        <w:t xml:space="preserve"> </w:t>
      </w:r>
      <w:r>
        <w:rPr>
          <w:iCs/>
          <w:i/>
          <w:color w:val="000000"/>
          <w:sz w:val="18"/>
        </w:rPr>
        <w:t xml:space="preserve">P</w:t>
      </w:r>
      <w:r>
        <w:rPr>
          <w:color w:val="000000"/>
          <w:sz w:val="18"/>
        </w:rPr>
        <w:t xml:space="preserve"> </w:t>
      </w:r>
      <w:r>
        <w:rPr>
          <w:color w:val="000000"/>
          <w:sz w:val="18"/>
        </w:rPr>
        <w:t xml:space="preserve">&lt; 0.05/13; 7 of 13 qualify. NA is unavailable, not a negative result. Panel B: nine additional reference-frequency FinnGen GD discoveries at</w:t>
      </w:r>
      <w:r>
        <w:rPr>
          <w:color w:val="000000"/>
          <w:sz w:val="18"/>
        </w:rPr>
        <w:t xml:space="preserve"> </w:t>
      </w:r>
      <w:r>
        <w:rPr>
          <w:iCs/>
          <w:i/>
          <w:color w:val="000000"/>
          <w:sz w:val="18"/>
        </w:rPr>
        <w:t xml:space="preserve">P</w:t>
      </w:r>
      <w:r>
        <w:rPr>
          <w:color w:val="000000"/>
          <w:sz w:val="18"/>
        </w:rPr>
        <w:t xml:space="preserve"> </w:t>
      </w:r>
      <w:r>
        <w:rPr>
          <w:color w:val="000000"/>
          <w:sz w:val="18"/>
        </w:rPr>
        <w:t xml:space="preserve">&lt; 0.05/2,544; post hoc and not independent of the full screen. Seven of the nine are instrumented within the extended MHC region on chromosome 6.</w:t>
      </w:r>
      <w:r>
        <w:rPr>
          <w:color w:val="000000"/>
          <w:sz w:val="18"/>
        </w:rPr>
        <w:t xml:space="preserve"> </w:t>
      </w:r>
      <w:r>
        <w:rPr>
          <w:iCs/>
          <w:i/>
          <w:color w:val="000000"/>
          <w:sz w:val="18"/>
        </w:rPr>
        <w:t xml:space="preserve">APOM</w:t>
      </w:r>
      <w:r>
        <w:rPr>
          <w:color w:val="000000"/>
          <w:sz w:val="18"/>
        </w:rPr>
        <w:t xml:space="preserve">/</w:t>
      </w:r>
      <w:r>
        <w:rPr>
          <w:iCs/>
          <w:i/>
          <w:color w:val="000000"/>
          <w:sz w:val="18"/>
        </w:rPr>
        <w:t xml:space="preserve">NEU1</w:t>
      </w:r>
      <w:r>
        <w:rPr>
          <w:color w:val="000000"/>
          <w:sz w:val="18"/>
        </w:rPr>
        <w:t xml:space="preserve"> </w:t>
      </w:r>
      <w:r>
        <w:rPr>
          <w:color w:val="000000"/>
          <w:sz w:val="18"/>
        </w:rPr>
        <w:t xml:space="preserve">share rs3101018;</w:t>
      </w:r>
      <w:r>
        <w:rPr>
          <w:color w:val="000000"/>
          <w:sz w:val="18"/>
        </w:rPr>
        <w:t xml:space="preserve"> </w:t>
      </w:r>
      <w:r>
        <w:rPr>
          <w:iCs/>
          <w:i/>
          <w:color w:val="000000"/>
          <w:sz w:val="18"/>
        </w:rPr>
        <w:t xml:space="preserve">IGLV2-18</w:t>
      </w:r>
      <w:r>
        <w:rPr>
          <w:color w:val="000000"/>
          <w:sz w:val="18"/>
        </w:rPr>
        <w:t xml:space="preserve">/</w:t>
      </w:r>
      <w:r>
        <w:rPr>
          <w:iCs/>
          <w:i/>
          <w:color w:val="000000"/>
          <w:sz w:val="18"/>
        </w:rPr>
        <w:t xml:space="preserve">IGLV3-12</w:t>
      </w:r>
      <w:r>
        <w:rPr>
          <w:color w:val="000000"/>
          <w:sz w:val="18"/>
        </w:rPr>
        <w:t xml:space="preserve"> </w:t>
      </w:r>
      <w:r>
        <w:rPr>
          <w:color w:val="000000"/>
          <w:sz w:val="18"/>
        </w:rPr>
        <w:t xml:space="preserve">share rs5759410. The lead</w:t>
      </w:r>
      <w:r>
        <w:rPr>
          <w:color w:val="000000"/>
          <w:sz w:val="18"/>
        </w:rPr>
        <w:t xml:space="preserve"> </w:t>
      </w:r>
      <w:r>
        <w:rPr>
          <w:iCs/>
          <w:i/>
          <w:color w:val="000000"/>
          <w:sz w:val="18"/>
        </w:rPr>
        <w:t xml:space="preserve">IGLV</w:t>
      </w:r>
      <w:r>
        <w:rPr>
          <w:color w:val="000000"/>
          <w:sz w:val="18"/>
        </w:rPr>
        <w:t xml:space="preserve"> </w:t>
      </w:r>
      <w:r>
        <w:rPr>
          <w:color w:val="000000"/>
          <w:sz w:val="18"/>
        </w:rPr>
        <w:t xml:space="preserve">expression variant is absent in BBJ, weakening interpretation of its low PP.H4. Panel C:</w:t>
      </w:r>
      <w:r>
        <w:rPr>
          <w:color w:val="000000"/>
          <w:sz w:val="18"/>
        </w:rPr>
        <w:t xml:space="preserve"> </w:t>
      </w:r>
      <w:r>
        <w:rPr>
          <w:iCs/>
          <w:i/>
          <w:color w:val="000000"/>
          <w:sz w:val="18"/>
        </w:rPr>
        <w:t xml:space="preserve">HLA-G</w:t>
      </w:r>
      <w:r>
        <w:rPr>
          <w:color w:val="000000"/>
          <w:sz w:val="18"/>
        </w:rPr>
        <w:t xml:space="preserve"> </w:t>
      </w:r>
      <w:r>
        <w:rPr>
          <w:color w:val="000000"/>
          <w:sz w:val="18"/>
        </w:rPr>
        <w:t xml:space="preserve">was added because of frequency sensitivity, not primary discovery. Neither</w:t>
      </w:r>
      <w:r>
        <w:rPr>
          <w:color w:val="000000"/>
          <w:sz w:val="18"/>
        </w:rPr>
        <w:t xml:space="preserve"> </w:t>
      </w:r>
      <w:r>
        <w:rPr>
          <w:iCs/>
          <w:i/>
          <w:color w:val="000000"/>
          <w:sz w:val="18"/>
        </w:rPr>
        <w:t xml:space="preserve">C4B</w:t>
      </w:r>
      <w:r>
        <w:rPr>
          <w:color w:val="000000"/>
          <w:sz w:val="18"/>
        </w:rPr>
        <w:t xml:space="preserve"> </w:t>
      </w:r>
      <w:r>
        <w:rPr>
          <w:color w:val="000000"/>
          <w:sz w:val="18"/>
        </w:rPr>
        <w:t xml:space="preserve">nor</w:t>
      </w:r>
      <w:r>
        <w:rPr>
          <w:color w:val="000000"/>
          <w:sz w:val="18"/>
        </w:rPr>
        <w:t xml:space="preserve"> </w:t>
      </w:r>
      <w:r>
        <w:rPr>
          <w:iCs/>
          <w:i/>
          <w:color w:val="000000"/>
          <w:sz w:val="18"/>
        </w:rPr>
        <w:t xml:space="preserve">HLA-G</w:t>
      </w:r>
      <w:r>
        <w:rPr>
          <w:color w:val="000000"/>
          <w:sz w:val="18"/>
        </w:rPr>
        <w:t xml:space="preserve"> </w:t>
      </w:r>
      <w:r>
        <w:rPr>
          <w:color w:val="000000"/>
          <w:sz w:val="18"/>
        </w:rPr>
        <w:t xml:space="preserve">gains strong GD colocalization. All 24 genes and five datasets are available in the workbook.</w:t>
      </w:r>
    </w:p>
    <w:bookmarkEnd w:id="24"/>
    <w:bookmarkEnd w:id="25"/>
    <w:sectPr>
      <w:footerReference w:type="default" r:id="rId9"/>
      <w:pgSz w:orient="landscape" w:w="16834" w:h="11909"/>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after="80"/>
    </w:pPr>
    <w:rPr>
      <w:rFonts w:ascii="Times New Roman" w:hAnsi="Times New Roman" w:eastAsia="Times New Roman" w:cs="Times New Roman"/>
      <w:sz w:val="20"/>
    </w:rPr>
  </w:style>
  <w:style w:styleId="BodyText" w:type="paragraph">
    <w:name w:val="Body Text"/>
    <w:basedOn w:val="Normal"/>
    <w:link w:val="BodyTextChar"/>
    <w:pPr>
      <w:spacing w:after="80" w:before="180" w:line="264" w:lineRule="auto"/>
    </w:pPr>
    <w:qFormat/>
    <w:rPr>
      <w:rFonts w:ascii="Times New Roman" w:hAnsi="Times New Roman" w:eastAsia="Times New Roman" w:cs="Times New Roman"/>
      <w:sz w:val="20"/>
    </w:rPr>
  </w:style>
  <w:style w:customStyle="1" w:styleId="FirstParagraph" w:type="paragraph">
    <w:name w:val="First Paragraph"/>
    <w:basedOn w:val="BodyText"/>
    <w:next w:val="BodyText"/>
    <w:qFormat/>
    <w:pPr>
      <w:spacing w:line="264" w:lineRule="auto" w:after="80"/>
    </w:pPr>
    <w:rPr>
      <w:rFonts w:ascii="Times New Roman" w:hAnsi="Times New Roman" w:eastAsia="Times New Roman" w:cs="Times New Roman"/>
      <w:sz w:val="20"/>
    </w:rPr>
  </w:style>
  <w:style w:customStyle="1" w:styleId="Compact" w:type="paragraph">
    <w:name w:val="Compact"/>
    <w:basedOn w:val="BodyText"/>
    <w:qFormat/>
    <w:pPr>
      <w:spacing w:after="80" w:before="36" w:line="264" w:lineRule="auto"/>
    </w:pPr>
    <w:rPr>
      <w:rFonts w:ascii="Times New Roman" w:hAnsi="Times New Roman" w:eastAsia="Times New Roman" w:cs="Times New Roman"/>
      <w:sz w:val="20"/>
    </w:rPr>
  </w:style>
  <w:style w:styleId="Title" w:type="paragraph">
    <w:name w:val="Title"/>
    <w:basedOn w:val="Normal"/>
    <w:next w:val="BodyText"/>
    <w:qFormat/>
    <w:pPr>
      <w:keepNext/>
      <w:keepLines/>
      <w:spacing w:after="120" w:before="240" w:line="276" w:lineRule="auto"/>
      <w:jc w:val="center"/>
    </w:pPr>
    <w:rPr>
      <w:rFonts w:ascii="Times New Roman" w:hAnsi="Times New Roman" w:eastAsia="Times New Roman" w:cs="Times New Roman"/>
      <w:b/>
      <w:bCs/>
      <w:i w:val="0"/>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eastAsia="Times New Roman" w:cs="Times New Roman"/>
      <w:b/>
      <w:bCs/>
      <w:i w:val="0"/>
      <w:color w:val="000000"/>
      <w:sz w:val="26"/>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eastAsia="Times New Roman" w:cs="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264" w:lineRule="auto"/>
      <w:ind w:firstLine="0" w:left="480" w:right="480"/>
    </w:pPr>
    <w:rPr>
      <w:rFonts w:ascii="Times New Roman" w:hAnsi="Times New Roman" w:eastAsia="Times New Roman" w:cs="Times New Roman"/>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264" w:lineRule="auto" w:after="80"/>
    </w:pPr>
    <w:rPr>
      <w:rFonts w:ascii="Times New Roman" w:hAnsi="Times New Roman" w:eastAsia="Times New Roman" w:cs="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tables</dc:title>
  <dc:creator>Jungyul Park; Min-Seon Kim; Kyung-Hwa Shin; Suk-Woo Yang</dc:creator>
  <cp:keywords/>
  <dcterms:created xsi:type="dcterms:W3CDTF">2026-10-14T07:10:59Z</dcterms:created>
  <dcterms:modified xsi:type="dcterms:W3CDTF">2026-10-14T07:10:59Z</dcterms:modified>
  <cp:lastModifiedBy/>
  <dc:description/>
</cp:coreProperties>
</file>

<file path=docProps/custom.xml><?xml version="1.0" encoding="utf-8"?>
<Properties xmlns="http://schemas.openxmlformats.org/officeDocument/2006/custom-properties" xmlns:vt="http://schemas.openxmlformats.org/officeDocument/2006/docPropsVTypes"/>
</file>