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8e4de8cb1853d52dd775242776ae16b70cd596c"/>
    <w:p>
      <w:pPr>
        <w:pStyle w:val="Heading1"/>
      </w:pPr>
      <w:r>
        <w:t xml:space="preserve">A drug target that is not a susceptibility locus: druggable-gene-wide Mendelian randomization distinguishes TSHR anchoring from IGF1R effector biology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TED-specific outcomes. This design-based approach uses the standard errors actually obtained after harmonization rather than reconstructed variance components, and is reported for all genes and for the prespecified backbone loci (Table S8).</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TED-specific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robust novel target should accordingly be read as evidence against additional large, expression-colocalized druggable effects rather than against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TED-specific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for Graves disease — resolved to a shared causal variant and a single credible set rather than merely rediscovered as an association — whose signal is also recovered in a TED-enriched case series, although a TED-specific effect separable from Graves disease liability is not established by these data.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prespecified backbone gene evaluated across multiple evidence layers rather than judged on discovery significance alone.</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&gt; 0.99;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and restricting the detectable effect range (Table S8); outcome-dependent patterns, including the mixed</w:t>
      </w:r>
      <w:r>
        <w:t xml:space="preserve"> </w:t>
      </w:r>
      <w:r>
        <w:rPr>
          <w:iCs/>
          <w:i/>
        </w:rPr>
        <w:t xml:space="preserve">CTLA4</w:t>
      </w:r>
      <w:r>
        <w:t xml:space="preserve"> </w:t>
      </w:r>
      <w:r>
        <w:t xml:space="preserve">colocalization result, may also reflect ancestry, phenotype, and locus complexity. Sixth, and more fundamentally, the TED-specific outcome ascertains Graves ophthalmopathy cases among individuals with Graves disease and compares them with population controls, so its genetic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in this outcome should therefore be read as reproducibility of the underlying Graves disease signal in a TED-enriched case series rather than as evidence of a TED-specific causal effect independent of Graves disease liability. Separating the two would require a within-Graves contrast of patients with and without orbitopathy, which currently available GWAS do not provide at adequate power.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whose signal was also recovered in a TED-enriched case series,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numPr>
          <w:ilvl w:val="0"/>
          <w:numId w:val="1003"/>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TED-specific).</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2,235</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(TED-specific)</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prespecified backbone gene across multiple evidence layers rather than on discovery significance alone. Conversely, the absence of a robust novel target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2026-08-12T04:48:25Z</dcterms:created>
  <dcterms:modified xsi:type="dcterms:W3CDTF">2026-08-12T04:48:25Z</dcterms:modified>
</cp:coreProperties>
</file>

<file path=docProps/custom.xml><?xml version="1.0" encoding="utf-8"?>
<Properties xmlns="http://schemas.openxmlformats.org/officeDocument/2006/custom-properties" xmlns:vt="http://schemas.openxmlformats.org/officeDocument/2006/docPropsVTypes"/>
</file>