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Title"/>
        <w:widowControl/>
        <w:spacing w:before="0"/>
      </w:pPr>
      <w:r>
        <w:t xml:space="preserve">Cover letter</w:t>
      </w:r>
    </w:p>
    <w:p>
      <w:pPr>
        <w:pStyle w:val="FirstParagraph"/>
        <w:widowControl/>
      </w:pPr>
      <w:r>
        <w:t xml:space="preserve">12 September 2026</w:t>
      </w:r>
    </w:p>
    <w:p>
      <w:pPr>
        <w:pStyle w:val="BodyText"/>
        <w:widowControl/>
      </w:pPr>
      <w:r>
        <w:t xml:space="preserve">The Editor-in-Chief</w:t>
      </w:r>
      <w:r>
        <w:br/>
      </w:r>
      <w:r>
        <w:rPr>
          <w:iCs/>
          <w:i/>
        </w:rPr>
        <w:t xml:space="preserve">Endocrine Connections</w:t>
      </w:r>
    </w:p>
    <w:p>
      <w:pPr>
        <w:pStyle w:val="BodyText"/>
        <w:widowControl/>
      </w:pPr>
      <w:r>
        <w:t xml:space="preserve">Dear Editor-in-Chief,</w:t>
      </w:r>
    </w:p>
    <w:p>
      <w:pPr>
        <w:pStyle w:val="BodyText"/>
        <w:widowControl/>
      </w:pPr>
      <w:r>
        <w:t xml:space="preserve">Please consider</w:t>
      </w:r>
      <w:r>
        <w:t xml:space="preserve"> </w:t>
      </w:r>
      <w:r>
        <w:t xml:space="preserve">“</w:t>
      </w:r>
      <w:r>
        <w:t xml:space="preserve">TSHR and IGF1R expression in Graves disease: Mendelian randomization and colocalization</w:t>
      </w:r>
      <w:r>
        <w:t xml:space="preserve">”</w:t>
      </w:r>
      <w:r>
        <w:t xml:space="preserve"> </w:t>
      </w:r>
      <w:r>
        <w:t xml:space="preserve">as an original research article.</w:t>
      </w:r>
    </w:p>
    <w:p>
      <w:pPr>
        <w:pStyle w:val="BodyText"/>
        <w:widowControl/>
      </w:pPr>
      <w:r>
        <w:t xml:space="preserve">Teprotumumab is effective in thyroid eye disease, but therapeutic efficacy and inherited disease susceptibility address different questions. We compared genetically proxied blood expression of TSHR and IGF1R within a screen of 2,544 druggable genes. Biobank Japan Graves disease was the discovery outcome, with UK Biobank hyperthyroidism and FinnGen Graves ophthalmopathy providing additional comparisons.</w:t>
      </w:r>
    </w:p>
    <w:p>
      <w:pPr>
        <w:pStyle w:val="BodyText"/>
        <w:widowControl/>
      </w:pPr>
      <w:r>
        <w:t xml:space="preserve">Thirteen genes met the discovery threshold. TSHR showed associations in all outcomes and strong shared expression–disease signals in BBJ and FinnGen. IGF1R showed nominal associations in BBJ and UKB, but its shared-variant evidence remained unresolved. No additional candidate met the combined BBJ and FinnGen criterion. Cohort-frequency sensitivity analyses preserved the discovery-hit set and colocalization classifications while changing some estimates and detection thresholds.</w:t>
      </w:r>
    </w:p>
    <w:p>
      <w:pPr>
        <w:pStyle w:val="BodyText"/>
        <w:widowControl/>
      </w:pPr>
      <w:r>
        <w:t xml:space="preserve">The manuscript presents odds ratios, confidence intervals and</w:t>
      </w:r>
      <w:r>
        <w:t xml:space="preserve"> </w:t>
      </w:r>
      <w:r>
        <w:rPr>
          <w:iCs/>
          <w:i/>
        </w:rPr>
        <w:t xml:space="preserve">P</w:t>
      </w:r>
      <w:r>
        <w:t xml:space="preserve"> </w:t>
      </w:r>
      <w:r>
        <w:t xml:space="preserve">values, with supporting analyses in four supplementary tables. FinnGen uses population controls and cannot isolate eye-disease susceptibility within Graves disease. Blood expression, limited instrument counts and the colocalization model constrain inference. Orbital observations from four TED samples and one control are descriptive only. The findings do not establish treatment direction or challenge the clinical evidence for IGF-1R blockade.</w:t>
      </w:r>
    </w:p>
    <w:p>
      <w:pPr>
        <w:pStyle w:val="BodyText"/>
        <w:widowControl/>
      </w:pPr>
      <w:r>
        <w:t xml:space="preserve">An earlier, narrower version was considered at thyroid-focused journals. The work was subsequently restructured around the broader genetic screen. The orbital dataset is also used for a different, whole-transcriptome question in a separate manuscript under review elsewhere. Here, only three genes are described; no genome-wide expression or pathway catalogue is presented. The companion manuscript can be provided for assessment of overlap.</w:t>
      </w:r>
    </w:p>
    <w:p>
      <w:pPr>
        <w:pStyle w:val="BodyText"/>
        <w:widowControl/>
      </w:pPr>
      <w:r>
        <w:t xml:space="preserve">This manuscript has not been published and is not under consideration elsewhere. The authors report no specific funding or competing interests. The orbital component received Pusan National University Hospital IRB approval 2104-018-102, with written informed consent. Author contributions and data access are disclosed. Instruments and complete primary and sensitivity results accompany the submission.</w:t>
      </w:r>
    </w:p>
    <w:p>
      <w:pPr>
        <w:pStyle w:val="BodyText"/>
        <w:keepNext/>
        <w:widowControl/>
      </w:pPr>
      <w:r>
        <w:t xml:space="preserve">Sincerely,</w:t>
      </w:r>
    </w:p>
    <w:p>
      <w:pPr>
        <w:pStyle w:val="BodyText"/>
        <w:keepNext/>
        <w:widowControl/>
      </w:pPr>
      <w:r>
        <w:t xml:space="preserve">Suk-Woo Yang, MD, PhD</w:t>
      </w:r>
      <w:r>
        <w:br/>
      </w:r>
      <w:r>
        <w:t xml:space="preserve">Corresponding author, on behalf of Jungyul Park, Min-Seon Kim, Kyung-Hwa Shin and Suk-Woo Yang</w:t>
      </w:r>
      <w:r>
        <w:br/>
      </w:r>
      <w:r>
        <w:t xml:space="preserve">Department of Ophthalmology, Seoul St. Mary’s Hospital</w:t>
      </w:r>
      <w:r>
        <w:br/>
      </w:r>
      <w:r>
        <w:t xml:space="preserve">College of Medicine, The Catholic University of Korea, Seoul, Republic of Korea</w:t>
      </w:r>
      <w:r>
        <w:br/>
      </w:r>
      <w:r>
        <w:t xml:space="preserve">E-mail: yswoph@catholic.ac.kr</w:t>
      </w:r>
    </w:p>
    <w:p>
      <w:pPr>
        <w:pStyle w:val="BodyText"/>
        <w:widowControl/>
      </w:pPr>
      <w:r>
        <w:t xml:space="preserve">Author institutions: Jungyul Park and Suk-Woo Yang — Department of Ophthalmology, Seoul St. Mary’s Hospital, College of Medicine, The Catholic University of Korea, Seoul; Min-Seon Kim — Department of Ophthalmology, College of Medicine, The Catholic University of Korea, Seoul; Kyung-Hwa Shin — Department of Laboratory Medicine, Pusan National University Hospital, Busan. All institutions are in the Republic of Korea.</w:t>
      </w:r>
    </w:p>
    <w:bookmarkEnd w:id="20"/>
    <w:sectPr>
      <w:footerReference w:type="default" r:id="rId9"/>
      <w:footerReference w:type="first" r:id="rId10"/>
      <w:footerReference w:type="even" r:id="rId11"/>
      <w:pgSz w:w="11909" w:h="16834"/>
      <w:pgMar w:left="1368" w:right="1368" w:top="1152" w:bottom="115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suppressLineNumbers/>
    </w:pPr>
    <w:r>
      <w:fldChar w:fldCharType="begin"/>
    </w:r>
    <w:r>
      <w:instrText>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100"/>
    </w:pPr>
    <w:rPr>
      <w:rFonts w:ascii="Times New Roman" w:hAnsi="Times New Roman"/>
      <w:sz w:val="22"/>
    </w:rPr>
  </w:style>
  <w:style w:styleId="BodyText" w:type="paragraph">
    <w:name w:val="Body Text"/>
    <w:basedOn w:val="Normal"/>
    <w:link w:val="BodyTextChar"/>
    <w:pPr>
      <w:spacing w:after="100" w:before="180" w:line="240" w:lineRule="auto"/>
    </w:pPr>
    <w:qFormat/>
    <w:rPr>
      <w:rFonts w:ascii="Times New Roman" w:hAnsi="Times New Roman"/>
      <w:sz w:val="22"/>
    </w:rPr>
  </w:style>
  <w:style w:customStyle="1" w:styleId="FirstParagraph" w:type="paragraph">
    <w:name w:val="First Paragraph"/>
    <w:basedOn w:val="BodyText"/>
    <w:next w:val="BodyText"/>
    <w:qFormat/>
    <w:pPr>
      <w:spacing w:line="240" w:lineRule="auto" w:after="100"/>
    </w:pPr>
    <w:rPr>
      <w:rFonts w:ascii="Times New Roman" w:hAnsi="Times New Roman"/>
      <w:sz w:val="22"/>
    </w:rPr>
  </w:style>
  <w:style w:customStyle="1" w:styleId="Compact" w:type="paragraph">
    <w:name w:val="Compact"/>
    <w:basedOn w:val="BodyText"/>
    <w:qFormat/>
    <w:pPr>
      <w:spacing w:after="100" w:before="36" w:line="240" w:lineRule="auto"/>
    </w:pPr>
    <w:rPr>
      <w:rFonts w:ascii="Times New Roman" w:hAnsi="Times New Roman"/>
      <w:sz w:val="22"/>
    </w:rPr>
  </w:style>
  <w:style w:styleId="Title" w:type="paragraph">
    <w:name w:val="Title"/>
    <w:basedOn w:val="Normal"/>
    <w:next w:val="BodyText"/>
    <w:qFormat/>
    <w:pPr>
      <w:keepNext/>
      <w:keepLines/>
      <w:spacing w:after="120" w:before="240" w:line="276" w:lineRule="auto"/>
      <w:jc w:val="center"/>
    </w:pPr>
    <w:rPr>
      <w:rFonts w:asciiTheme="majorHAnsi" w:cstheme="majorBidi" w:eastAsiaTheme="majorEastAsia" w:hAnsiTheme="majorHAnsi" w:ascii="Times New Roman" w:hAnsi="Times New Roman"/>
      <w:b/>
      <w:bCs/>
      <w:color w:val="000000"/>
      <w:sz w:val="3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pPr>
      <w:spacing w:line="240" w:lineRule="auto" w:after="100"/>
    </w:pPr>
    <w:rPr>
      <w:rFonts w:ascii="Times New Roman" w:hAnsi="Times New Roman"/>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EndocrineConnections</dc:title>
  <dc:creator>Jungyul Park; Min-Seon Kim; Kyung-Hwa Shin; Suk-Woo Yang</dc:creator>
  <cp:keywords/>
  <dcterms:created xsi:type="dcterms:W3CDTF">2026-09-15T08:44:57Z</dcterms:created>
  <dcterms:modified xsi:type="dcterms:W3CDTF">2026-09-15T08:44:57Z</dcterms:modified>
  <dc:identifier>COVER_LETTER_EndocrineConnections</dc:identifier>
  <cp:lastModifiedBy/>
</cp:coreProperties>
</file>

<file path=docProps/custom.xml><?xml version="1.0" encoding="utf-8"?>
<Properties xmlns="http://schemas.openxmlformats.org/officeDocument/2006/custom-properties" xmlns:vt="http://schemas.openxmlformats.org/officeDocument/2006/docPropsVTypes"/>
</file>