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
    <w:p>
      <w:pPr>
        <w:pStyle w:val="Title"/>
        <w:widowControl/>
      </w:pPr>
      <w:r>
        <w:t xml:space="preserve">Supplementary material</w:t>
      </w:r>
    </w:p>
    <w:p>
      <w:pPr>
        <w:pStyle w:val="FirstParagraph"/>
        <w:widowControl/>
      </w:pPr>
      <w:r>
        <w:t xml:space="preserve">Genetic susceptibility at TSHR and IGF1R in Graves disease and thyroid eye disease</w:t>
      </w:r>
    </w:p>
    <w:p>
      <w:pPr>
        <w:pStyle w:val="BodyText"/>
        <w:widowControl/>
      </w:pPr>
      <w:r>
        <w:rPr>
          <w:b/>
          <w:bCs/>
        </w:rPr>
        <w:t xml:space="preserve">Supplementary Tables</w:t>
      </w:r>
    </w:p>
    <w:p>
      <w:pPr>
        <w:sectPr>
          <w:footerReference w:type="default" r:id="rId11"/>
          <w:footerReference w:type="first" r:id="rId12"/>
          <w:footerReference w:type="even" r:id="rId13"/>
          <w:footnotePr>
            <w:numRestart w:val="eachSect"/>
          </w:footnotePr>
          <w:type w:val="nextPage"/>
          <w:pgSz w:w="11908" w:h="16833"/>
          <w:pgMar w:left="1368" w:right="1368" w:top="1152" w:bottom="1152" w:header="432" w:footer="432"/>
        </w:sectPr>
      </w:pPr>
    </w:p>
    <w:p>
      <w:pPr>
        <w:pStyle w:val="BodyText"/>
        <w:keepNext/>
        <w:widowControl/>
        <w:spacing w:line="252" w:lineRule="auto" w:after="120"/>
      </w:pPr>
      <w:r>
        <w:rPr>
          <w:b/>
          <w:bCs/>
          <w:sz w:val="20"/>
        </w:rPr>
        <w:t xml:space="preserve">Table S1.</w:t>
      </w:r>
      <w:r>
        <w:rPr>
          <w:sz w:val="20"/>
        </w:rPr>
        <w:t xml:space="preserve"> </w:t>
      </w:r>
      <w:r>
        <w:rPr>
          <w:sz w:val="20"/>
        </w:rPr>
        <w:t xml:space="preserve">Extended cross-outcome detail for the thirteen Bonferroni-significant BBJ discovery hits. Whereas Table 3 summarizes the discovery (BBJ) effect sizes and colocalization, this table provides the per-hit Mendelian randomization estimates across all three outcomes (BBJ Graves disease, UKB hyperthyroidism, FinnGen Graves ophthalmopathy) together with the colocalization lead variant, supporting the cross-outcome reproducibility assessment.</w:t>
      </w:r>
    </w:p>
    <w:tbl>
      <w:tblPr>
        <w:tblW w:type="dxa" w:w="14818"/>
        <w:jc w:val="center"/>
        <w:tblLayout w:type="fixed"/>
        <w:tblLook w:firstColumn="1" w:firstRow="1" w:lastColumn="0" w:lastRow="0" w:noHBand="0" w:noVBand="1" w:val="04A0"/>
      </w:tblPr>
      <w:tblGrid>
        <w:gridCol w:w="1402"/>
        <w:gridCol w:w="2303"/>
        <w:gridCol w:w="2303"/>
        <w:gridCol w:w="2303"/>
        <w:gridCol w:w="2102"/>
        <w:gridCol w:w="4405"/>
      </w:tblGrid>
      <w:tr>
        <w:trPr>
          <w:cantSplit/>
          <w:tblHeader/>
        </w:trPr>
        <w:tc>
          <w:tcPr>
            <w:tcW w:type="dxa" w:w="140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230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BBJ β (</w:t>
            </w:r>
            <w:r>
              <w:rPr>
                <w:rFonts w:ascii="Times New Roman" w:hAnsi="Times New Roman"/>
                <w:b/>
                <w:i/>
                <w:iCs/>
                <w:sz w:val="19"/>
              </w:rPr>
              <w:t xml:space="preserve">P</w:t>
            </w:r>
            <w:r>
              <w:rPr>
                <w:rFonts w:ascii="Times New Roman" w:hAnsi="Times New Roman"/>
                <w:b/>
                <w:sz w:val="19"/>
              </w:rPr>
              <w:t xml:space="preserve">)</w:t>
            </w:r>
          </w:p>
        </w:tc>
        <w:tc>
          <w:tcPr>
            <w:tcW w:type="dxa" w:w="230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UKB β (</w:t>
            </w:r>
            <w:r>
              <w:rPr>
                <w:rFonts w:ascii="Times New Roman" w:hAnsi="Times New Roman"/>
                <w:b/>
                <w:i/>
                <w:iCs/>
                <w:sz w:val="19"/>
              </w:rPr>
              <w:t xml:space="preserve">P</w:t>
            </w:r>
            <w:r>
              <w:rPr>
                <w:rFonts w:ascii="Times New Roman" w:hAnsi="Times New Roman"/>
                <w:b/>
                <w:sz w:val="19"/>
              </w:rPr>
              <w:t xml:space="preserve">)</w:t>
            </w:r>
          </w:p>
        </w:tc>
        <w:tc>
          <w:tcPr>
            <w:tcW w:type="dxa" w:w="230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FinnGen β (</w:t>
            </w:r>
            <w:r>
              <w:rPr>
                <w:rFonts w:ascii="Times New Roman" w:hAnsi="Times New Roman"/>
                <w:b/>
                <w:i/>
                <w:iCs/>
                <w:sz w:val="19"/>
              </w:rPr>
              <w:t xml:space="preserve">P</w:t>
            </w:r>
            <w:r>
              <w:rPr>
                <w:rFonts w:ascii="Times New Roman" w:hAnsi="Times New Roman"/>
                <w:b/>
                <w:sz w:val="19"/>
              </w:rPr>
              <w:t xml:space="preserve">)</w:t>
            </w:r>
          </w:p>
        </w:tc>
        <w:tc>
          <w:tcPr>
            <w:tcW w:type="dxa" w:w="210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lead SNP</w:t>
            </w:r>
          </w:p>
        </w:tc>
        <w:tc>
          <w:tcPr>
            <w:tcW w:type="dxa" w:w="4405"/>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Classification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HLA-A</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+0.68 (2.6×10⁻²³)</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−0.17 (0.47)</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 (0.43)</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HLA-DQA2</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+0.87 (8.3×10⁻¹⁷)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 (0.45)</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+0.83 (1.8×10⁻⁷)</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−1.74 (5.5×10⁻¹⁵)</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−1.57 (2.2×10⁻³)</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−1.77 (1.2×10⁻²)</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rs231811</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Established autoimmune locus</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−2.10 (1.1×10⁻¹⁴)</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−2.44 (8.8×10⁻²⁸)</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−2.33 (2.8×10⁻⁷)</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Established GD locus</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C4A</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−0.80 (2.2×10⁻¹⁰)</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−0.14 (0.24)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−1.02 (1.4×10⁻¹¹)</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−1.23 (2.0×10⁻⁷)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−0.28 (0.020)</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+0.27 (0.27)</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TUBB</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 (3.1×10⁻⁷)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+1.04 (3.1×10⁻⁶)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+1.24 (5.9×10⁻⁵)</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MHC-region-linked</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−2.02 (6.4×10⁻⁷)</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−0.37 (0.073)</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−0.47 (1.5×10⁻⁶)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−0.30 (5.6×10⁻³)</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 (0.85)</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(single-outcome coloc)</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+1.79 (2.0×10⁻⁶)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+0.45 (0.014)</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 (0.23)</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chr16p11.2 LD cluster</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 (5.3×10⁻⁶)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−0.19 (0.078)</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−0.10 (0.16)</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(distinct-variant signal)</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PSMB8</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 (6.9×10⁻⁶)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 (0.55)</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 (0.57)</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MHC region</w:t>
            </w:r>
          </w:p>
        </w:tc>
      </w:tr>
      <w:tr>
        <w:trPr>
          <w:cantSplit/>
        </w:trPr>
        <w:tc>
          <w:tcPr>
            <w:tcW w:type="dxa" w:w="140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+0.74 (9.4×10⁻⁶)</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+0.30 (0.070)</w:t>
            </w:r>
          </w:p>
        </w:tc>
        <w:tc>
          <w:tcPr>
            <w:tcW w:type="dxa" w:w="230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+0.15 (0.68)</w:t>
            </w:r>
          </w:p>
        </w:tc>
        <w:tc>
          <w:tcPr>
            <w:tcW w:type="dxa" w:w="210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4405"/>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Candidate (single-outcome coloc)</w:t>
            </w:r>
          </w:p>
        </w:tc>
      </w:tr>
    </w:tbl>
    <w:p>
      <w:pPr>
        <w:pStyle w:val="BodyText"/>
        <w:widowControl/>
        <w:spacing w:line="252" w:lineRule="auto" w:after="120"/>
      </w:pPr>
      <w:r>
        <w:rPr>
          <w:sz w:val="20"/>
        </w:rPr>
        <w:t xml:space="preserve">Effect estimates (β, log-odds) by Wald ratio (single instrument) or inverse-variance weighted (multiple instruments).</w:t>
      </w:r>
      <w:r>
        <w:rPr>
          <w:sz w:val="20"/>
        </w:rPr>
        <w:t xml:space="preserve"> </w:t>
      </w:r>
      <w:r>
        <w:rPr>
          <w:sz w:val="20"/>
        </w:rPr>
        <w:t xml:space="preserve">“—”</w:t>
      </w:r>
      <w:r>
        <w:rPr>
          <w:sz w:val="20"/>
        </w:rPr>
        <w:t xml:space="preserve"> </w:t>
      </w:r>
      <w:r>
        <w:rPr>
          <w:sz w:val="20"/>
        </w:rPr>
        <w:t xml:space="preserve">for FinnGen</w:t>
      </w:r>
      <w:r>
        <w:rPr>
          <w:sz w:val="20"/>
        </w:rPr>
        <w:t xml:space="preserve"> </w:t>
      </w:r>
      <w:r>
        <w:rPr>
          <w:i/>
          <w:iCs/>
          <w:sz w:val="20"/>
        </w:rPr>
        <w:t xml:space="preserve">VKORC1</w:t>
      </w:r>
      <w:r>
        <w:rPr>
          <w:sz w:val="20"/>
        </w:rPr>
        <w:t xml:space="preserve"> </w:t>
      </w:r>
      <w:r>
        <w:rPr>
          <w:sz w:val="20"/>
        </w:rPr>
        <w:t xml:space="preserve">indicates no estimable instrument in that outcome;</w:t>
      </w:r>
      <w:r>
        <w:rPr>
          <w:sz w:val="20"/>
        </w:rPr>
        <w:t xml:space="preserve"> </w:t>
      </w:r>
      <w:r>
        <w:rPr>
          <w:sz w:val="20"/>
        </w:rPr>
        <w:t xml:space="preserve">“—”</w:t>
      </w:r>
      <w:r>
        <w:rPr>
          <w:sz w:val="20"/>
        </w:rPr>
        <w:t xml:space="preserve"> </w:t>
      </w:r>
      <w:r>
        <w:rPr>
          <w:sz w:val="20"/>
        </w:rPr>
        <w:t xml:space="preserve">in the colocalization column denotes MHC-region loci not carried into formal colocalization. Several discovery hits do not reproduce in the broader-phenotype (UKB) or TED-enriched (FinnGen) outcomes. Among non-MHC established anchors,</w:t>
      </w:r>
      <w:r>
        <w:rPr>
          <w:sz w:val="20"/>
        </w:rPr>
        <w:t xml:space="preserve"> </w:t>
      </w:r>
      <w:r>
        <w:rPr>
          <w:i/>
          <w:iCs/>
          <w:sz w:val="20"/>
        </w:rPr>
        <w:t xml:space="preserve">TSHR</w:t>
      </w:r>
      <w:r>
        <w:rPr>
          <w:sz w:val="20"/>
        </w:rPr>
        <w:t xml:space="preserve"> </w:t>
      </w:r>
      <w:r>
        <w:rPr>
          <w:sz w:val="20"/>
        </w:rPr>
        <w:t xml:space="preserve">and</w:t>
      </w:r>
      <w:r>
        <w:rPr>
          <w:sz w:val="20"/>
        </w:rPr>
        <w:t xml:space="preserve"> </w:t>
      </w:r>
      <w:r>
        <w:rPr>
          <w:i/>
          <w:iCs/>
          <w:sz w:val="20"/>
        </w:rPr>
        <w:t xml:space="preserve">CTLA4</w:t>
      </w:r>
      <w:r>
        <w:rPr>
          <w:sz w:val="20"/>
        </w:rPr>
        <w:t xml:space="preserve"> </w:t>
      </w:r>
      <w:r>
        <w:rPr>
          <w:sz w:val="20"/>
        </w:rPr>
        <w:t xml:space="preserve">showed consistent protective-direction estimates across all three outcomes; MHC-region signals were interpreted separately because of complex regional linkage disequilibrium.</w:t>
      </w:r>
    </w:p>
    <w:p>
      <w:pPr>
        <w:pStyle w:val="BodyText"/>
        <w:keepNext/>
        <w:pageBreakBefore/>
        <w:widowControl/>
        <w:spacing w:line="252" w:lineRule="auto" w:after="120"/>
      </w:pPr>
      <w:r>
        <w:rPr>
          <w:b/>
          <w:bCs/>
          <w:sz w:val="20"/>
        </w:rPr>
        <w:t xml:space="preserve">Table S2.</w:t>
      </w:r>
      <w:r>
        <w:rPr>
          <w:sz w:val="20"/>
        </w:rPr>
        <w:t xml:space="preserve"> </w:t>
      </w:r>
      <w:r>
        <w:rPr>
          <w:sz w:val="20"/>
        </w:rPr>
        <w:t xml:space="preserve">Candidate colocalization across all three outcomes for non-known candidate hits. Posterior probabilities are from coloc.abf using outcome beta/varbeta and exposure beta/varbeta reconstructed from European reference frequencies (sdY = 1) (H0 no association; H1 outcome only; H2</w:t>
      </w:r>
      <w:r>
        <w:rPr>
          <w:sz w:val="20"/>
        </w:rPr>
        <w:t xml:space="preserve"> </w:t>
      </w:r>
      <w:r>
        <w:rPr>
          <w:i/>
          <w:iCs/>
          <w:sz w:val="20"/>
        </w:rPr>
        <w:t xml:space="preserve">cis</w:t>
      </w:r>
      <w:r>
        <w:rPr>
          <w:sz w:val="20"/>
        </w:rPr>
        <w:t xml:space="preserve">-eQTL only; H3 distinct causal variants; H4 shared causal variant). The last two columns give PP.H4 under more conservative priors.</w:t>
      </w:r>
    </w:p>
    <w:tbl>
      <w:tblPr>
        <w:tblW w:type="dxa" w:w="14818"/>
        <w:jc w:val="center"/>
        <w:tblLayout w:type="fixed"/>
        <w:tblLook w:firstColumn="1" w:firstRow="1" w:lastColumn="0" w:lastRow="0" w:noHBand="0" w:noVBand="1" w:val="04A0"/>
      </w:tblPr>
      <w:tblGrid>
        <w:gridCol w:w="1246"/>
        <w:gridCol w:w="1904"/>
        <w:gridCol w:w="1350"/>
        <w:gridCol w:w="1073"/>
        <w:gridCol w:w="1073"/>
        <w:gridCol w:w="1073"/>
        <w:gridCol w:w="1073"/>
        <w:gridCol w:w="1073"/>
        <w:gridCol w:w="1731"/>
        <w:gridCol w:w="1610"/>
        <w:gridCol w:w="1610"/>
      </w:tblGrid>
      <w:tr>
        <w:trPr>
          <w:cantSplit/>
          <w:tblHeader/>
        </w:trPr>
        <w:tc>
          <w:tcPr>
            <w:tcW w:type="dxa" w:w="1246"/>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90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35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Overlapping SNPs</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PP.H0</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PP.H1</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PP.H2</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PP.H3</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w:t>
            </w:r>
          </w:p>
        </w:tc>
        <w:tc>
          <w:tcPr>
            <w:tcW w:type="dxa" w:w="173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Top SNP</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(p12=10⁻⁶)</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(p12=5×10⁻⁶)</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4,790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0.994</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0.941</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7,197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0.360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0.237</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0.134</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7,703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0.626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0.357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0.017</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rs2291668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0.009</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3,973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0.989</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0.899</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5,145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0.211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0.027</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5,891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0.641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0.339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rs11754268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0.010</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2,077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2,763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3,294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0.663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0.311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rs79271898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0.013</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1,630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0.364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0.149</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0.467</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2,755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0.461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0.095</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0.050</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3,104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0.733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0.240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0.013</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1,516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0.612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0.060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0.241</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0.477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0.493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0.015</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2,961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0.739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rs2884737</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0.015</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1,479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0.832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2,577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0.115</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0.061</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2,821</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0.744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0.219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0.037</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0.004</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0.019</w:t>
            </w:r>
          </w:p>
        </w:tc>
      </w:tr>
    </w:tbl>
    <w:p>
      <w:pPr>
        <w:pStyle w:val="BodyText"/>
        <w:widowControl/>
        <w:spacing w:line="252" w:lineRule="auto" w:after="120"/>
      </w:pPr>
      <w:r>
        <w:rPr>
          <w:sz w:val="20"/>
        </w:rPr>
        <w:t xml:space="preserve">No non-known candidate reached shared-variant colocalization (PP.H4 ≥ 0.80) in more than one outcome. TNFSF14 and IFNGR1 colocalized strongly in the BBJ discovery outcome (PP.H4 = 0.994 and 0.989) but not in either replication outcome, and the chromosome 16p11.2 candidates showed only weak or ambiguous colocalization throughout. TNFSF14 retains a direction-consistent nominal MR association in UKB (P = 0.0056), so its exclusion reflects the colocalization criterion rather than absence of association; locus-specific power and phenotype heterogeneity across outcomes preclude a stronger interpretation. Default priors: p1 = p2 = 1×10⁻⁴, p12 = 1×10⁻⁵.</w:t>
      </w:r>
    </w:p>
    <w:p>
      <w:pPr>
        <w:pStyle w:val="BodyText"/>
        <w:keepNext/>
        <w:pageBreakBefore/>
        <w:widowControl/>
        <w:spacing w:line="252" w:lineRule="auto" w:after="120"/>
      </w:pPr>
      <w:r>
        <w:rPr>
          <w:b/>
          <w:bCs/>
          <w:sz w:val="20"/>
        </w:rPr>
        <w:t xml:space="preserve">Table S3.</w:t>
      </w:r>
      <w:r>
        <w:rPr>
          <w:sz w:val="20"/>
        </w:rPr>
        <w:t xml:space="preserve"> </w:t>
      </w:r>
      <w:r>
        <w:rPr>
          <w:i/>
          <w:iCs/>
          <w:sz w:val="20"/>
        </w:rPr>
        <w:t xml:space="preserve">TSHR</w:t>
      </w:r>
      <w:r>
        <w:rPr>
          <w:sz w:val="20"/>
        </w:rPr>
        <w:t xml:space="preserve"> </w:t>
      </w:r>
      <w:r>
        <w:rPr>
          <w:sz w:val="20"/>
        </w:rPr>
        <w:t xml:space="preserve">locus LD-clumping sensitivity. Independent-instrument counts at the</w:t>
      </w:r>
      <w:r>
        <w:rPr>
          <w:sz w:val="20"/>
        </w:rPr>
        <w:t xml:space="preserve"> </w:t>
      </w:r>
      <w:r>
        <w:rPr>
          <w:i/>
          <w:iCs/>
          <w:sz w:val="20"/>
        </w:rPr>
        <w:t xml:space="preserve">TSHR</w:t>
      </w:r>
      <w:r>
        <w:rPr>
          <w:sz w:val="20"/>
        </w:rPr>
        <w:t xml:space="preserve"> </w:t>
      </w:r>
      <w:r>
        <w:rPr>
          <w:sz w:val="20"/>
        </w:rPr>
        <w:t xml:space="preserve">locus under varying clumping thresholds, using ancestry-matched 1000 Genomes Phase 3 reference panels (European, n = 503; East Asian, n = 504). rs179252 (the primary instrument) is retained among the index variants under every threshold.</w:t>
      </w:r>
    </w:p>
    <w:tbl>
      <w:tblPr>
        <w:tblW w:type="dxa" w:w="14818"/>
        <w:jc w:val="center"/>
        <w:tblLayout w:type="fixed"/>
        <w:tblLook w:firstColumn="1" w:firstRow="1" w:lastColumn="0" w:lastRow="0" w:noHBand="0" w:noVBand="1" w:val="04A0"/>
      </w:tblPr>
      <w:tblGrid>
        <w:gridCol w:w="2964"/>
        <w:gridCol w:w="2964"/>
        <w:gridCol w:w="2964"/>
        <w:gridCol w:w="2964"/>
        <w:gridCol w:w="2964"/>
      </w:tblGrid>
      <w:tr>
        <w:trPr>
          <w:cantSplit/>
          <w:tblHeader/>
        </w:trPr>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eQTL P threshold</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Clumping</w:t>
            </w:r>
            <w:r>
              <w:rPr>
                <w:rFonts w:ascii="Times New Roman" w:hAnsi="Times New Roman"/>
                <w:b/>
                <w:sz w:val="19"/>
              </w:rPr>
              <w:t xml:space="preserve"> </w:t>
            </w:r>
            <w:r>
              <w:rPr>
                <w:rFonts w:ascii="Times New Roman" w:hAnsi="Times New Roman"/>
                <w:b/>
                <w:i/>
                <w:iCs/>
                <w:sz w:val="19"/>
              </w:rPr>
              <w:t xml:space="preserve">r</w:t>
            </w:r>
            <w:r>
              <w:rPr>
                <w:rFonts w:ascii="Times New Roman" w:hAnsi="Times New Roman"/>
                <w:b/>
                <w:sz w:val="19"/>
              </w:rPr>
              <w:t xml:space="preserve">²</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LD reference</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Independent SNPs</w:t>
            </w:r>
          </w:p>
        </w:tc>
        <w:tc>
          <w:tcPr>
            <w:tcW w:type="dxa" w:w="296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Includes rs179252</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5×10⁻⁸</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EUR</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5×10⁻⁶</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EAS</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w:t>
            </w:r>
          </w:p>
        </w:tc>
        <w:tc>
          <w:tcPr>
            <w:tcW w:type="dxa" w:w="296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bl>
    <w:p>
      <w:pPr>
        <w:pStyle w:val="BodyText"/>
        <w:widowControl/>
        <w:spacing w:line="252" w:lineRule="auto" w:after="120"/>
      </w:pPr>
      <w:r>
        <w:rPr>
          <w:sz w:val="20"/>
        </w:rPr>
        <w:t xml:space="preserve">rs179252 (chr14:81,435,985 hg19; marginal cis-eQTL P = 2.86×10⁻⁴⁰) is among the index variants retained under all twelve threshold combinations tested; it is the sole index variant only at the primary threshold in the European panel. At the primary instrument-selection threshold (P &lt; 5×10⁻⁸, r² &lt; 0.001) the European reference yields a single independent instrument; further index variants appear there only as r² is relaxed. The East Asian reference yields two at the same threshold — rs179252 and rs72690955 (chr14:81,160,405; marginal P = 1.04×10⁻¹⁷; pairwise r² with rs179252 = 0.0002) — so the single-instrument treatment of TSHR follows from the European reference used for instrument selection, which matches the predominantly European eQTL panel, and not from an absence of independent signal in every ancestry. This is stated as a limitation. Because r² is invariant to allele coding, the assessment is unaffected by effect-allele orientation.</w:t>
      </w:r>
    </w:p>
    <w:p>
      <w:pPr>
        <w:pStyle w:val="BodyText"/>
        <w:keepNext/>
        <w:pageBreakBefore/>
        <w:widowControl/>
        <w:spacing w:line="252" w:lineRule="auto" w:after="120"/>
      </w:pPr>
      <w:r>
        <w:rPr>
          <w:b/>
          <w:bCs/>
          <w:sz w:val="20"/>
        </w:rPr>
        <w:t xml:space="preserve">Table S4.</w:t>
      </w:r>
      <w:r>
        <w:rPr>
          <w:sz w:val="20"/>
        </w:rPr>
        <w:t xml:space="preserve"> </w:t>
      </w:r>
      <w:r>
        <w:rPr>
          <w:sz w:val="20"/>
        </w:rPr>
        <w:t xml:space="preserve">Instrument selection and strength for the backbone genes and all thirteen discovery hits. Instruments were genome-wide significant</w:t>
      </w:r>
      <w:r>
        <w:rPr>
          <w:sz w:val="20"/>
        </w:rPr>
        <w:t xml:space="preserve"> </w:t>
      </w:r>
      <w:r>
        <w:rPr>
          <w:i/>
          <w:iCs/>
          <w:sz w:val="20"/>
        </w:rPr>
        <w:t xml:space="preserve">cis</w:t>
      </w:r>
      <w:r>
        <w:rPr>
          <w:sz w:val="20"/>
        </w:rPr>
        <w:t xml:space="preserve">-eQTLs (P &lt; 5×10⁻⁸); a secondary-threshold (P &lt; 5×10⁻⁶) variant count, before clumping, is shown for reference only. Across all 2,544 MR-testable genes (6,135 instruments), the minimum F-statistic was 29.7, consistent with the</w:t>
      </w:r>
      <w:r>
        <w:rPr>
          <w:sz w:val="20"/>
        </w:rPr>
        <w:t xml:space="preserve"> </w:t>
      </w:r>
      <w:r>
        <w:rPr>
          <w:i/>
          <w:iCs/>
          <w:sz w:val="20"/>
        </w:rPr>
        <w:t xml:space="preserve">P</w:t>
      </w:r>
      <w:r>
        <w:rPr>
          <w:sz w:val="20"/>
        </w:rPr>
        <w:t xml:space="preserve"> </w:t>
      </w:r>
      <w:r>
        <w:rPr>
          <w:sz w:val="20"/>
        </w:rPr>
        <w:t xml:space="preserve">&lt; 5×10⁻⁸ selection threshold (which implies |</w:t>
      </w:r>
      <w:r>
        <w:rPr>
          <w:i/>
          <w:iCs/>
          <w:sz w:val="20"/>
        </w:rPr>
        <w:t xml:space="preserve">Z</w:t>
      </w:r>
      <w:r>
        <w:rPr>
          <w:sz w:val="20"/>
        </w:rPr>
        <w:t xml:space="preserve">| &gt; 5.45 and therefore</w:t>
      </w:r>
      <w:r>
        <w:rPr>
          <w:sz w:val="20"/>
        </w:rPr>
        <w:t xml:space="preserve"> </w:t>
      </w:r>
      <w:r>
        <w:rPr>
          <w:i/>
          <w:iCs/>
          <w:sz w:val="20"/>
        </w:rPr>
        <w:t xml:space="preserve">F</w:t>
      </w:r>
      <w:r>
        <w:rPr>
          <w:sz w:val="20"/>
        </w:rPr>
        <w:t xml:space="preserve"> </w:t>
      </w:r>
      <w:r>
        <w:rPr>
          <w:sz w:val="20"/>
        </w:rPr>
        <w:t xml:space="preserve">=</w:t>
      </w:r>
      <w:r>
        <w:rPr>
          <w:sz w:val="20"/>
        </w:rPr>
        <w:t xml:space="preserve"> </w:t>
      </w:r>
      <w:r>
        <w:rPr>
          <w:i/>
          <w:iCs/>
          <w:sz w:val="20"/>
        </w:rPr>
        <w:t xml:space="preserve">Z</w:t>
      </w:r>
      <w:r>
        <w:rPr>
          <w:sz w:val="20"/>
        </w:rPr>
        <w:t xml:space="preserve">² &gt; 29.7); no weak instruments were present.</w:t>
      </w:r>
    </w:p>
    <w:tbl>
      <w:tblPr>
        <w:tblW w:type="dxa" w:w="14818"/>
        <w:jc w:val="center"/>
        <w:tblLayout w:type="fixed"/>
        <w:tblLook w:firstColumn="1" w:firstRow="1" w:lastColumn="0" w:lastRow="0" w:noHBand="0" w:noVBand="1" w:val="04A0"/>
      </w:tblPr>
      <w:tblGrid>
        <w:gridCol w:w="1867"/>
        <w:gridCol w:w="933"/>
        <w:gridCol w:w="3734"/>
        <w:gridCol w:w="3850"/>
        <w:gridCol w:w="1867"/>
        <w:gridCol w:w="2567"/>
      </w:tblGrid>
      <w:tr>
        <w:trPr>
          <w:cantSplit/>
          <w:tblHeader/>
        </w:trPr>
        <w:tc>
          <w:tcPr>
            <w:tcW w:type="dxa" w:w="186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93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Chr</w:t>
            </w:r>
          </w:p>
        </w:tc>
        <w:tc>
          <w:tcPr>
            <w:tcW w:type="dxa" w:w="373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Instruments (P &lt; 5×10⁻⁸, clumped)</w:t>
            </w:r>
          </w:p>
        </w:tc>
        <w:tc>
          <w:tcPr>
            <w:tcW w:type="dxa" w:w="385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Variants (P &lt; 5×10⁻⁶, unclumped)</w:t>
            </w:r>
          </w:p>
        </w:tc>
        <w:tc>
          <w:tcPr>
            <w:tcW w:type="dxa" w:w="186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Single-instrument</w:t>
            </w:r>
          </w:p>
        </w:tc>
        <w:tc>
          <w:tcPr>
            <w:tcW w:type="dxa" w:w="256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Druggability tier</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710</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511</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333</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HLA-A</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10,315</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HLA-DQA2</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9,971</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C4A</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8,175</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736</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3B</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TUBB</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1,476</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489</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258</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333</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3A</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1,349</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2</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PSMB8</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1,060</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r>
        <w:trPr>
          <w:cantSplit/>
        </w:trPr>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93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w:t>
            </w:r>
          </w:p>
        </w:tc>
        <w:tc>
          <w:tcPr>
            <w:tcW w:type="dxa" w:w="373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38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340</w:t>
            </w:r>
          </w:p>
        </w:tc>
        <w:tc>
          <w:tcPr>
            <w:tcW w:type="dxa" w:w="18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c>
          <w:tcPr>
            <w:tcW w:type="dxa" w:w="256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Tier 1</w:t>
            </w:r>
          </w:p>
        </w:tc>
      </w:tr>
    </w:tbl>
    <w:p>
      <w:pPr>
        <w:pStyle w:val="BodyText"/>
        <w:widowControl/>
        <w:spacing w:line="252" w:lineRule="auto" w:after="120"/>
      </w:pPr>
      <w:r>
        <w:rPr>
          <w:sz w:val="20"/>
        </w:rPr>
        <w:t xml:space="preserve">Druggability tiers follow Finan et al. (Tier 1, approved drug targets or those in clinical development; Tier 2, targets of small molecules or biotherapeutics with druggable similarity; Tier 3, secreted or extracellular proteins and members of druggable gene families). The column labelled</w:t>
      </w:r>
      <w:r>
        <w:rPr>
          <w:sz w:val="20"/>
        </w:rPr>
        <w:t xml:space="preserve"> </w:t>
      </w:r>
      <w:r>
        <w:rPr>
          <w:sz w:val="20"/>
        </w:rPr>
        <w:t xml:space="preserve">“Variants (P &lt; 5×10⁻⁶, unclumped)”</w:t>
      </w:r>
      <w:r>
        <w:rPr>
          <w:sz w:val="20"/>
        </w:rPr>
        <w:t xml:space="preserve"> </w:t>
      </w:r>
      <w:r>
        <w:rPr>
          <w:sz w:val="20"/>
        </w:rPr>
        <w:t xml:space="preserve">counts variants passing the relaxed threshold before clumping and is therefore not an instrument count; it is shown only to indicate signal density, which is why MHC-region genes reach five figures. Only the clumped-instrument column contributed instruments to the primary analyses; the number of instruments actually used in MR against a given outcome (N IV in Tables 2 and 3) may be smaller, reflecting outcome-specific SNP availability and harmonization (absence of a variant in the outcome GWAS, or removal of palindromic variants).</w:t>
      </w:r>
    </w:p>
    <w:p>
      <w:pPr>
        <w:pStyle w:val="BodyText"/>
        <w:keepNext/>
        <w:pageBreakBefore/>
        <w:widowControl/>
        <w:spacing w:line="252" w:lineRule="auto" w:after="120"/>
      </w:pPr>
      <w:r>
        <w:rPr>
          <w:b/>
          <w:bCs/>
          <w:sz w:val="20"/>
        </w:rPr>
        <w:t xml:space="preserve">Table S5.</w:t>
      </w:r>
      <w:r>
        <w:rPr>
          <w:sz w:val="20"/>
        </w:rPr>
        <w:t xml:space="preserve"> </w:t>
      </w:r>
      <w:r>
        <w:rPr>
          <w:sz w:val="20"/>
        </w:rPr>
        <w:t xml:space="preserve">Chromosome 16p11.2 candidate cluster. Three discovery hits (</w:t>
      </w:r>
      <w:r>
        <w:rPr>
          <w:i/>
          <w:iCs/>
          <w:sz w:val="20"/>
        </w:rPr>
        <w:t xml:space="preserve">HSD3B7</w:t>
      </w:r>
      <w:r>
        <w:rPr>
          <w:sz w:val="20"/>
        </w:rPr>
        <w:t xml:space="preserve">,</w:t>
      </w:r>
      <w:r>
        <w:rPr>
          <w:sz w:val="20"/>
        </w:rPr>
        <w:t xml:space="preserve"> </w:t>
      </w:r>
      <w:r>
        <w:rPr>
          <w:i/>
          <w:iCs/>
          <w:sz w:val="20"/>
        </w:rPr>
        <w:t xml:space="preserve">VKORC1</w:t>
      </w:r>
      <w:r>
        <w:rPr>
          <w:sz w:val="20"/>
        </w:rPr>
        <w:t xml:space="preserve">,</w:t>
      </w:r>
      <w:r>
        <w:rPr>
          <w:sz w:val="20"/>
        </w:rPr>
        <w:t xml:space="preserve"> </w:t>
      </w:r>
      <w:r>
        <w:rPr>
          <w:i/>
          <w:iCs/>
          <w:sz w:val="20"/>
        </w:rPr>
        <w:t xml:space="preserve">PRSS36</w:t>
      </w:r>
      <w:r>
        <w:rPr>
          <w:sz w:val="20"/>
        </w:rPr>
        <w:t xml:space="preserve">) map to a narrow (~143-kb) window on chromosome 16p11.2 and behave as a single linkage-disequilibrium signal rather than three independent associations.</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Chr</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Position (hg19)</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BBJ discovery</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(BBJ)</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(UKB)</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Coloc PP.H4 (FinnGen)</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Top SNP</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31,011,183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2.0×10⁻⁷</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rs4889606</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31,066,538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6.4×10⁻⁷</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rs34649473</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31,154,358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2.0×10⁻⁶</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rs78924645</w:t>
            </w:r>
          </w:p>
        </w:tc>
      </w:tr>
    </w:tbl>
    <w:p>
      <w:pPr>
        <w:pStyle w:val="BodyText"/>
        <w:widowControl/>
        <w:spacing w:line="252" w:lineRule="auto" w:after="120"/>
      </w:pPr>
      <w:r>
        <w:rPr>
          <w:sz w:val="20"/>
        </w:rPr>
        <w:t xml:space="preserve">All three lead variants lie within a 143.2-kb window on chromosome 16p11.2 (hg19 chr16:31,011,183–31,154,358) and none reaches strong colocalization (PP.H4 ≥ 0.80) in any outcome. Because these hits were discovered in the East Asian outcome, linkage disequilibrium was assessed in the ancestry-matched 1000 Genomes Phase 3 East Asian reference (n = 504), where all three lead variants are in substantial mutual LD (r² = 0.854, 0.761 and 0.863). Conditional analysis (GCTA-COJO, East Asian reference) selected exactly one independent signal at the locus, rs8050588 (P = 1.15×10⁻⁸); conditioning on it collapses all three associations (rs4889606, marginal P = 2.04×10⁻⁷ → conditional P = 0.928; rs34649473, 6.35×10⁻⁷ → 0.839; rs78924645, 2.02×10⁻⁶ → 0.806). Their co-significance in discovery therefore reflects a single regional signal rather than three independent causal effects. In the European reference the corresponding r² values are 0.896, 0.190 and 0.204, which is why the ancestry-matched panel is the appropriate one here.</w:t>
      </w:r>
    </w:p>
    <w:p>
      <w:pPr>
        <w:pStyle w:val="BodyText"/>
        <w:keepNext/>
        <w:pageBreakBefore/>
        <w:widowControl/>
        <w:spacing w:line="252" w:lineRule="auto" w:after="120"/>
      </w:pPr>
      <w:r>
        <w:rPr>
          <w:b/>
          <w:bCs/>
          <w:sz w:val="20"/>
        </w:rPr>
        <w:t xml:space="preserve">Table S6.</w:t>
      </w:r>
      <w:r>
        <w:rPr>
          <w:sz w:val="20"/>
        </w:rPr>
        <w:t xml:space="preserve"> </w:t>
      </w:r>
      <w:r>
        <w:rPr>
          <w:sz w:val="20"/>
        </w:rPr>
        <w:t xml:space="preserve">Mendelian randomization sensitivity analyses for the backbone genes across all three outcomes. IVW, inverse-variance weighted; WM, weighted median; Wmode, weighted mode. MR-Egger intercept, Cochran’s Q, and multi-estimator comparisons require multiple instruments and are not estimable (NA) at single-instrument loci.</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N IV</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IVW/Wald</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WM</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Wmode</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MR-Egger intercept</w:t>
            </w:r>
            <w:r>
              <w:rPr>
                <w:rFonts w:ascii="Times New Roman" w:hAnsi="Times New Roman"/>
                <w:b/>
                <w:sz w:val="19"/>
              </w:rPr>
              <w:t xml:space="preserve"> </w:t>
            </w:r>
            <w:r>
              <w:rPr>
                <w:rFonts w:ascii="Times New Roman" w:hAnsi="Times New Roman"/>
                <w:b/>
                <w:i/>
                <w:iCs/>
                <w:sz w:val="19"/>
              </w:rPr>
              <w:t xml:space="preserve">P</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Cochran’s Q</w:t>
            </w:r>
            <w:r>
              <w:rPr>
                <w:rFonts w:ascii="Times New Roman" w:hAnsi="Times New Roman"/>
                <w:b/>
                <w:sz w:val="19"/>
              </w:rPr>
              <w:t xml:space="preserve"> </w:t>
            </w:r>
            <w:r>
              <w:rPr>
                <w:rFonts w:ascii="Times New Roman" w:hAnsi="Times New Roman"/>
                <w:b/>
                <w:i/>
                <w:iCs/>
                <w:sz w:val="19"/>
              </w:rPr>
              <w:t xml:space="preserve">P</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1.1×10⁻¹⁴</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8.8×10⁻²⁸</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2.8×10⁻⁷</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0.029</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0.512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0.663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0.902</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0.367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0.562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0.250</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0.124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0.433</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0.309</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5.5×10⁻¹⁵</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0.001</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NA</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0.049</w:t>
            </w:r>
          </w:p>
        </w:tc>
      </w:tr>
    </w:tbl>
    <w:p>
      <w:pPr>
        <w:pStyle w:val="BodyText"/>
        <w:widowControl/>
        <w:spacing w:line="252" w:lineRule="auto" w:after="120"/>
      </w:pPr>
      <w:r>
        <w:rPr>
          <w:sz w:val="20"/>
        </w:rPr>
        <w:t xml:space="preserve">For IGF1R (the only multi-instrument backbone gene with a full estimator set), all sensitivity estimators are directionally concordant with the IVW estimate and the MR-Egger intercept is non-significant in every outcome (P &gt; 0.43), with limited power to assess directional pleiotropy given the small instrument counts. CTLA4 showed significant between-instrument heterogeneity in the UKB and FinnGen analyses (Cochran’s Q P = 0.001 and 0.049), consistent with cross-ancestry/phenotype locus complexity. Steiger directionality testing was not applied; no formal directionality result is available. Single-instrument loci are not amenable to instrument-based pleiotropy diagnostics. TSHR is instead supported by colocalization (PP.H4 = 0.951 in BBJ and 0.986 in the TED-enriched outcome) and by LD-clumping sensitivity analysis (Table S3); the single-instrument CTLA4 discovery arm is not, its discovery posterior favouring distinct causal variants (PP.H3 = 0.799, PP.H4 = 0.201), consistent with its role as a positive control rather than a colocalized anchor.</w:t>
      </w:r>
    </w:p>
    <w:p>
      <w:pPr>
        <w:pStyle w:val="BodyText"/>
        <w:keepNext/>
        <w:pageBreakBefore/>
        <w:widowControl/>
        <w:spacing w:line="252" w:lineRule="auto" w:after="120"/>
      </w:pPr>
      <w:r>
        <w:rPr>
          <w:b/>
          <w:bCs/>
          <w:sz w:val="20"/>
        </w:rPr>
        <w:t xml:space="preserve">Table S7. STROBE-MR reporting map.</w:t>
      </w:r>
      <w:r>
        <w:rPr>
          <w:sz w:val="20"/>
        </w:rPr>
        <w:t xml:space="preserve"> </w:t>
      </w:r>
      <w:r>
        <w:rPr>
          <w:sz w:val="20"/>
        </w:rPr>
        <w:t xml:space="preserve">Item numbering follows the official 20-item checklist; the descriptions below are adapted and explicitly identify unavailable analyses or information.</w:t>
      </w:r>
    </w:p>
    <w:tbl>
      <w:tblPr>
        <w:tblW w:type="dxa" w:w="14818"/>
        <w:jc w:val="center"/>
        <w:tblLayout w:type="fixed"/>
        <w:tblLook w:firstColumn="1" w:firstRow="1" w:lastColumn="0" w:lastRow="0" w:noHBand="0" w:noVBand="1" w:val="04A0"/>
      </w:tblPr>
      <w:tblGrid>
        <w:gridCol w:w="648"/>
        <w:gridCol w:w="2376"/>
        <w:gridCol w:w="11794"/>
      </w:tblGrid>
      <w:tr>
        <w:trPr>
          <w:cantSplit/>
          <w:tblHeader/>
        </w:trPr>
        <w:tc>
          <w:tcPr>
            <w:tcW w:type="dxa" w:w="648"/>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Item</w:t>
            </w:r>
          </w:p>
        </w:tc>
        <w:tc>
          <w:tcPr>
            <w:tcW w:type="dxa" w:w="2376"/>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Reporting topic</w:t>
            </w:r>
          </w:p>
        </w:tc>
        <w:tc>
          <w:tcPr>
            <w:tcW w:type="dxa" w:w="1179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Location and coverage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MR design</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Abstract explicitly names two-sample Mendelian randomization.</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Rationale</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Introduction: blood expression, disease susceptibility and therapeutic interpretation.</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Objectives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Introduction final paragraph; Methods defines the hierarchy and biological backbone. No prospective registration identifier is available.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Design, participants and sample size</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Table 1; source reports [12–15]. Recruitment and eligibility details are those of the original studies; available sample sizes determined the analysis. Detection thresholds were calculated from observed MR standard errors, not for prospective recruitment.</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4c–d</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Variants and phenotype definitions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instrument selection and harmonization; Table 1 accessions; Table S4. Source studies provide their genotyping and phenotype procedures.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4e</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Ethics and consent</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 in-house IRB approval and written consent.</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Instrument assumptions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states relevance, independence and exclusion restriction; Discussion discusses limits of verification.</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Scales and variant weights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Z-score reconstruction, UKB log-odds rescaling, Wald/IVW and inverse-variance weighting.</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6c–e</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Estimation, covariates, missingness and multiplicity</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source GWAS adjustments retained; no individual-level re-adjustment; unavailable or excluded variants omitted; Bonferroni denominator 2,544.</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Assumption assessment</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instrument strength, harmonization, heterogeneity, MR-Egger and colocalization. These do not prove all instrument assumptions.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Additional analyses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Tables S2–S3, S5–S6, S8–S12. eQTLGen frequency substitution and re-harmonization were performed.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Software and registration</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Methods lists R, TwoSampleMR, coloc and PLINK versions. No prospective registration identifier is available.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10a–c</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Descriptive data</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Table 1 gives source sample counts; Figure 1 gives gene attrition; Table S4 gives instrument counts. Participant-level distributions and cohort-specific eQTL meta-analysis heterogeneity were not reanalysed.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10d</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Transportability and participant overlap</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European blood eQTL transfer to East Asian discovery is an assumption; overlap with European outcomes is unquantified.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11a–d</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Main results and uncertainty</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Tables 2–3 and S1; Figures 2–3. ORs/CIs are per reconstructed expression unit. Variant-level instruments and primary MR results are supplied as Supplementary Data 1–2. Absolute risks were not estimated.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12a–b</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Results of assumption checks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Instrument strength in Table S4; heterogeneity and MR-Egger in Tables 2 and S6; clumping, colocalization and frequency sensitivity in Tables S2–S3 and S9–S12.</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13a–e</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Additional results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Tables S2–S3 and S5–S9; Figures S1–S2. Steiger and bidirectional MR were not applied; tissue data are descriptive; no leave-one-out result is reported.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Key findings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opening paragraph.</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Limitations and bias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tissue, ancestry, overlap, frequency reconstruction, phenotype, instrument counts, power, coloc model/priors and one tissue control; bias magnitudes were not quantified.</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16a–c</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Interpretation and clinical meaning</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genetic expression effects do not establish a pharmacologic mechanism, treatment direction or intervention effect size.</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Generalizability</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Discussion: ancestry and tissue context, broad hyperthyroidism and population controls; inherited expression proxies do not estimate acute or dose-specific treatment effects.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18</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Funding</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 states no specific grant; original data-source funding is reported in the cited source publications.</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Data and code access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 lists source repositories and access restrictions. Supplementary Data 1–6 provide instruments, primary results and frequency-sensitivity MR, coloc and power summaries. Analysis code is available from the corresponding author on request.</w:t>
            </w:r>
          </w:p>
        </w:tc>
      </w:tr>
      <w:tr>
        <w:trPr>
          <w:cantSplit/>
        </w:trPr>
        <w:tc>
          <w:tcPr>
            <w:tcW w:type="dxa" w:w="648"/>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w:t>
            </w:r>
          </w:p>
        </w:tc>
        <w:tc>
          <w:tcPr>
            <w:tcW w:type="dxa" w:w="2376"/>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Competing interests</w:t>
            </w:r>
          </w:p>
        </w:tc>
        <w:tc>
          <w:tcPr>
            <w:tcW w:type="dxa" w:w="1179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Declarations.</w:t>
            </w:r>
          </w:p>
        </w:tc>
      </w:tr>
    </w:tbl>
    <w:p>
      <w:pPr>
        <w:pStyle w:val="BodyText"/>
        <w:widowControl/>
        <w:spacing w:line="252" w:lineRule="auto" w:after="120"/>
      </w:pPr>
      <w:r>
        <w:rPr>
          <w:sz w:val="20"/>
        </w:rPr>
        <w:t xml:space="preserve">Adapted from the STROBE-MR checklist (EQUATOR Network, CC BY 3.0), https://www.strobe-mr.org/download/strobe-mr-checklist/. The checklist is a reporting map, not a claim that all study limitations have been resolved.</w:t>
      </w:r>
    </w:p>
    <w:p>
      <w:pPr>
        <w:pStyle w:val="BodyText"/>
        <w:keepNext/>
        <w:pageBreakBefore/>
        <w:widowControl/>
        <w:spacing w:line="252" w:lineRule="auto" w:after="120"/>
      </w:pPr>
      <w:r>
        <w:rPr>
          <w:b/>
          <w:bCs/>
          <w:sz w:val="20"/>
        </w:rPr>
        <w:t xml:space="preserve">Table S8.</w:t>
      </w:r>
      <w:r>
        <w:rPr>
          <w:sz w:val="20"/>
        </w:rPr>
        <w:t xml:space="preserve"> </w:t>
      </w:r>
      <w:r>
        <w:rPr>
          <w:sz w:val="20"/>
        </w:rPr>
        <w:t xml:space="preserve">Detectable effect range of the druggable-gene-wide screen. Minimum effect detectable with 80% power was computed per gene and outcome from the empirical standard error of the primary MR estimate as |β|min = (</w:t>
      </w:r>
      <w:r>
        <w:rPr>
          <w:i/>
          <w:iCs/>
          <w:sz w:val="20"/>
        </w:rPr>
        <w:t xml:space="preserve">z</w:t>
      </w:r>
      <w:r>
        <w:rPr>
          <w:sz w:val="20"/>
        </w:rPr>
        <w:t xml:space="preserve">1−α/2 +</w:t>
      </w:r>
      <w:r>
        <w:rPr>
          <w:sz w:val="20"/>
        </w:rPr>
        <w:t xml:space="preserve"> </w:t>
      </w:r>
      <w:r>
        <w:rPr>
          <w:i/>
          <w:iCs/>
          <w:sz w:val="20"/>
        </w:rPr>
        <w:t xml:space="preserve">z</w:t>
      </w:r>
      <w:r>
        <w:rPr>
          <w:sz w:val="20"/>
        </w:rPr>
        <w:t xml:space="preserve">0.80) × SE, with α = 1.965×10⁻⁵ (discovery) or α = 0.05 (replication, TED-enriched).</w:t>
      </w:r>
    </w:p>
    <w:p>
      <w:pPr>
        <w:pStyle w:val="BodyText"/>
        <w:keepNext/>
        <w:widowControl/>
        <w:spacing w:line="252" w:lineRule="auto" w:after="120"/>
      </w:pPr>
      <w:r>
        <w:rPr>
          <w:b/>
          <w:bCs/>
          <w:sz w:val="20"/>
        </w:rPr>
        <w:t xml:space="preserve">Panel A. Screen-wide detectable range.</w:t>
      </w:r>
    </w:p>
    <w:tbl>
      <w:tblPr>
        <w:tblW w:type="dxa" w:w="14818"/>
        <w:jc w:val="center"/>
        <w:tblLayout w:type="fixed"/>
        <w:tblLook w:firstColumn="1" w:firstRow="1" w:lastColumn="0" w:lastRow="0" w:noHBand="0" w:noVBand="1" w:val="04A0"/>
      </w:tblPr>
      <w:tblGrid>
        <w:gridCol w:w="1852"/>
        <w:gridCol w:w="1852"/>
        <w:gridCol w:w="1852"/>
        <w:gridCol w:w="1852"/>
        <w:gridCol w:w="1852"/>
        <w:gridCol w:w="1852"/>
        <w:gridCol w:w="1852"/>
        <w:gridCol w:w="1852"/>
      </w:tblGrid>
      <w:tr>
        <w:trPr>
          <w:cantSplit/>
          <w:tblHeader/>
        </w:trPr>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Significance threshold</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Genes</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Median absolute βmin (IQR)</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Median detectable OR (IQR)</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Genes with ≥80% power at OR 1.5</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At OR 2.0</w:t>
            </w:r>
          </w:p>
        </w:tc>
        <w:tc>
          <w:tcPr>
            <w:tcW w:type="dxa" w:w="1852"/>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At OR 3.0</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 (discovery)</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w:t>
            </w:r>
            <w:r>
              <w:rPr>
                <w:rFonts w:ascii="Times New Roman" w:hAnsi="Times New Roman"/>
                <w:sz w:val="19"/>
              </w:rPr>
              <w:t xml:space="preserve"> </w:t>
            </w:r>
            <w:r>
              <w:rPr>
                <w:rFonts w:ascii="Times New Roman" w:hAnsi="Times New Roman"/>
                <w:sz w:val="19"/>
              </w:rPr>
              <w:t xml:space="preserve">&lt; 1.965×10⁻⁵</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2,234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0.94 (0.54–1.64)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2.55 (1.71–5.18)</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35.6%</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57.7%</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 (replication)</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w:t>
            </w:r>
            <w:r>
              <w:rPr>
                <w:rFonts w:ascii="Times New Roman" w:hAnsi="Times New Roman"/>
                <w:sz w:val="19"/>
              </w:rPr>
              <w:t xml:space="preserve"> </w:t>
            </w:r>
            <w:r>
              <w:rPr>
                <w:rFonts w:ascii="Times New Roman" w:hAnsi="Times New Roman"/>
                <w:sz w:val="19"/>
              </w:rPr>
              <w:t xml:space="preserve">&lt; 0.05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2,505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 (0.23–0.65)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 (1.26–1.91)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53.7%</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93.1%</w:t>
            </w:r>
          </w:p>
        </w:tc>
      </w:tr>
      <w:tr>
        <w:trPr>
          <w:cantSplit/>
        </w:trPr>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Graves ophthalmopathy (TED-enriched)</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w:t>
            </w:r>
            <w:r>
              <w:rPr>
                <w:rFonts w:ascii="Times New Roman" w:hAnsi="Times New Roman"/>
                <w:sz w:val="19"/>
              </w:rPr>
              <w:t xml:space="preserve"> </w:t>
            </w:r>
            <w:r>
              <w:rPr>
                <w:rFonts w:ascii="Times New Roman" w:hAnsi="Times New Roman"/>
                <w:sz w:val="19"/>
              </w:rPr>
              <w:t xml:space="preserve">&lt; 0.05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2,480</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0.75 (0.46–1.34)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2.12 (1.58–3.81)</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19.4%</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45.5%</w:t>
            </w:r>
          </w:p>
        </w:tc>
        <w:tc>
          <w:tcPr>
            <w:tcW w:type="dxa" w:w="1852"/>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67.3%</w:t>
            </w:r>
          </w:p>
        </w:tc>
      </w:tr>
    </w:tbl>
    <w:p>
      <w:pPr>
        <w:pStyle w:val="BodyText"/>
        <w:keepNext/>
        <w:widowControl/>
        <w:spacing w:line="252" w:lineRule="auto" w:after="120"/>
      </w:pPr>
      <w:r>
        <w:rPr>
          <w:b/>
          <w:bCs/>
          <w:sz w:val="20"/>
        </w:rPr>
        <w:t xml:space="preserve">Panel B. Backbone genes: observed effect versus gene-specific detection threshold.</w:t>
      </w:r>
    </w:p>
    <w:tbl>
      <w:tblPr>
        <w:tblW w:type="dxa" w:w="14818"/>
        <w:jc w:val="center"/>
        <w:tblLayout w:type="fixed"/>
        <w:tblLook w:firstColumn="1" w:firstRow="1" w:lastColumn="0" w:lastRow="0" w:noHBand="0" w:noVBand="1" w:val="04A0"/>
      </w:tblPr>
      <w:tblGrid>
        <w:gridCol w:w="2117"/>
        <w:gridCol w:w="2117"/>
        <w:gridCol w:w="2117"/>
        <w:gridCol w:w="2117"/>
        <w:gridCol w:w="2117"/>
        <w:gridCol w:w="2117"/>
        <w:gridCol w:w="2117"/>
      </w:tblGrid>
      <w:tr>
        <w:trPr>
          <w:cantSplit/>
          <w:tblHeader/>
        </w:trPr>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Observed β</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SE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Absolute βmin (80% power)</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Detectable OR</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Observed magnitude ≥ threshold?</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−2.096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0.271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1.386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4.00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0.625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1.87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−2.331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0.454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1.272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3.57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+0.299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0.333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1.39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+0.342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0.718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b/>
                <w:bCs/>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−1.740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1.137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−1.569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0.513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4.20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Yes</w:t>
            </w:r>
          </w:p>
        </w:tc>
      </w:tr>
      <w:tr>
        <w:trPr>
          <w:cantSplit/>
        </w:trPr>
        <w:tc>
          <w:tcPr>
            <w:tcW w:type="dxa" w:w="2117"/>
            <w:vAlign w:val="center"/>
            <w:tcMar>
              <w:top w:w="65" w:type="dxa"/>
              <w:bottom w:w="65" w:type="dxa"/>
              <w:left w:w="65" w:type="dxa"/>
              <w:right w:w="65" w:type="dxa"/>
            </w:tcMar>
          </w:tcPr>
          <w:p>
            <w:pPr>
              <w:keepNext w:val="0"/>
              <w:spacing w:line="240" w:lineRule="auto" w:before="0" w:after="0"/>
            </w:pP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0.702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7.15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No</w:t>
            </w:r>
          </w:p>
        </w:tc>
      </w:tr>
    </w:tbl>
    <w:p>
      <w:pPr>
        <w:pStyle w:val="BodyText"/>
        <w:widowControl/>
        <w:spacing w:line="252" w:lineRule="auto" w:after="120"/>
      </w:pPr>
      <w:r>
        <w:rPr>
          <w:sz w:val="20"/>
        </w:rPr>
        <w:t xml:space="preserve">Detection thresholds vary across genes. TSHR and CTLA4 exceeded their gene-specific discovery thresholds, but the CTLA4 FinnGen estimate was below its 80% power threshold. IGF1R effects fell below the corresponding thresholds in every outcome, so the absence of study-wide significance at IGF1R is expected for an effect of this size and is not evidence against a genetic contribution; IGF1R was therefore evaluated as a backbone gene across multiple evidence layers rather than on discovery significance alone. These calculations describe MR association power and do not quantify power to pass colocalization or the combined filter. Values use the primary MR standard errors restricted to the 2,544 genes in the verified instrument manifest and a discovery threshold of 0.05/2,544.</w:t>
      </w:r>
    </w:p>
    <w:p>
      <w:pPr>
        <w:pStyle w:val="BodyText"/>
        <w:keepNext/>
        <w:pageBreakBefore/>
        <w:widowControl/>
        <w:spacing w:line="252" w:lineRule="auto" w:after="120"/>
      </w:pPr>
      <w:r>
        <w:rPr>
          <w:b/>
          <w:bCs/>
          <w:sz w:val="20"/>
        </w:rPr>
        <w:t xml:space="preserve">Table S9.</w:t>
      </w:r>
      <w:r>
        <w:rPr>
          <w:sz w:val="20"/>
        </w:rPr>
        <w:t xml:space="preserve"> </w:t>
      </w:r>
      <w:r>
        <w:rPr>
          <w:sz w:val="20"/>
        </w:rPr>
        <w:t xml:space="preserve">Full colocalization posteriors and prior sensitivity for the backbone genes, laid out as Table S2. Two rows fall below the PP.H4 ≥ 0.80 threshold under the most conservative prior:</w:t>
      </w:r>
      <w:r>
        <w:rPr>
          <w:sz w:val="20"/>
        </w:rPr>
        <w:t xml:space="preserve"> </w:t>
      </w:r>
      <w:r>
        <w:rPr>
          <w:i/>
          <w:iCs/>
          <w:sz w:val="20"/>
        </w:rPr>
        <w:t xml:space="preserve">TSHR</w:t>
      </w:r>
      <w:r>
        <w:rPr>
          <w:sz w:val="20"/>
        </w:rPr>
        <w:t xml:space="preserve"> </w:t>
      </w:r>
      <w:r>
        <w:rPr>
          <w:sz w:val="20"/>
        </w:rPr>
        <w:t xml:space="preserve">in the discovery outcome (0.951 → 0.661) and</w:t>
      </w:r>
      <w:r>
        <w:rPr>
          <w:sz w:val="20"/>
        </w:rPr>
        <w:t xml:space="preserve"> </w:t>
      </w:r>
      <w:r>
        <w:rPr>
          <w:i/>
          <w:iCs/>
          <w:sz w:val="20"/>
        </w:rPr>
        <w:t xml:space="preserve">CTLA4</w:t>
      </w:r>
      <w:r>
        <w:rPr>
          <w:sz w:val="20"/>
        </w:rPr>
        <w:t xml:space="preserve"> </w:t>
      </w:r>
      <w:r>
        <w:rPr>
          <w:sz w:val="20"/>
        </w:rPr>
        <w:t xml:space="preserve">in the replication outcome (0.953 → 0.672). The TED-enriched</w:t>
      </w:r>
      <w:r>
        <w:rPr>
          <w:sz w:val="20"/>
        </w:rPr>
        <w:t xml:space="preserve"> </w:t>
      </w:r>
      <w:r>
        <w:rPr>
          <w:i/>
          <w:iCs/>
          <w:sz w:val="20"/>
        </w:rPr>
        <w:t xml:space="preserve">TSHR</w:t>
      </w:r>
      <w:r>
        <w:rPr>
          <w:sz w:val="20"/>
        </w:rPr>
        <w:t xml:space="preserve"> </w:t>
      </w:r>
      <w:r>
        <w:rPr>
          <w:sz w:val="20"/>
        </w:rPr>
        <w:t xml:space="preserve">posterior stays above the threshold throughout (0.986 → 0.875).</w:t>
      </w:r>
    </w:p>
    <w:tbl>
      <w:tblPr>
        <w:tblW w:type="dxa" w:w="14818"/>
        <w:jc w:val="center"/>
        <w:tblLayout w:type="fixed"/>
        <w:tblLook w:firstColumn="1" w:firstRow="1" w:lastColumn="0" w:lastRow="0" w:noHBand="0" w:noVBand="1" w:val="04A0"/>
      </w:tblPr>
      <w:tblGrid>
        <w:gridCol w:w="1246"/>
        <w:gridCol w:w="1904"/>
        <w:gridCol w:w="1350"/>
        <w:gridCol w:w="1073"/>
        <w:gridCol w:w="1073"/>
        <w:gridCol w:w="1073"/>
        <w:gridCol w:w="1073"/>
        <w:gridCol w:w="1073"/>
        <w:gridCol w:w="1731"/>
        <w:gridCol w:w="1610"/>
        <w:gridCol w:w="1610"/>
      </w:tblGrid>
      <w:tr>
        <w:trPr>
          <w:cantSplit/>
          <w:tblHeader/>
        </w:trPr>
        <w:tc>
          <w:tcPr>
            <w:tcW w:type="dxa" w:w="1246"/>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1904"/>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135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Overlapping SNPs</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PP.H0</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PP.H1</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PP.H2</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PP.H3</w:t>
            </w:r>
          </w:p>
        </w:tc>
        <w:tc>
          <w:tcPr>
            <w:tcW w:type="dxa" w:w="1073"/>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w:t>
            </w:r>
          </w:p>
        </w:tc>
        <w:tc>
          <w:tcPr>
            <w:tcW w:type="dxa" w:w="1731"/>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Top SNP</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(p12=10⁻⁶)</w:t>
            </w:r>
          </w:p>
        </w:tc>
        <w:tc>
          <w:tcPr>
            <w:tcW w:type="dxa" w:w="1610"/>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PP.H4 (p12=5×10⁻⁶)</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4,336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0.951</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0.661</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0.907</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5,667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0.774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rs1023586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0.128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6,579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0.986</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rs179252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0.875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5,685</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0.690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0.073</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0.008</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0.038</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7,394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0.196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0.404</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0.063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0.253</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7,740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0.623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0.346</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0.032</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rs2654980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0.016</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3,014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0.799</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0.201</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rs231811</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0.025</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0.112</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4,283</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0.047</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0.953</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rs3087243</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0.672</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0.911</w:t>
            </w:r>
          </w:p>
        </w:tc>
      </w:tr>
      <w:tr>
        <w:trPr>
          <w:cantSplit/>
        </w:trPr>
        <w:tc>
          <w:tcPr>
            <w:tcW w:type="dxa" w:w="1246"/>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1904"/>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135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4,924</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0.022</w:t>
            </w:r>
          </w:p>
        </w:tc>
        <w:tc>
          <w:tcPr>
            <w:tcW w:type="dxa" w:w="1073"/>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0.978</w:t>
            </w:r>
          </w:p>
        </w:tc>
        <w:tc>
          <w:tcPr>
            <w:tcW w:type="dxa" w:w="1731"/>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rs1863800</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0.816</w:t>
            </w:r>
          </w:p>
        </w:tc>
        <w:tc>
          <w:tcPr>
            <w:tcW w:type="dxa" w:w="1610"/>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0.957</w:t>
            </w:r>
          </w:p>
        </w:tc>
      </w:tr>
    </w:tbl>
    <w:p>
      <w:pPr>
        <w:pStyle w:val="BodyText"/>
        <w:widowControl/>
        <w:spacing w:line="252" w:lineRule="auto" w:after="120"/>
      </w:pPr>
      <w:r>
        <w:rPr>
          <w:sz w:val="20"/>
        </w:rPr>
        <w:t xml:space="preserve">Default priors p1 = p2 = 1×10⁻⁴, p12 = 1×10⁻⁵. Posteriors use each GWAS’s beta and varbeta, exposure beta/varbeta reconstructed with European reference frequencies and sdY = 1, and the sample definitions in Table 1.</w:t>
      </w:r>
    </w:p>
    <w:p>
      <w:pPr>
        <w:pStyle w:val="BodyText"/>
        <w:keepNext/>
        <w:pageBreakBefore/>
        <w:widowControl/>
        <w:spacing w:line="252" w:lineRule="auto" w:after="120"/>
      </w:pPr>
      <w:r>
        <w:rPr>
          <w:b/>
          <w:bCs/>
          <w:sz w:val="20"/>
        </w:rPr>
        <w:t xml:space="preserve">Table S10.</w:t>
      </w:r>
      <w:r>
        <w:rPr>
          <w:sz w:val="20"/>
        </w:rPr>
        <w:t xml:space="preserve"> </w:t>
      </w:r>
      <w:r>
        <w:rPr>
          <w:sz w:val="20"/>
        </w:rPr>
        <w:t xml:space="preserve">Backbone primary MR estimates before and after eQTLGen frequency substitution.</w:t>
      </w:r>
    </w:p>
    <w:tbl>
      <w:tblPr>
        <w:tblW w:type="dxa" w:w="14818"/>
        <w:jc w:val="center"/>
        <w:tblLayout w:type="fixed"/>
        <w:tblLook w:firstColumn="1" w:firstRow="1" w:lastColumn="0" w:lastRow="0" w:noHBand="0" w:noVBand="1" w:val="04A0"/>
      </w:tblPr>
      <w:tblGrid>
        <w:gridCol w:w="2117"/>
        <w:gridCol w:w="2117"/>
        <w:gridCol w:w="2117"/>
        <w:gridCol w:w="2117"/>
        <w:gridCol w:w="2117"/>
        <w:gridCol w:w="2117"/>
        <w:gridCol w:w="2117"/>
      </w:tblGrid>
      <w:tr>
        <w:trPr>
          <w:cantSplit/>
          <w:tblHeader/>
        </w:trPr>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IVs</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Reference β (SE)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Reference P</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eQTLGen β (SE)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eQTLGen P</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-2.096 (0.271)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1.09×10⁻¹⁴</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-2.091 (0.271)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1.09×10⁻¹⁴</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-2.436 (0.223)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8.77×10⁻²⁸</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-2.431 (0.222)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8.77×10⁻²⁸</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-2.331 (0.454)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2.82×10⁻⁷</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-2.326 (0.453)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2.82×10⁻⁷</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+0.446 (0.194)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+0.458 (0.200)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0.022</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+0.299 (0.119)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+0.317 (0.131)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0.016</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+0.342 (0.256)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0.182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+0.368 (0.273)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0.177</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-1.740 (0.223)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5.45×10⁻¹⁵</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-1.726 (0.221)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5.45×10⁻¹⁵</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-1.569 (0.513)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-1.596 (0.450)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3.86×10⁻⁴</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-1.768 (0.702)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-1.799 (0.635)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0.005</w:t>
            </w:r>
          </w:p>
        </w:tc>
      </w:tr>
    </w:tbl>
    <w:p>
      <w:pPr>
        <w:pStyle w:val="BodyText"/>
        <w:widowControl/>
        <w:spacing w:line="252" w:lineRule="auto" w:after="120"/>
      </w:pPr>
      <w:r>
        <w:rPr>
          <w:sz w:val="20"/>
        </w:rPr>
        <w:t xml:space="preserve">Reference uses 1000 Genomes European frequencies; eQTLGen uses the provider’s AlleleB_all frequencies aligned to the assessed allele. Single-IV loci use Wald ratios; other rows use IVW. For these nine backbone comparisons, identical-variant and re-harmonized sensitivity estimates coincide. The full primary-estimator screen is in Supplementary Data 4. The thirteen discovery hits remained unchanged.</w:t>
      </w:r>
    </w:p>
    <w:p>
      <w:pPr>
        <w:pStyle w:val="BodyText"/>
        <w:keepNext/>
        <w:pageBreakBefore/>
        <w:widowControl/>
        <w:spacing w:line="252" w:lineRule="auto" w:after="120"/>
      </w:pPr>
      <w:r>
        <w:rPr>
          <w:b/>
          <w:bCs/>
          <w:sz w:val="20"/>
        </w:rPr>
        <w:t xml:space="preserve">Table S11.</w:t>
      </w:r>
      <w:r>
        <w:rPr>
          <w:sz w:val="20"/>
        </w:rPr>
        <w:t xml:space="preserve"> </w:t>
      </w:r>
      <w:r>
        <w:rPr>
          <w:sz w:val="20"/>
        </w:rPr>
        <w:t xml:space="preserve">Colocalization sensitivity to exposure frequencies at the default shared-association prior.</w:t>
      </w:r>
    </w:p>
    <w:tbl>
      <w:tblPr>
        <w:tblW w:type="dxa" w:w="14818"/>
        <w:jc w:val="center"/>
        <w:tblLayout w:type="fixed"/>
        <w:tblLook w:firstColumn="1" w:firstRow="1" w:lastColumn="0" w:lastRow="0" w:noHBand="0" w:noVBand="1" w:val="04A0"/>
      </w:tblPr>
      <w:tblGrid>
        <w:gridCol w:w="2117"/>
        <w:gridCol w:w="2117"/>
        <w:gridCol w:w="2117"/>
        <w:gridCol w:w="2117"/>
        <w:gridCol w:w="2117"/>
        <w:gridCol w:w="2117"/>
        <w:gridCol w:w="2117"/>
      </w:tblGrid>
      <w:tr>
        <w:trPr>
          <w:cantSplit/>
          <w:tblHeader/>
        </w:trPr>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Reference SNPs</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eQTLGen SNPs</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Reference H4</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Same-SNP eQTLGen H4</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Full eQTLGen H4</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4,336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4,361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0.951169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0.951171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0.951171</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5,667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5,732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0.226177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0.226055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0.226055</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TSHR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6,579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6,675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0.985968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0.985968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0.985916</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5,685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5,715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0.073257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0.073264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0.073198</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7,394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7,457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0.403887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0.404132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0.403176</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IGF1R</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7,740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7,850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0.031598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0.031601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0.031466</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3,014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3,044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0.200937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0.200932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0.200932</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4,283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4,321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0.953372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0.953369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0.953369</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CTLA4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4,924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4,993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0.977952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0.977951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0.977951</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4,790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4,870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0.993740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0.993740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0.993735</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7,197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7,275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0.236882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0.236882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0.234740</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TNFSF14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7,703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7,823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0.016892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0.016892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0.016780</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3,973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4,008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0.988893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0.988894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0.988878</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5,145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5,209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0.052343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0.052342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0.052191</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IFNGR1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5,891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5,983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0.019740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0.019740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0.019644</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2,077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2,097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0.000000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0.000000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0.000000</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2,763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2,788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0.004535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0.004543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0.004526</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MAPKAPK5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3,294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3,346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0.026173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0.026173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0.026096</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1,630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1,650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0.636336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0.636337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0.636336</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2,755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2,768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0.094608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0.094608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0.094577</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HSD3B7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3,104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3,135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0.026442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0.026442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0.026390</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1,516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1,536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0.388274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0.388269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0.388269</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2,644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2,660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0.030020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0.030018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0.030003</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VKORC1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2,961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2,997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0.029574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0.029574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0.029508</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1,479</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1,490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0.168168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0.168168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0.168168</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2,577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2,593</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0.114946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0.114945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0.114894</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i/>
                <w:iCs/>
                <w:sz w:val="19"/>
              </w:rPr>
              <w:t xml:space="preserve">PRSS36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2,821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2,852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0.036837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0.036837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0.036767</w:t>
            </w:r>
          </w:p>
        </w:tc>
      </w:tr>
    </w:tbl>
    <w:p>
      <w:pPr>
        <w:pStyle w:val="BodyText"/>
        <w:widowControl/>
        <w:spacing w:line="252" w:lineRule="auto" w:after="120"/>
      </w:pPr>
      <w:r>
        <w:rPr>
          <w:sz w:val="20"/>
        </w:rPr>
        <w:t xml:space="preserve">p1 = p2 = 10⁻⁴, p12 = 10⁻⁵. Same-SNP estimates change frequencies only. Full eQTLGen estimates additionally include available variants previously lacking usable European reference frequencies; no reference variants were lost. Maximum absolute H4 changes over all three priors were 0.000245 and 0.002142, respectively, with zero crossings of 0.80. All 81 comparisons and the complete H0–H4 posteriors for each scenario are in Supplementary Data 5.</w:t>
      </w:r>
    </w:p>
    <w:p>
      <w:pPr>
        <w:pStyle w:val="BodyText"/>
        <w:keepNext/>
        <w:pageBreakBefore/>
        <w:widowControl/>
        <w:spacing w:line="252" w:lineRule="auto" w:after="120"/>
      </w:pPr>
      <w:r>
        <w:rPr>
          <w:b/>
          <w:bCs/>
          <w:sz w:val="20"/>
        </w:rPr>
        <w:t xml:space="preserve">Table S12.</w:t>
      </w:r>
      <w:r>
        <w:rPr>
          <w:sz w:val="20"/>
        </w:rPr>
        <w:t xml:space="preserve"> </w:t>
      </w:r>
      <w:r>
        <w:rPr>
          <w:sz w:val="20"/>
        </w:rPr>
        <w:t xml:space="preserve">Frequency sensitivity of the screen’s detectable effect range.</w:t>
      </w:r>
    </w:p>
    <w:tbl>
      <w:tblPr>
        <w:tblW w:type="dxa" w:w="14818"/>
        <w:jc w:val="center"/>
        <w:tblLayout w:type="fixed"/>
        <w:tblLook w:firstColumn="1" w:firstRow="1" w:lastColumn="0" w:lastRow="0" w:noHBand="0" w:noVBand="1" w:val="04A0"/>
      </w:tblPr>
      <w:tblGrid>
        <w:gridCol w:w="2117"/>
        <w:gridCol w:w="2117"/>
        <w:gridCol w:w="2117"/>
        <w:gridCol w:w="2117"/>
        <w:gridCol w:w="2117"/>
        <w:gridCol w:w="2117"/>
        <w:gridCol w:w="2117"/>
      </w:tblGrid>
      <w:tr>
        <w:trPr>
          <w:cantSplit/>
          <w:tblHeader/>
        </w:trPr>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Outcome</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Analysis</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Genes</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Median detectable OR (IQR)</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Power ≥80% at OR 1.5 (%)</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At OR 2.0 (%)</w:t>
            </w:r>
          </w:p>
        </w:tc>
        <w:tc>
          <w:tcPr>
            <w:tcW w:type="dxa" w:w="2117"/>
            <w:vAlign w:val="center"/>
            <w:tcMar>
              <w:top w:w="65" w:type="dxa"/>
              <w:bottom w:w="65" w:type="dxa"/>
              <w:left w:w="65" w:type="dxa"/>
              <w:right w:w="65" w:type="dxa"/>
            </w:tcMar>
            <w:shd w:fill="EEEEEE"/>
          </w:tcPr>
          <w:p>
            <w:pPr>
              <w:keepNext w:val="0"/>
              <w:spacing w:line="240" w:lineRule="auto" w:before="0" w:after="0"/>
            </w:pPr>
            <w:r>
              <w:rPr>
                <w:rFonts w:ascii="Times New Roman" w:hAnsi="Times New Roman"/>
                <w:b/>
                <w:sz w:val="19"/>
              </w:rPr>
              <w:t xml:space="preserve">At OR 3.0 (%)</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Reference</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2,234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2.55 (1.71–5.18)</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35.6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57.7</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eQTLGen same IVs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2,234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2.61 (1.76–5.15)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34.2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56.9</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BBJ Graves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eQTLGen re-harmonized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2,232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2.61 (1.76–5.14)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12.5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34.2</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56.9</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Reference</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2,505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 (1.26–1.91)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53.7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77.4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93.1</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eQTLGen same IVs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2,505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 (1.26–1.94)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53.1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76.5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93.1</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UKB hyperthyroid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eQTLGen re-harmonized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2,506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1.46 (1.26–1.94)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53.1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76.4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93.1</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Reference</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2,480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2.12 (1.58–3.81)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19.4</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45.5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67.3</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eQTLGen same IVs</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2,480</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2.17 (1.61–3.87)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44.5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66.7</w:t>
            </w:r>
          </w:p>
        </w:tc>
      </w:tr>
      <w:tr>
        <w:trPr>
          <w:cantSplit/>
        </w:trPr>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FinnGen GO</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eQTLGen re-harmonized</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2,481</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2.17 (1.60–3.87)</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17.6</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44.5</w:t>
            </w:r>
          </w:p>
        </w:tc>
        <w:tc>
          <w:tcPr>
            <w:tcW w:type="dxa" w:w="2117"/>
            <w:vAlign w:val="center"/>
            <w:tcMar>
              <w:top w:w="65" w:type="dxa"/>
              <w:bottom w:w="65" w:type="dxa"/>
              <w:left w:w="65" w:type="dxa"/>
              <w:right w:w="65" w:type="dxa"/>
            </w:tcMar>
          </w:tcPr>
          <w:p>
            <w:pPr>
              <w:keepNext w:val="0"/>
              <w:spacing w:line="240" w:lineRule="auto" w:before="0" w:after="0"/>
            </w:pPr>
            <w:r>
              <w:rPr>
                <w:rFonts w:ascii="Times New Roman" w:hAnsi="Times New Roman"/>
                <w:sz w:val="19"/>
              </w:rPr>
              <w:t xml:space="preserve">66.7</w:t>
            </w:r>
          </w:p>
        </w:tc>
      </w:tr>
    </w:tbl>
    <w:p>
      <w:pPr>
        <w:pStyle w:val="BodyText"/>
        <w:widowControl/>
        <w:spacing w:line="252" w:lineRule="auto" w:after="120"/>
      </w:pPr>
      <w:r>
        <w:rPr>
          <w:sz w:val="20"/>
        </w:rPr>
        <w:t xml:space="preserve">The same normal-approximation detection rule as Table S8 was used: α = 0.05/2,544 for BBJ and 0.05 for UKB/FinnGen; proportions use each row’s estimable-gene count. The eligible-gene denominator remained 2,544. Re-harmonization added/removed 5/5 variant records in BBJ, 5/3 in UKB and 6/3 in FinnGen. Of 27 changes, 24 were palindromic-frequency decisions and three restored missing reference frequencies. No retained outcome effect changed sign. These are MR association-power estimates, not colocalization or combined-filter power. Full-precision results are in Supplementary Data 6.</w:t>
      </w:r>
    </w:p>
    <w:p>
      <w:pPr>
        <w:pStyle w:val="BodyText"/>
        <w:keepNext/>
        <w:pageBreakBefore/>
        <w:widowControl/>
        <w:spacing w:line="252" w:lineRule="auto" w:after="120"/>
      </w:pPr>
      <w:r>
        <w:rPr>
          <w:b/>
          <w:bCs/>
          <w:sz w:val="20"/>
        </w:rPr>
        <w:t xml:space="preserve">Figure S1. Orbital tissue transcript abundance (descriptive).</w:t>
      </w:r>
      <w:r>
        <w:rPr>
          <w:sz w:val="20"/>
        </w:rPr>
        <w:t xml:space="preserve"> </w:t>
      </w:r>
      <w:r>
        <w:rPr>
          <w:sz w:val="20"/>
        </w:rPr>
        <w:t xml:space="preserve">Points represent individual samples; horizontal lines mark the mean TED abundance. Log2 fold changes use a 0.01-TPM pseudocount. Transcripts per million for the backbone genes in four TED samples and one control, with technical replicates collapsed to the biological-sample level. With one control, control-group biological variance cannot be estimated; no inferential test is reported and no conclusion depends on this panel. Axes are gene-specific.</w:t>
      </w:r>
    </w:p>
    <w:p>
      <w:pPr>
        <w:spacing w:line="240" w:lineRule="auto" w:after="0"/>
        <w:jc w:val="center"/>
      </w:pPr>
      <w:r>
        <w:drawing>
          <wp:inline>
            <wp:extent cx="8138160" cy="3778431"/>
            <wp:docPr id="1" name="Picture 1"/>
            <wp:cNvGraphicFramePr>
              <a:graphicFrameLocks noChangeAspect="1"/>
            </wp:cNvGraphicFramePr>
            <a:graphic>
              <a:graphicData uri="http://schemas.openxmlformats.org/drawingml/2006/picture">
                <pic:pic>
                  <pic:nvPicPr>
                    <pic:cNvPr id="0" name="FigureS1.png"/>
                    <pic:cNvPicPr/>
                  </pic:nvPicPr>
                  <pic:blipFill>
                    <a:blip r:embed="rId9"/>
                    <a:stretch>
                      <a:fillRect/>
                    </a:stretch>
                  </pic:blipFill>
                  <pic:spPr>
                    <a:xfrm>
                      <a:off x="0" y="0"/>
                      <a:ext cx="8138160" cy="3778431"/>
                    </a:xfrm>
                    <a:prstGeom prst="rect"/>
                  </pic:spPr>
                </pic:pic>
              </a:graphicData>
            </a:graphic>
          </wp:inline>
        </w:drawing>
      </w:r>
    </w:p>
    <w:p>
      <w:pPr>
        <w:pStyle w:val="BodyText"/>
        <w:keepNext/>
        <w:pageBreakBefore/>
        <w:widowControl/>
        <w:spacing w:line="252" w:lineRule="auto" w:after="120"/>
      </w:pPr>
      <w:r>
        <w:rPr>
          <w:b/>
          <w:bCs/>
          <w:sz w:val="20"/>
        </w:rPr>
        <w:t xml:space="preserve">Figure S2. Candidate colocalization across the three outcomes.</w:t>
      </w:r>
      <w:r>
        <w:rPr>
          <w:sz w:val="20"/>
        </w:rPr>
        <w:t xml:space="preserve"> </w:t>
      </w:r>
      <w:r>
        <w:rPr>
          <w:sz w:val="20"/>
        </w:rPr>
        <w:t xml:space="preserve">Shared-variant posterior probabilities for the six non-known candidates, plotted as in Figure 3A; full posteriors are reported in Table S2.</w:t>
      </w:r>
      <w:r>
        <w:rPr>
          <w:sz w:val="20"/>
        </w:rPr>
        <w:t xml:space="preserve"> </w:t>
      </w:r>
      <w:r>
        <w:rPr>
          <w:i/>
          <w:iCs/>
          <w:sz w:val="20"/>
        </w:rPr>
        <w:t xml:space="preserve">TNFSF14</w:t>
      </w:r>
      <w:r>
        <w:rPr>
          <w:sz w:val="20"/>
        </w:rPr>
        <w:t xml:space="preserve"> </w:t>
      </w:r>
      <w:r>
        <w:rPr>
          <w:sz w:val="20"/>
        </w:rPr>
        <w:t xml:space="preserve">and</w:t>
      </w:r>
      <w:r>
        <w:rPr>
          <w:sz w:val="20"/>
        </w:rPr>
        <w:t xml:space="preserve"> </w:t>
      </w:r>
      <w:r>
        <w:rPr>
          <w:i/>
          <w:iCs/>
          <w:sz w:val="20"/>
        </w:rPr>
        <w:t xml:space="preserve">IFNGR1</w:t>
      </w:r>
      <w:r>
        <w:rPr>
          <w:sz w:val="20"/>
        </w:rPr>
        <w:t xml:space="preserve"> </w:t>
      </w:r>
      <w:r>
        <w:rPr>
          <w:sz w:val="20"/>
        </w:rPr>
        <w:t xml:space="preserve">colocalize in discovery (PP.H4 = 0.994 and 0.989) but in neither secondary outcome;</w:t>
      </w:r>
      <w:r>
        <w:rPr>
          <w:sz w:val="20"/>
        </w:rPr>
        <w:t xml:space="preserve"> </w:t>
      </w:r>
      <w:r>
        <w:rPr>
          <w:i/>
          <w:iCs/>
          <w:sz w:val="20"/>
        </w:rPr>
        <w:t xml:space="preserve">TNFSF14</w:t>
      </w:r>
      <w:r>
        <w:rPr>
          <w:sz w:val="20"/>
        </w:rPr>
        <w:t xml:space="preserve"> </w:t>
      </w:r>
      <w:r>
        <w:rPr>
          <w:sz w:val="20"/>
        </w:rPr>
        <w:t xml:space="preserve">retains a direction-consistent nominal MR association in UKB (</w:t>
      </w:r>
      <w:r>
        <w:rPr>
          <w:i/>
          <w:iCs/>
          <w:sz w:val="20"/>
        </w:rPr>
        <w:t xml:space="preserve">P</w:t>
      </w:r>
      <w:r>
        <w:rPr>
          <w:sz w:val="20"/>
        </w:rPr>
        <w:t xml:space="preserve"> </w:t>
      </w:r>
      <w:r>
        <w:rPr>
          <w:sz w:val="20"/>
        </w:rPr>
        <w:t xml:space="preserve">= 0.0056). The chromosome 16p11.2 candidates are weak or ambiguous throughout and</w:t>
      </w:r>
      <w:r>
        <w:rPr>
          <w:sz w:val="20"/>
        </w:rPr>
        <w:t xml:space="preserve"> </w:t>
      </w:r>
      <w:r>
        <w:rPr>
          <w:i/>
          <w:iCs/>
          <w:sz w:val="20"/>
        </w:rPr>
        <w:t xml:space="preserve">MAPKAPK5</w:t>
      </w:r>
      <w:r>
        <w:rPr>
          <w:sz w:val="20"/>
        </w:rPr>
        <w:t xml:space="preserve"> </w:t>
      </w:r>
      <w:r>
        <w:rPr>
          <w:sz w:val="20"/>
        </w:rPr>
        <w:t xml:space="preserve">is PP.H3-dominant in discovery.</w:t>
      </w:r>
    </w:p>
    <w:p>
      <w:pPr>
        <w:spacing w:line="240" w:lineRule="auto" w:after="0"/>
        <w:jc w:val="center"/>
      </w:pPr>
      <w:r>
        <w:drawing>
          <wp:inline>
            <wp:extent cx="5029200" cy="5136256"/>
            <wp:docPr id="2" name="Picture 2"/>
            <wp:cNvGraphicFramePr>
              <a:graphicFrameLocks noChangeAspect="1"/>
            </wp:cNvGraphicFramePr>
            <a:graphic>
              <a:graphicData uri="http://schemas.openxmlformats.org/drawingml/2006/picture">
                <pic:pic>
                  <pic:nvPicPr>
                    <pic:cNvPr id="0" name="FigureS2.png"/>
                    <pic:cNvPicPr/>
                  </pic:nvPicPr>
                  <pic:blipFill>
                    <a:blip r:embed="rId10"/>
                    <a:stretch>
                      <a:fillRect/>
                    </a:stretch>
                  </pic:blipFill>
                  <pic:spPr>
                    <a:xfrm>
                      <a:off x="0" y="0"/>
                      <a:ext cx="5029200" cy="5136256"/>
                    </a:xfrm>
                    <a:prstGeom prst="rect"/>
                  </pic:spPr>
                </pic:pic>
              </a:graphicData>
            </a:graphic>
          </wp:inline>
        </w:drawing>
      </w:r>
    </w:p>
    <w:bookmarkEnd w:id="9"/>
    <w:sectPr>
      <w:footnotePr>
        <w:numRestart w:val="eachSect"/>
      </w:footnotePr>
      <w:pgSz w:w="16834" w:h="11909" w:orient="landscape"/>
      <w:pgMar w:left="1008" w:right="1008" w:top="936" w:bottom="936"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sz w:val="24"/>
    </w:rPr>
  </w:style>
  <w:style w:styleId="BodyText" w:type="paragraph">
    <w:name w:val="Body Text"/>
    <w:basedOn w:val="Normal"/>
    <w:link w:val="BodyTextChar"/>
    <w:qFormat/>
    <w:pPr>
      <w:spacing w:after="0" w:before="180" w:line="480" w:lineRule="auto"/>
    </w:pPr>
    <w:rPr>
      <w:rFonts w:ascii="Times New Roman" w:hAnsi="Times New Roman"/>
      <w:sz w:val="24"/>
    </w:rPr>
  </w:style>
  <w:style w:customStyle="1" w:styleId="FirstParagraph" w:type="paragraph">
    <w:name w:val="First Paragraph"/>
    <w:basedOn w:val="BodyText"/>
    <w:next w:val="BodyText"/>
    <w:qFormat/>
    <w:pPr>
      <w:spacing w:line="480" w:lineRule="auto" w:after="0"/>
    </w:pPr>
    <w:rPr>
      <w:rFonts w:ascii="Times New Roman" w:hAnsi="Times New Roman"/>
      <w:sz w:val="24"/>
    </w:rPr>
  </w:style>
  <w:style w:customStyle="1" w:styleId="Compact" w:type="paragraph">
    <w:name w:val="Compact"/>
    <w:basedOn w:val="BodyText"/>
    <w:qFormat/>
    <w:pPr>
      <w:spacing w:after="0" w:before="36" w:line="480" w:lineRule="auto"/>
    </w:pPr>
    <w:rPr>
      <w:rFonts w:ascii="Times New Roman" w:hAnsi="Times New Roman"/>
      <w:sz w:val="24"/>
    </w:rPr>
  </w:style>
  <w:style w:styleId="Title" w:type="paragraph">
    <w:name w:val="Title"/>
    <w:basedOn w:val="Normal"/>
    <w:next w:val="BodyText"/>
    <w:link w:val="TitleChar"/>
    <w:uiPriority w:val="10"/>
    <w:qFormat/>
    <w:rsid w:val="00A10FD9"/>
    <w:pPr>
      <w:keepNext/>
      <w:spacing w:after="120" w:line="276" w:lineRule="auto" w:before="240"/>
      <w:contextualSpacing/>
      <w:jc w:val="center"/>
    </w:pPr>
    <w:rPr>
      <w:rFonts w:asciiTheme="majorHAnsi" w:cstheme="majorBidi" w:eastAsiaTheme="majorEastAsia" w:hAnsiTheme="majorHAnsi" w:ascii="Times New Roman" w:hAnsi="Times New Roman"/>
      <w:b/>
      <w:color w:val="000000"/>
      <w:sz w:val="3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outlineLvl w:val="1"/>
    </w:pPr>
    <w:rPr>
      <w:rFonts w:asciiTheme="majorHAnsi" w:cstheme="majorBidi" w:eastAsiaTheme="majorEastAsia" w:hAnsiTheme="majorHAnsi" w:ascii="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outlineLvl w:val="2"/>
    </w:pPr>
    <w:rPr>
      <w:rFonts w:cstheme="majorBidi" w:eastAsiaTheme="majorEastAsia" w:ascii="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outlineLvl w:val="3"/>
    </w:pPr>
    <w:rPr>
      <w:rFonts w:cstheme="majorBidi" w:eastAsiaTheme="majorEastAsia" w:ascii="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line="480" w:lineRule="auto" w:after="0"/>
    </w:pPr>
    <w:rPr>
      <w:rFonts w:ascii="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line="480" w:lineRule="auto" w:after="0"/>
    </w:pPr>
    <w:rPr>
      <w:rFonts w:ascii="Times New Roman" w:hAnsi="Times New Roman"/>
      <w:sz w:val="24"/>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susceptibility at TSHR and IGF1R in Graves disease and thyroid eye disease</dc:title>
  <dc:creator>Jungyul Park; Min-Seon Kim; Kyung-Hwa Shin; Suk-Woo Yang</dc:creator>
  <cp:keywords/>
  <dcterms:created xsi:type="dcterms:W3CDTF">2026-09-05T04:33:01Z</dcterms:created>
  <dcterms:modified xsi:type="dcterms:W3CDTF">2026-09-05T04:33:01Z</dcterms:modified>
  <dc:identifier>SUPPLEMENTARY_MATERIAL</dc:identifier>
  <cp:lastModifiedBy/>
</cp:coreProperties>
</file>

<file path=docProps/custom.xml><?xml version="1.0" encoding="utf-8"?>
<Properties xmlns="http://schemas.openxmlformats.org/officeDocument/2006/custom-properties" xmlns:vt="http://schemas.openxmlformats.org/officeDocument/2006/docPropsVTypes"/>
</file>