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keepNext/>
        <w:pageBreakBefore w:val="0"/>
        <w:widowControl/>
        <w:spacing w:line="264" w:lineRule="auto" w:after="140"/>
      </w:pPr>
      <w:r>
        <w:rPr>
          <w:bCs/>
          <w:b/>
          <w:sz w:val="20"/>
        </w:rPr>
        <w:t xml:space="preserve">Table S2. Associations before and after cohort-frequency substitution</w:t>
      </w:r>
    </w:p>
    <w:tbl>
      <w:tblPr>
        <w:tblW w:type="dxa" w:w="14818"/>
        <w:jc w:val="center"/>
        <w:tblLayout w:type="fixed"/>
        <w:tblLook w:firstColumn="1" w:firstRow="1" w:lastColumn="0" w:lastRow="0" w:noHBand="0" w:noVBand="1" w:val="04A0"/>
      </w:tblPr>
      <w:tblGrid>
        <w:gridCol w:w="1312"/>
        <w:gridCol w:w="3782"/>
        <w:gridCol w:w="3319"/>
        <w:gridCol w:w="1544"/>
        <w:gridCol w:w="3319"/>
        <w:gridCol w:w="1544"/>
      </w:tblGrid>
      <w:tr>
        <w:trPr>
          <w:cantSplit/>
          <w:tblHeader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Gene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Outcome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Reference OR (95% CI)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Reference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iCs/>
                <w:rFonts w:ascii="Times New Roman" w:hAnsi="Times New Roman"/>
                <w:b/>
                <w:i/>
                <w:sz w:val="20"/>
              </w:rPr>
              <w:t xml:space="preserve">P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eQTLGen OR (95% CI)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eQTLGen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iCs/>
                <w:rFonts w:ascii="Times New Roman" w:hAnsi="Times New Roman"/>
                <w:b/>
                <w:i/>
                <w:sz w:val="20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TSHR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0.12 (0.07–0.21)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1.09×10⁻¹⁴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0.12 (0.07–0.21)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1.09×10⁻¹⁴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TSHR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0.09 (0.06–0.14)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8.77×10⁻²⁸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0.09 (0.06–0.14)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8.77×10⁻²⁸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TSHR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0.10 (0.04–0.24)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2.82×10⁻⁷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0.10 (0.04–0.24)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2.82×10⁻⁷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IGF1R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1.56 (1.07–2.28)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0.0212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1.58 (1.07–2.34)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IGF1R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1.35 (1.07–1.70)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0.0117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1.37 (1.06–1.78)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0.0157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IGF1R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1.41 (0.85–2.33)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0.182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1.44 (0.85–2.47)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0.177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CTLA4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0.18 (0.11–0.27)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5.45×10⁻¹⁵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0.18 (0.12–0.27)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5.45×10⁻¹⁵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CTLA4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0.21 (0.08–0.57)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0.0022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0.20 (0.08–0.49)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3.86×10⁻⁴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CTLA4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0.17 (0.04–0.68)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0.0118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0.17 (0.05–0.57)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0.00458</w:t>
            </w:r>
          </w:p>
        </w:tc>
      </w:tr>
    </w:tbl>
    <w:p>
      <w:pPr>
        <w:pStyle w:val="BodyText"/>
        <w:pageBreakBefore w:val="0"/>
        <w:widowControl/>
        <w:spacing w:line="264" w:lineRule="auto" w:after="140"/>
      </w:pPr>
      <w:r>
        <w:rPr>
          <w:sz w:val="20"/>
        </w:rPr>
        <w:t xml:space="preserve">Reference estimates use 1000 Genomes European frequencies. eQTLGen estimates use cohort frequencies followed by repeat harmonization. For these nine comparisons, estimates using identical variants and repeat harmonization coincide; instrument counts are unchanged from Table 2. All 13 discovery genes remain significant. Results for every gene and each scenario are in Supplementary Data 2.</w:t>
      </w:r>
    </w:p>
    <w:sectPr>
      <w:pgSz w:w="16834" w:h="11909" w:orient="landscape"/>
      <w:pgMar w:left="1008" w:right="1008" w:top="936" w:bottom="936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56" w:lineRule="auto" w:after="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56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56" w:lineRule="auto" w:after="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36" w:line="456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 w:line="276" w:lineRule="auto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456" w:lineRule="auto" w:after="0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S2</dc:title>
  <dc:creator>Jungyul Park; Min-Seon Kim; Kyung-Hwa Shin; Suk-Woo Yang</dc:creator>
  <cp:keywords/>
  <dcterms:created xsi:type="dcterms:W3CDTF">2026-09-15T23:20:54Z</dcterms:created>
  <dcterms:modified xsi:type="dcterms:W3CDTF">2026-09-15T23:20:54Z</dcterms:modified>
  <dc:identifier>TableS2</dc:identifier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