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Cs/>
          <w:i/>
        </w:rPr>
        <w:t xml:space="preserve">Endocrine Connections</w:t>
      </w:r>
    </w:p>
    <w:p>
      <w:pPr>
        <w:pStyle w:val="BodyText"/>
        <w:widowControl/>
      </w:pPr>
      <w:r>
        <w:t xml:space="preserve">Dear Editor-in-Chief,</w:t>
      </w:r>
    </w:p>
    <w:p>
      <w:pPr>
        <w:pStyle w:val="BodyText"/>
        <w:widowControl/>
      </w:pPr>
      <w:r>
        <w:t xml:space="preserve">Please consider</w:t>
      </w:r>
      <w:r>
        <w:t xml:space="preserve"> </w:t>
      </w:r>
      <w:r>
        <w:t xml:space="preserve">“</w:t>
      </w:r>
      <w:r>
        <w:t xml:space="preserve">TSHR and IGF1R expression in Graves disease: Mendelian randomization and colocalization</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2026-09-15T08:37:29Z</dcterms:created>
  <dcterms:modified xsi:type="dcterms:W3CDTF">2026-09-15T08:37:29Z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