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pageBreakBefore w:val="0"/>
        <w:widowControl/>
        <w:spacing w:line="264" w:lineRule="auto" w:after="140"/>
      </w:pPr>
      <w:r>
        <w:rPr>
          <w:bCs/>
          <w:b/>
          <w:sz w:val="20"/>
        </w:rPr>
        <w:t xml:space="preserve">Table 1. Data sources and roles in the study</w:t>
      </w:r>
    </w:p>
    <w:tbl>
      <w:tblPr>
        <w:tblW w:type="dxa" w:w="9173"/>
        <w:jc w:val="center"/>
        <w:tblLayout w:type="fixed"/>
        <w:tblLook w:firstColumn="1" w:firstRow="1" w:lastColumn="0" w:lastRow="0" w:noHBand="0" w:noVBand="1" w:val="04A0"/>
      </w:tblPr>
      <w:tblGrid>
        <w:gridCol w:w="2376"/>
        <w:gridCol w:w="1613"/>
        <w:gridCol w:w="835"/>
        <w:gridCol w:w="1008"/>
        <w:gridCol w:w="3341"/>
      </w:tblGrid>
      <w:tr>
        <w:trPr>
          <w:cantSplit/>
          <w:tblHeader/>
        </w:trPr>
        <w:tc>
          <w:tcPr>
            <w:tcW w:type="dxa" w:w="2376"/>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Dataset</w:t>
            </w:r>
          </w:p>
        </w:tc>
        <w:tc>
          <w:tcPr>
            <w:tcW w:type="dxa" w:w="1613"/>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Ancestry</w:t>
            </w:r>
          </w:p>
        </w:tc>
        <w:tc>
          <w:tcPr>
            <w:tcW w:type="dxa" w:w="83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Cases</w:t>
            </w:r>
          </w:p>
        </w:tc>
        <w:tc>
          <w:tcPr>
            <w:tcW w:type="dxa" w:w="1008"/>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Controls</w:t>
            </w:r>
          </w:p>
        </w:tc>
        <w:tc>
          <w:tcPr>
            <w:tcW w:type="dxa" w:w="3341"/>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Role</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eQTLGen blood expression [12]</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Predominantly 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Exposure; up to 31,684 participants</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 [13]</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East Asian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2,809</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172,656</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Discovery</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 [14]</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3,731</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480,867</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Broader-phenotype comparison</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R12 Graves ophthalmopathy [15]</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858</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499,490</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TED-enriched sensitivity</w:t>
            </w:r>
          </w:p>
        </w:tc>
      </w:tr>
    </w:tbl>
    <w:p>
      <w:pPr>
        <w:pStyle w:val="BodyText"/>
        <w:pageBreakBefore w:val="0"/>
        <w:widowControl/>
        <w:spacing w:line="264" w:lineRule="auto" w:after="140"/>
      </w:pPr>
      <w:r>
        <w:rPr>
          <w:sz w:val="20"/>
        </w:rPr>
        <w:t xml:space="preserve">GWAS accessions are GCST90018627 (BBJ), GCST90038636 (UKB) and GRAVES_OPHT in FinnGen R12. eQTL sample size varies by variant. FinnGen uses population controls, so it cannot distinguish TED susceptibility from GD susceptibility. The small descriptive orbital dataset is detailed only in Supplementary Methods and Figure S1.</w:t>
      </w:r>
    </w:p>
    <w:sect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pPr>
      <w:spacing w:after="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1</dc:title>
  <dc:creator>Jungyul Park; Min-Seon Kim; Kyung-Hwa Shin; Suk-Woo Yang</dc:creator>
  <cp:keywords/>
  <dcterms:created xsi:type="dcterms:W3CDTF">2026-09-15T08:37:28Z</dcterms:created>
  <dcterms:modified xsi:type="dcterms:W3CDTF">2026-09-15T08:37:28Z</dcterms:modified>
  <dc:identifier>Table1</dc:identifier>
  <cp:lastModifiedBy/>
</cp:coreProperties>
</file>

<file path=docProps/custom.xml><?xml version="1.0" encoding="utf-8"?>
<Properties xmlns="http://schemas.openxmlformats.org/officeDocument/2006/custom-properties" xmlns:vt="http://schemas.openxmlformats.org/officeDocument/2006/docPropsVTypes"/>
</file>