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Suk-Woo Yang, MD, PhD</w:t>
      </w:r>
      <w:r>
        <w:t xml:space="preserve"> </w:t>
      </w:r>
      <w:r>
        <w:t xml:space="preserve">Department of Ophthalmology, Seoul St. Mary’s Hospital</w:t>
      </w:r>
      <w:r>
        <w:t xml:space="preserve"> </w:t>
      </w:r>
      <w:r>
        <w:t xml:space="preserve">College of Medicine, The Catholic University of Korea</w:t>
      </w:r>
      <w:r>
        <w:t xml:space="preserve"> </w:t>
      </w:r>
      <w:r>
        <w:t xml:space="preserve">Seoul, Republic of Korea</w:t>
      </w:r>
      <w:r>
        <w:t xml:space="preserve"> </w:t>
      </w:r>
      <w:r>
        <w:t xml:space="preserve">yswoph@catholic.ac.kr · +82-2-2258-2847</w:t>
      </w:r>
    </w:p>
    <w:p>
      <w:pPr>
        <w:pStyle w:val="BodyText"/>
      </w:pPr>
      <w:r>
        <w:t xml:space="preserve">12 August 2026</w:t>
      </w:r>
    </w:p>
    <w:p>
      <w:pPr>
        <w:pStyle w:val="BodyText"/>
      </w:pPr>
      <w:r>
        <w:t xml:space="preserve">The Editors</w:t>
      </w:r>
      <w:r>
        <w:t xml:space="preserve"> </w:t>
      </w:r>
      <w:r>
        <w:rPr>
          <w:iCs/>
          <w:i/>
        </w:rPr>
        <w:t xml:space="preserve">Endocrine Connections</w:t>
      </w:r>
    </w:p>
    <w:p>
      <w:pPr>
        <w:pStyle w:val="BodyText"/>
      </w:pPr>
      <w:r>
        <w:t xml:space="preserve">Dear Editors,</w:t>
      </w:r>
    </w:p>
    <w:p>
      <w:pPr>
        <w:pStyle w:val="BodyText"/>
      </w:pPr>
      <w:r>
        <w:t xml:space="preserve">We are pleased to submit our manuscript,</w:t>
      </w:r>
      <w:r>
        <w:t xml:space="preserve"> </w:t>
      </w:r>
      <w:r>
        <w:t xml:space="preserve">“</w:t>
      </w:r>
      <w:r>
        <w:t xml:space="preserve">Genetic susceptibility and therapeutic target biology diverge at TSHR and IGF1R in Graves disease and thyroid eye disease,</w:t>
      </w:r>
      <w:r>
        <w:t xml:space="preserve">”</w:t>
      </w:r>
      <w:r>
        <w:t xml:space="preserve"> </w:t>
      </w:r>
      <w:r>
        <w:t xml:space="preserve">for consideration as an original research article in</w:t>
      </w:r>
      <w:r>
        <w:t xml:space="preserve"> </w:t>
      </w:r>
      <w:r>
        <w:rPr>
          <w:iCs/>
          <w:i/>
        </w:rPr>
        <w:t xml:space="preserve">Endocrine Connections</w:t>
      </w:r>
      <w:r>
        <w:t xml:space="preserve">.</w:t>
      </w:r>
    </w:p>
    <w:p>
      <w:pPr>
        <w:pStyle w:val="BodyText"/>
      </w:pPr>
      <w:r>
        <w:t xml:space="preserve">Graves disease (GD) and thyroid eye disease (TED) sit at the intersection of thyroid autoimmunity and orbital pathology, and the approval of the IGF-1R–blocking antibody teprotumumab has made the relationship between TSHR and IGF-1R a central question for the field. The difficulty is that IGF-1R is simultaneously a compelling therapeutic target and a gene whose status as a primary genetic driver of disease remains unresolved. Our study addresses this directly by asking, across the druggable genome, which genes behave as expression-colocalized genetic susceptibility anchors and which behave as pharmacologic effector axes.</w:t>
      </w:r>
    </w:p>
    <w:p>
      <w:pPr>
        <w:pStyle w:val="BodyText"/>
      </w:pPr>
      <w:r>
        <w:t xml:space="preserve">Using a druggable-gene-wide</w:t>
      </w:r>
      <w:r>
        <w:t xml:space="preserve"> </w:t>
      </w:r>
      <w:r>
        <w:rPr>
          <w:iCs/>
          <w:i/>
        </w:rPr>
        <w:t xml:space="preserve">cis</w:t>
      </w:r>
      <w:r>
        <w:t xml:space="preserve">-eQTL Mendelian randomization and colocalization framework across a prespecified outcome hierarchy (Biobank Japan Graves disease as discovery, UK Biobank hyperthyroidism as replication, and FinnGen Graves ophthalmopathy as a TED-enriched sensitivity outcome), integrated with</w:t>
      </w:r>
      <w:r>
        <w:t xml:space="preserve"> </w:t>
      </w:r>
      <w:r>
        <w:rPr>
          <w:iCs/>
          <w:i/>
        </w:rPr>
        <w:t xml:space="preserve">TSHR</w:t>
      </w:r>
      <w:r>
        <w:t xml:space="preserve"> </w:t>
      </w:r>
      <w:r>
        <w:t xml:space="preserve">fine-mapping, a positive-control autoimmune locus (</w:t>
      </w:r>
      <w:r>
        <w:rPr>
          <w:iCs/>
          <w:i/>
        </w:rPr>
        <w:t xml:space="preserve">CTLA4</w:t>
      </w:r>
      <w:r>
        <w:t xml:space="preserve">), and exploratory orbital tissue transcriptomics, we report that:</w:t>
      </w:r>
    </w:p>
    <w:p>
      <w:pPr>
        <w:numPr>
          <w:ilvl w:val="0"/>
          <w:numId w:val="1001"/>
        </w:numPr>
        <w:pStyle w:val="Compact"/>
      </w:pPr>
      <w:r>
        <w:rPr>
          <w:iCs/>
          <w:i/>
        </w:rPr>
        <w:t xml:space="preserve">TSHR</w:t>
      </w:r>
      <w:r>
        <w:t xml:space="preserve"> </w:t>
      </w:r>
      <w:r>
        <w:t xml:space="preserve">behaves as an expression-colocalized susceptibility anchor for Graves disease, with direction-consistent effects across outcomes and a shared causal variant at rs179252, and its signal is also recovered in a TED-enriched case series;</w:t>
      </w:r>
    </w:p>
    <w:p>
      <w:pPr>
        <w:numPr>
          <w:ilvl w:val="0"/>
          <w:numId w:val="1001"/>
        </w:numPr>
        <w:pStyle w:val="Compact"/>
      </w:pPr>
      <w:r>
        <w:rPr>
          <w:iCs/>
          <w:i/>
        </w:rPr>
        <w:t xml:space="preserve">IGF1R</w:t>
      </w:r>
      <w:r>
        <w:t xml:space="preserve"> </w:t>
      </w:r>
      <w:r>
        <w:t xml:space="preserve">shows nominal positive-direction genetic evidence without expression colocalization and without significant orbital tissue association — a profile most consistent with pharmacologic effector biology rather than a primary expression-colocalized susceptibility locus;</w:t>
      </w:r>
    </w:p>
    <w:p>
      <w:pPr>
        <w:numPr>
          <w:ilvl w:val="0"/>
          <w:numId w:val="1001"/>
        </w:numPr>
        <w:pStyle w:val="Compact"/>
      </w:pPr>
      <w:r>
        <w:t xml:space="preserve">a systematic screen of 2,545 MR-testable druggable genes advanced no non-established gene as a robust novel target after cross-outcome colocalization filtering.</w:t>
      </w:r>
    </w:p>
    <w:p>
      <w:pPr>
        <w:pStyle w:val="FirstParagraph"/>
      </w:pPr>
      <w:r>
        <w:t xml:space="preserve">We submit this work to</w:t>
      </w:r>
      <w:r>
        <w:t xml:space="preserve"> </w:t>
      </w:r>
      <w:r>
        <w:rPr>
          <w:iCs/>
          <w:i/>
        </w:rPr>
        <w:t xml:space="preserve">Endocrine Connections</w:t>
      </w:r>
      <w:r>
        <w:t xml:space="preserve"> </w:t>
      </w:r>
      <w:r>
        <w:t xml:space="preserve">because its value lies in methodological rigor and interpretive clarity rather than in a novel target claim, and we understand this to be the kind of soundly conducted study your journal is designed to publish. Three features are central to that judgement.</w:t>
      </w:r>
    </w:p>
    <w:p>
      <w:pPr>
        <w:pStyle w:val="BodyText"/>
      </w:pPr>
      <w:r>
        <w:t xml:space="preserve">First, the conservative outcome is quantified rather than asserted. We report the detectable effect range of the screen itself (Supplementary Table S8): at the study-wide threshold and 80% power the median gene was powered to detect an odds ratio of approximately 2.55, so the absence of a robust novel target constrains additional large expression-mediated effects but not moderate ones. The same analysis shows that the</w:t>
      </w:r>
      <w:r>
        <w:t xml:space="preserve"> </w:t>
      </w:r>
      <w:r>
        <w:rPr>
          <w:iCs/>
          <w:i/>
        </w:rPr>
        <w:t xml:space="preserve">IGF1R</w:t>
      </w:r>
      <w:r>
        <w:t xml:space="preserve"> </w:t>
      </w:r>
      <w:r>
        <w:t xml:space="preserve">effect lay below its gene-specific detection threshold in every outcome, which is why we treat</w:t>
      </w:r>
      <w:r>
        <w:t xml:space="preserve"> </w:t>
      </w:r>
      <w:r>
        <w:rPr>
          <w:iCs/>
          <w:i/>
        </w:rPr>
        <w:t xml:space="preserve">IGF1R</w:t>
      </w:r>
      <w:r>
        <w:t xml:space="preserve"> </w:t>
      </w:r>
      <w:r>
        <w:t xml:space="preserve">as a prespecified backbone gene assessed across multiple evidence layers rather than as a failed discovery hit.</w:t>
      </w:r>
    </w:p>
    <w:p>
      <w:pPr>
        <w:pStyle w:val="BodyText"/>
      </w:pPr>
      <w:r>
        <w:t xml:space="preserve">Second, the prioritization required agreement between two complementary filters — direction-consistent cross-outcome association and Bayesian colocalization — so that a signal had to show both reproducibility and shared-variant support before being advanced. This filter is what removes</w:t>
      </w:r>
      <w:r>
        <w:t xml:space="preserve"> </w:t>
      </w:r>
      <w:r>
        <w:rPr>
          <w:iCs/>
          <w:i/>
        </w:rPr>
        <w:t xml:space="preserve">TNFSF14</w:t>
      </w:r>
      <w:r>
        <w:t xml:space="preserve"> </w:t>
      </w:r>
      <w:r>
        <w:t xml:space="preserve">and</w:t>
      </w:r>
      <w:r>
        <w:t xml:space="preserve"> </w:t>
      </w:r>
      <w:r>
        <w:rPr>
          <w:iCs/>
          <w:i/>
        </w:rPr>
        <w:t xml:space="preserve">IFNGR1</w:t>
      </w:r>
      <w:r>
        <w:t xml:space="preserve">, which colocalize strongly with the discovery outcome (PP.H4 = 0.994 and 0.989) yet not with the TED-enriched outcome. We regard demonstrating that such single-outcome signals do not survive as a useful cautionary result for a literature in which they are frequently nominated as targets.</w:t>
      </w:r>
    </w:p>
    <w:p>
      <w:pPr>
        <w:pStyle w:val="BodyText"/>
      </w:pPr>
      <w:r>
        <w:t xml:space="preserve">Third, we have been deliberate about what the design cannot establish. The manuscript states explicitly that the FinnGen Graves ophthalmopathy outcome ascertains cases among patients with Graves disease and compares them with population controls, so that its associations substantially re-measure Graves disease susceptibility and cannot isolate a TED-specific effect; that the colocalization layer rests on a single-causal-variant assumption with a single European allele-frequency reference applied to an East Asian discovery outcome; that no colocalization power analysis was performed, so eQTL-only posteriors in the 858-case TED outcome are consistent with limited power rather than distinct causal architecture; that the single positive control did not colocalize in the discovery outcome, so the sensitivity of the combined filter is not established by one locus; and that the orbital tissue analysis is exploratory with a single control and was not externally replicated. We would rather state these limits ourselves than have the paper read as claiming more than it does.</w:t>
      </w:r>
    </w:p>
    <w:p>
      <w:pPr>
        <w:pStyle w:val="BodyText"/>
      </w:pPr>
      <w:r>
        <w:t xml:space="preserve">We also note that the general principle that an effective drug target need not be a primary genetic susceptibility locus is already established in the drug-development literature; what we contribute is a prespecified, worked demonstration within a single disease area in which the anchor and the effector are resolved side by side using the same instruments, outcomes, and filters.</w:t>
      </w:r>
    </w:p>
    <w:p>
      <w:pPr>
        <w:pStyle w:val="BodyText"/>
      </w:pPr>
      <w:r>
        <w:t xml:space="preserve">Two disclosures. First, an earlier and more narrowly scoped version of this work was previously considered at thyroid-focused journals; in response to editorial feedback the study was restructured around a druggable-gene-wide discovery design, with systematic instrument selection, fine-mapping at the</w:t>
      </w:r>
      <w:r>
        <w:t xml:space="preserve"> </w:t>
      </w:r>
      <w:r>
        <w:rPr>
          <w:iCs/>
          <w:i/>
        </w:rPr>
        <w:t xml:space="preserve">TSHR</w:t>
      </w:r>
      <w:r>
        <w:t xml:space="preserve"> </w:t>
      </w:r>
      <w:r>
        <w:t xml:space="preserve">locus, a positive control, and a prespecified multi-outcome hierarchy. The present manuscript reflects that redesigned analysis. Second, the in-house orbital tissue dataset used here for hypothesis-driven triangulation of three prespecified genes is also analysed, for a different question and at whole-transcriptome scale, in a separate manuscript currently under review elsewhere. The present study reports no genome-wide differential-expression catalogue or pathway-enrichment result, and the two manuscripts do not overlap in their findings; we are happy to provide the companion manuscript to the editors on request.</w:t>
      </w:r>
    </w:p>
    <w:p>
      <w:pPr>
        <w:pStyle w:val="BodyText"/>
      </w:pPr>
      <w:r>
        <w:t xml:space="preserve">This manuscript is original, has not been published previously, and is not under consideration elsewhere. All authors have read and approved the submission and agree to its content. The study used publicly available summary statistics and an institutionally approved orbital tissue dataset (Institutional Review Board, Pusan National University Hospital, 2104-018-102), with written informed consent obtained from all participants. The authors declare no conflicts of interest and report no specific funding for this work. Analysis code supporting the reported results is available, and reporting follows the STROBE-MR guideline (Supplementary Table S7).</w:t>
      </w:r>
    </w:p>
    <w:p>
      <w:pPr>
        <w:pStyle w:val="BodyText"/>
      </w:pPr>
      <w:r>
        <w:t xml:space="preserve">Thank you for considering our manuscript. We look forward to your evaluation.</w:t>
      </w:r>
    </w:p>
    <w:p>
      <w:pPr>
        <w:pStyle w:val="BodyText"/>
      </w:pPr>
      <w:r>
        <w:t xml:space="preserve">Sincerely,</w:t>
      </w:r>
    </w:p>
    <w:p>
      <w:pPr>
        <w:pStyle w:val="BodyText"/>
      </w:pPr>
      <w:r>
        <w:t xml:space="preserve">Suk-Woo Yang, MD, PhD (corresponding author)</w:t>
      </w:r>
      <w:r>
        <w:t xml:space="preserve"> </w:t>
      </w:r>
      <w:r>
        <w:t xml:space="preserve">On behalf of all authors: Jungyul Park, Min-Seon Kim, Kyung-Hwa Shin, Suk-Woo Yang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2026-08-13T10:35:36Z</dcterms:created>
  <dcterms:modified xsi:type="dcterms:W3CDTF">2026-08-13T10:35:36Z</dcterms:modified>
</cp:coreProperties>
</file>

<file path=docProps/custom.xml><?xml version="1.0" encoding="utf-8"?>
<Properties xmlns="http://schemas.openxmlformats.org/officeDocument/2006/custom-properties" xmlns:vt="http://schemas.openxmlformats.org/officeDocument/2006/docPropsVTypes"/>
</file>